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61D5FC">
      <w:pPr>
        <w:spacing w:line="240" w:lineRule="auto"/>
        <w:jc w:val="center"/>
        <w:rPr>
          <w:rStyle w:val="8"/>
          <w:rFonts w:hint="default" w:ascii="黑体" w:hAnsi="黑体" w:eastAsia="黑体" w:cs="黑体"/>
          <w:b w:val="0"/>
          <w:bCs w:val="0"/>
          <w:i w:val="0"/>
          <w:iCs w:val="0"/>
          <w:caps w:val="0"/>
          <w:color w:val="auto"/>
          <w:spacing w:val="0"/>
          <w:sz w:val="32"/>
          <w:szCs w:val="32"/>
          <w:shd w:val="clear" w:fill="FFFFFF"/>
          <w:lang w:val="en-US" w:eastAsia="zh-CN"/>
        </w:rPr>
      </w:pPr>
      <w:r>
        <w:rPr>
          <w:rStyle w:val="8"/>
          <w:rFonts w:hint="eastAsia" w:ascii="黑体" w:hAnsi="黑体" w:eastAsia="黑体" w:cs="黑体"/>
          <w:b w:val="0"/>
          <w:bCs w:val="0"/>
          <w:i w:val="0"/>
          <w:iCs w:val="0"/>
          <w:caps w:val="0"/>
          <w:color w:val="auto"/>
          <w:spacing w:val="0"/>
          <w:sz w:val="32"/>
          <w:szCs w:val="32"/>
          <w:shd w:val="clear" w:fill="FFFFFF"/>
          <w:lang w:val="en-US" w:eastAsia="zh-CN"/>
        </w:rPr>
        <w:t>生成式AI革新对设AI公司股价的影响--基于大语言模型和媒体情感的融合分析</w:t>
      </w:r>
    </w:p>
    <w:p w14:paraId="6F16556F">
      <w:pPr>
        <w:spacing w:line="240" w:lineRule="auto"/>
        <w:jc w:val="left"/>
        <w:rPr>
          <w:rStyle w:val="8"/>
          <w:rFonts w:hint="eastAsia" w:ascii="宋体" w:hAnsi="宋体" w:eastAsia="宋体" w:cs="宋体"/>
          <w:b/>
          <w:bCs/>
          <w:i w:val="0"/>
          <w:iCs w:val="0"/>
          <w:caps w:val="0"/>
          <w:color w:val="auto"/>
          <w:spacing w:val="0"/>
          <w:sz w:val="28"/>
          <w:szCs w:val="28"/>
          <w:shd w:val="clear" w:fill="FFFFFF"/>
          <w:lang w:val="en-US" w:eastAsia="zh-CN"/>
        </w:rPr>
      </w:pPr>
      <w:r>
        <w:rPr>
          <w:rStyle w:val="8"/>
          <w:rFonts w:hint="eastAsia" w:ascii="宋体" w:hAnsi="宋体" w:eastAsia="宋体" w:cs="宋体"/>
          <w:b/>
          <w:bCs/>
          <w:i w:val="0"/>
          <w:iCs w:val="0"/>
          <w:caps w:val="0"/>
          <w:color w:val="auto"/>
          <w:spacing w:val="0"/>
          <w:sz w:val="28"/>
          <w:szCs w:val="28"/>
          <w:shd w:val="clear" w:fill="FFFFFF"/>
          <w:lang w:val="en-US" w:eastAsia="zh-CN"/>
        </w:rPr>
        <w:t>一</w:t>
      </w:r>
      <w:r>
        <w:rPr>
          <w:rStyle w:val="8"/>
          <w:rFonts w:hint="eastAsia" w:ascii="宋体" w:hAnsi="宋体" w:eastAsia="宋体" w:cs="宋体"/>
          <w:b/>
          <w:bCs/>
          <w:i w:val="0"/>
          <w:iCs w:val="0"/>
          <w:caps w:val="0"/>
          <w:color w:val="auto"/>
          <w:spacing w:val="0"/>
          <w:sz w:val="28"/>
          <w:szCs w:val="28"/>
          <w:shd w:val="clear" w:fill="FFFFFF"/>
        </w:rPr>
        <w:t xml:space="preserve">、 </w:t>
      </w:r>
      <w:r>
        <w:rPr>
          <w:rStyle w:val="8"/>
          <w:rFonts w:hint="eastAsia" w:ascii="宋体" w:hAnsi="宋体" w:eastAsia="宋体" w:cs="宋体"/>
          <w:b/>
          <w:bCs/>
          <w:i w:val="0"/>
          <w:iCs w:val="0"/>
          <w:caps w:val="0"/>
          <w:color w:val="auto"/>
          <w:spacing w:val="0"/>
          <w:sz w:val="28"/>
          <w:szCs w:val="28"/>
          <w:shd w:val="clear" w:fill="FFFFFF"/>
          <w:lang w:val="en-US" w:eastAsia="zh-CN"/>
        </w:rPr>
        <w:t>引言</w:t>
      </w:r>
    </w:p>
    <w:p w14:paraId="53E67246">
      <w:pPr>
        <w:spacing w:line="240" w:lineRule="auto"/>
        <w:jc w:val="left"/>
        <w:rPr>
          <w:rStyle w:val="8"/>
          <w:rFonts w:hint="eastAsia" w:ascii="宋体" w:hAnsi="宋体" w:eastAsia="宋体" w:cs="宋体"/>
          <w:b/>
          <w:bCs/>
          <w:i w:val="0"/>
          <w:iCs w:val="0"/>
          <w:caps w:val="0"/>
          <w:color w:val="auto"/>
          <w:spacing w:val="0"/>
          <w:sz w:val="28"/>
          <w:szCs w:val="28"/>
          <w:shd w:val="clear" w:fill="FFFFFF"/>
        </w:rPr>
      </w:pPr>
      <w:r>
        <w:rPr>
          <w:rStyle w:val="8"/>
          <w:rFonts w:hint="eastAsia" w:ascii="宋体" w:hAnsi="宋体" w:eastAsia="宋体" w:cs="宋体"/>
          <w:b/>
          <w:bCs/>
          <w:i w:val="0"/>
          <w:iCs w:val="0"/>
          <w:caps w:val="0"/>
          <w:color w:val="auto"/>
          <w:spacing w:val="0"/>
          <w:sz w:val="28"/>
          <w:szCs w:val="28"/>
          <w:shd w:val="clear" w:fill="FFFFFF"/>
          <w:lang w:eastAsia="zh-CN"/>
        </w:rPr>
        <w:t>（</w:t>
      </w:r>
      <w:r>
        <w:rPr>
          <w:rStyle w:val="8"/>
          <w:rFonts w:hint="eastAsia" w:ascii="宋体" w:hAnsi="宋体" w:eastAsia="宋体" w:cs="宋体"/>
          <w:b/>
          <w:bCs/>
          <w:i w:val="0"/>
          <w:iCs w:val="0"/>
          <w:caps w:val="0"/>
          <w:color w:val="auto"/>
          <w:spacing w:val="0"/>
          <w:sz w:val="28"/>
          <w:szCs w:val="28"/>
          <w:shd w:val="clear" w:fill="FFFFFF"/>
          <w:lang w:val="en-US" w:eastAsia="zh-CN"/>
        </w:rPr>
        <w:t>一</w:t>
      </w:r>
      <w:r>
        <w:rPr>
          <w:rStyle w:val="8"/>
          <w:rFonts w:hint="eastAsia" w:ascii="宋体" w:hAnsi="宋体" w:eastAsia="宋体" w:cs="宋体"/>
          <w:b/>
          <w:bCs/>
          <w:i w:val="0"/>
          <w:iCs w:val="0"/>
          <w:caps w:val="0"/>
          <w:color w:val="auto"/>
          <w:spacing w:val="0"/>
          <w:sz w:val="28"/>
          <w:szCs w:val="28"/>
          <w:shd w:val="clear" w:fill="FFFFFF"/>
          <w:lang w:eastAsia="zh-CN"/>
        </w:rPr>
        <w:t>）</w:t>
      </w:r>
      <w:r>
        <w:rPr>
          <w:rStyle w:val="8"/>
          <w:rFonts w:hint="eastAsia" w:ascii="宋体" w:hAnsi="宋体" w:eastAsia="宋体" w:cs="宋体"/>
          <w:b/>
          <w:bCs/>
          <w:i w:val="0"/>
          <w:iCs w:val="0"/>
          <w:caps w:val="0"/>
          <w:color w:val="auto"/>
          <w:spacing w:val="0"/>
          <w:sz w:val="28"/>
          <w:szCs w:val="28"/>
          <w:shd w:val="clear" w:fill="FFFFFF"/>
          <w:lang w:val="en-US" w:eastAsia="zh-CN"/>
        </w:rPr>
        <w:t>研究</w:t>
      </w:r>
      <w:r>
        <w:rPr>
          <w:rStyle w:val="8"/>
          <w:rFonts w:hint="eastAsia" w:ascii="宋体" w:hAnsi="宋体" w:eastAsia="宋体" w:cs="宋体"/>
          <w:b/>
          <w:bCs/>
          <w:i w:val="0"/>
          <w:iCs w:val="0"/>
          <w:caps w:val="0"/>
          <w:color w:val="auto"/>
          <w:spacing w:val="0"/>
          <w:sz w:val="28"/>
          <w:szCs w:val="28"/>
          <w:shd w:val="clear" w:fill="FFFFFF"/>
        </w:rPr>
        <w:t>背景</w:t>
      </w:r>
    </w:p>
    <w:p w14:paraId="4C52F5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以 ChatGPT 为代表的生成式人工智能技术浪潮，正以前所未有的速度重塑全球科技与产业格局。大语言模型作为其核心基础设施，已成为科技巨头战略竞争与资本开支的焦点。每一次重大的 LLM 发布不仅是技术里程碑，更是向市场传递关于公司技术实力、未来盈利潜力与战略方向的关键信号。</w:t>
      </w:r>
    </w:p>
    <w:p w14:paraId="03A374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本研究覆盖</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近三年</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全球主要 LLM 发布主体的公司级全维度观测数据，系统探究LLM 发布事件对 AI 产业链上市公司股价的影响机制，填补现有研究在大规模事件样本、全维度特征分析上的空白。</w:t>
      </w:r>
    </w:p>
    <w:p w14:paraId="760BE4BE">
      <w:pPr>
        <w:numPr>
          <w:ilvl w:val="0"/>
          <w:numId w:val="0"/>
        </w:numPr>
        <w:spacing w:line="240" w:lineRule="auto"/>
        <w:jc w:val="left"/>
        <w:rPr>
          <w:rStyle w:val="8"/>
          <w:rFonts w:hint="eastAsia" w:ascii="宋体" w:hAnsi="宋体" w:eastAsia="宋体" w:cs="宋体"/>
          <w:b/>
          <w:bCs/>
          <w:i w:val="0"/>
          <w:iCs w:val="0"/>
          <w:caps w:val="0"/>
          <w:color w:val="auto"/>
          <w:spacing w:val="0"/>
          <w:sz w:val="28"/>
          <w:szCs w:val="28"/>
          <w:shd w:val="clear" w:fill="FFFFFF"/>
          <w:lang w:val="en-US" w:eastAsia="zh-CN"/>
        </w:rPr>
      </w:pPr>
      <w:r>
        <w:rPr>
          <w:rStyle w:val="8"/>
          <w:rFonts w:hint="eastAsia" w:ascii="宋体" w:hAnsi="宋体" w:eastAsia="宋体" w:cs="宋体"/>
          <w:b/>
          <w:bCs/>
          <w:i w:val="0"/>
          <w:iCs w:val="0"/>
          <w:caps w:val="0"/>
          <w:color w:val="auto"/>
          <w:spacing w:val="0"/>
          <w:sz w:val="28"/>
          <w:szCs w:val="28"/>
          <w:shd w:val="clear" w:fill="FFFFFF"/>
          <w:lang w:val="en-US" w:eastAsia="zh-CN"/>
        </w:rPr>
        <w:t>（二）研究问题</w:t>
      </w:r>
    </w:p>
    <w:p w14:paraId="44C88D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1. 重大 AI 模型发布事件是否导致美股 AI 相关上市公司在短事件窗口内出现显著累计异常收益率（CAR）？</w:t>
      </w:r>
    </w:p>
    <w:p w14:paraId="765062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2. 资本市场反应是否沿着不同经济暴露关系异质性传导？</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不同关系</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是否反应不同？</w:t>
      </w:r>
    </w:p>
    <w:p w14:paraId="6C56A0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3. 模型发布事件的技术特征，例如能力水平、能力跃迁、开源程度、模态、推理能力、成本效率和速度，是否解释 CAR 的强度与方向？</w:t>
      </w:r>
    </w:p>
    <w:p w14:paraId="77B922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4</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 随着生成式 AI 从早期关注热潮进入商业化和成本竞争阶段，资本市场是否从 attention-driven / hype-driven 逻辑逐渐转向 capability-driven / cost-efficiency-driven / commercialization-driven 逻辑？</w:t>
      </w:r>
    </w:p>
    <w:p w14:paraId="2C8934AF">
      <w:pPr>
        <w:numPr>
          <w:ilvl w:val="0"/>
          <w:numId w:val="0"/>
        </w:numPr>
        <w:spacing w:line="240" w:lineRule="auto"/>
        <w:jc w:val="left"/>
        <w:rPr>
          <w:rStyle w:val="8"/>
          <w:rFonts w:hint="eastAsia" w:ascii="宋体" w:hAnsi="宋体" w:eastAsia="宋体" w:cs="宋体"/>
          <w:b/>
          <w:bCs/>
          <w:i w:val="0"/>
          <w:iCs w:val="0"/>
          <w:caps w:val="0"/>
          <w:color w:val="auto"/>
          <w:spacing w:val="0"/>
          <w:sz w:val="28"/>
          <w:szCs w:val="28"/>
          <w:shd w:val="clear" w:fill="FFFFFF"/>
          <w:lang w:val="en-US" w:eastAsia="zh-CN"/>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 xml:space="preserve">   </w:t>
      </w:r>
      <w:r>
        <w:rPr>
          <w:rStyle w:val="8"/>
          <w:rFonts w:hint="eastAsia" w:ascii="宋体" w:hAnsi="宋体" w:eastAsia="宋体" w:cs="宋体"/>
          <w:b/>
          <w:bCs/>
          <w:i w:val="0"/>
          <w:iCs w:val="0"/>
          <w:caps w:val="0"/>
          <w:color w:val="auto"/>
          <w:spacing w:val="0"/>
          <w:sz w:val="28"/>
          <w:szCs w:val="28"/>
          <w:shd w:val="clear" w:fill="FFFFFF"/>
          <w:lang w:val="en-US" w:eastAsia="zh-CN"/>
        </w:rPr>
        <w:t>（三）研究假设</w:t>
      </w:r>
    </w:p>
    <w:p w14:paraId="57A0D2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基于有效市场假说、行为金融学与金融情感分析领域的核心结论，结合本研究已有的全维度 LLM 发布事件集数据特征，提出</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以下假说</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w:t>
      </w:r>
    </w:p>
    <w:p w14:paraId="287669B0">
      <w:pPr>
        <w:pStyle w:val="5"/>
        <w:keepNext w:val="0"/>
        <w:keepLines w:val="0"/>
        <w:widowControl/>
        <w:suppressLineNumbers w:val="0"/>
        <w:ind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H1：相对于闭源模型，开源或开放权重模型的能力定价斜率更弱。</w:t>
      </w:r>
    </w:p>
    <w:p w14:paraId="5C62929B">
      <w:pPr>
        <w:pStyle w:val="5"/>
        <w:keepNext w:val="0"/>
        <w:keepLines w:val="0"/>
        <w:widowControl/>
        <w:suppressLineNumbers w:val="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此外，AI 模型发布事件通常伴随媒体报道。正面媒体情感可能代表市场乐观情绪，也可能意味着信息在事件日前后已被提前吸收，导致发布后收益较低。因此，媒体情感既可能是技术信息传播渠道，也可能是 hype 或 narrative pre-pricing 的代理变量。若模型能力只是媒体叙事的替代指标，那么控制媒体情感后，模型能力的系数应显著减弱或消失；若模型能力代表独立技术信息，那么模型能力和媒体情感应在回归中同时保留解释力。</w:t>
      </w:r>
    </w:p>
    <w:p w14:paraId="698399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 xml:space="preserve">H2：媒体情感的传导机制假设 </w:t>
      </w:r>
    </w:p>
    <w:p w14:paraId="6C5A2B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H2a：事件窗口期[−2</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0</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,+2</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0</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]，媒体报道的正面情感均值对相关公司 CAR 具有</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负向</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 xml:space="preserve">效应。 </w:t>
      </w:r>
    </w:p>
    <w:p w14:paraId="28C70B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 xml:space="preserve">H2b：事件窗口期内，媒体情感分歧度（标准差）会显著削弱 CAR 的统计显著性，即对正向 CAR 存在抑制作用，对负向 CAR 存在放大作用。 </w:t>
      </w:r>
    </w:p>
    <w:p w14:paraId="7AB643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H</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3</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模型能力越强、能力跃迁越大、开源程度越高、成本效率越高、推理能力越强，市场反应越显著。但不同特征对不同关系类型公司的影响方向可能不同。高能力闭源模型可能利好发布者和战略伙伴并压制竞争者；高质量开源模型可能利好生态与算力需求但削弱闭源厂商溢价；低成本高能力模型可能提升应用层预期，同时压低既有模型服务商估值。</w:t>
      </w:r>
    </w:p>
    <w:p w14:paraId="3FF5E3B5">
      <w:pPr>
        <w:spacing w:line="240" w:lineRule="auto"/>
        <w:jc w:val="left"/>
        <w:rPr>
          <w:rStyle w:val="8"/>
          <w:rFonts w:hint="eastAsia" w:ascii="宋体" w:hAnsi="宋体" w:eastAsia="宋体" w:cs="宋体"/>
          <w:b/>
          <w:bCs/>
          <w:i w:val="0"/>
          <w:iCs w:val="0"/>
          <w:caps w:val="0"/>
          <w:color w:val="auto"/>
          <w:spacing w:val="0"/>
          <w:sz w:val="28"/>
          <w:szCs w:val="28"/>
          <w:shd w:val="clear" w:fill="FFFFFF"/>
        </w:rPr>
      </w:pPr>
      <w:r>
        <w:rPr>
          <w:rStyle w:val="8"/>
          <w:rFonts w:hint="eastAsia" w:ascii="宋体" w:hAnsi="宋体" w:eastAsia="宋体" w:cs="宋体"/>
          <w:b/>
          <w:bCs/>
          <w:i w:val="0"/>
          <w:iCs w:val="0"/>
          <w:caps w:val="0"/>
          <w:color w:val="auto"/>
          <w:spacing w:val="0"/>
          <w:sz w:val="28"/>
          <w:szCs w:val="28"/>
          <w:shd w:val="clear" w:fill="FFFFFF"/>
          <w:lang w:val="en-US" w:eastAsia="zh-CN"/>
        </w:rPr>
        <w:t>二</w:t>
      </w:r>
      <w:r>
        <w:rPr>
          <w:rStyle w:val="8"/>
          <w:rFonts w:hint="eastAsia" w:ascii="宋体" w:hAnsi="宋体" w:eastAsia="宋体" w:cs="宋体"/>
          <w:b/>
          <w:bCs/>
          <w:i w:val="0"/>
          <w:iCs w:val="0"/>
          <w:caps w:val="0"/>
          <w:color w:val="auto"/>
          <w:spacing w:val="0"/>
          <w:sz w:val="28"/>
          <w:szCs w:val="28"/>
          <w:shd w:val="clear" w:fill="FFFFFF"/>
        </w:rPr>
        <w:t>、 研究目标与意义</w:t>
      </w:r>
    </w:p>
    <w:p w14:paraId="248F8A4C">
      <w:pPr>
        <w:spacing w:line="240" w:lineRule="auto"/>
        <w:jc w:val="left"/>
        <w:rPr>
          <w:b/>
          <w:bCs/>
          <w:color w:val="auto"/>
        </w:rPr>
      </w:pPr>
      <w:r>
        <w:rPr>
          <w:rStyle w:val="8"/>
          <w:rFonts w:hint="eastAsia" w:ascii="宋体" w:hAnsi="宋体" w:eastAsia="宋体" w:cs="宋体"/>
          <w:b/>
          <w:bCs/>
          <w:i w:val="0"/>
          <w:iCs w:val="0"/>
          <w:caps w:val="0"/>
          <w:color w:val="auto"/>
          <w:spacing w:val="0"/>
          <w:sz w:val="28"/>
          <w:szCs w:val="28"/>
          <w:shd w:val="clear" w:fill="FFFFFF"/>
          <w:lang w:eastAsia="zh-CN"/>
        </w:rPr>
        <w:t>（</w:t>
      </w:r>
      <w:r>
        <w:rPr>
          <w:rStyle w:val="8"/>
          <w:rFonts w:hint="eastAsia" w:ascii="宋体" w:hAnsi="宋体" w:eastAsia="宋体" w:cs="宋体"/>
          <w:b/>
          <w:bCs/>
          <w:i w:val="0"/>
          <w:iCs w:val="0"/>
          <w:caps w:val="0"/>
          <w:color w:val="auto"/>
          <w:spacing w:val="0"/>
          <w:sz w:val="28"/>
          <w:szCs w:val="28"/>
          <w:shd w:val="clear" w:fill="FFFFFF"/>
          <w:lang w:val="en-US" w:eastAsia="zh-CN"/>
        </w:rPr>
        <w:t>一</w:t>
      </w:r>
      <w:r>
        <w:rPr>
          <w:rStyle w:val="8"/>
          <w:rFonts w:hint="eastAsia" w:ascii="宋体" w:hAnsi="宋体" w:eastAsia="宋体" w:cs="宋体"/>
          <w:b/>
          <w:bCs/>
          <w:i w:val="0"/>
          <w:iCs w:val="0"/>
          <w:caps w:val="0"/>
          <w:color w:val="auto"/>
          <w:spacing w:val="0"/>
          <w:sz w:val="28"/>
          <w:szCs w:val="28"/>
          <w:shd w:val="clear" w:fill="FFFFFF"/>
          <w:lang w:eastAsia="zh-CN"/>
        </w:rPr>
        <w:t>）</w:t>
      </w:r>
      <w:r>
        <w:rPr>
          <w:rStyle w:val="8"/>
          <w:rFonts w:hint="eastAsia" w:ascii="宋体" w:hAnsi="宋体" w:eastAsia="宋体" w:cs="宋体"/>
          <w:b/>
          <w:bCs/>
          <w:i w:val="0"/>
          <w:iCs w:val="0"/>
          <w:caps w:val="0"/>
          <w:color w:val="auto"/>
          <w:spacing w:val="0"/>
          <w:sz w:val="28"/>
          <w:szCs w:val="28"/>
          <w:shd w:val="clear" w:fill="FFFFFF"/>
        </w:rPr>
        <w:t>研究目标</w:t>
      </w:r>
    </w:p>
    <w:p w14:paraId="748DAC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1.</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核心目标：基于已构建的 20</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24</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-20</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26</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 xml:space="preserve"> 年全球重大 LLM 发布事件全维度数据集，量化评估重大 LLM 发布事件对 AI 产业链上市公司股价的短期与中期影响，验证市场反应的存在性与异质性。</w:t>
      </w:r>
    </w:p>
    <w:p w14:paraId="4EB682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2.</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关键目标：基于事件集数据已有的事件特征、企业特征、市场反应、媒体情感四大维度字段，通过面板回归模型识别影响累计异常收益率（CAR）的关键因素，厘清 AI 产业链中 “赢家” 与 “输家” 的分化机制。</w:t>
      </w:r>
    </w:p>
    <w:p w14:paraId="412303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3.</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机制目标：通过实证分析，拆解 “技术特征→媒体情感→股价反应” 的微观传导路径，明确 LLM 发布事件影响资本市场的核心作用渠道，以及不同产业链环节的传导差异。</w:t>
      </w:r>
    </w:p>
    <w:p w14:paraId="04EEBC1F">
      <w:pPr>
        <w:spacing w:line="240" w:lineRule="auto"/>
        <w:jc w:val="left"/>
        <w:rPr>
          <w:rStyle w:val="8"/>
          <w:rFonts w:hint="eastAsia" w:ascii="宋体" w:hAnsi="宋体" w:eastAsia="宋体" w:cs="宋体"/>
          <w:b/>
          <w:bCs/>
          <w:i w:val="0"/>
          <w:iCs w:val="0"/>
          <w:caps w:val="0"/>
          <w:color w:val="auto"/>
          <w:spacing w:val="0"/>
          <w:sz w:val="28"/>
          <w:szCs w:val="28"/>
          <w:shd w:val="clear" w:fill="FFFFFF"/>
        </w:rPr>
      </w:pPr>
      <w:r>
        <w:rPr>
          <w:rStyle w:val="8"/>
          <w:rFonts w:hint="eastAsia" w:ascii="宋体" w:hAnsi="宋体" w:eastAsia="宋体" w:cs="宋体"/>
          <w:b/>
          <w:bCs/>
          <w:i w:val="0"/>
          <w:iCs w:val="0"/>
          <w:caps w:val="0"/>
          <w:color w:val="auto"/>
          <w:spacing w:val="0"/>
          <w:sz w:val="28"/>
          <w:szCs w:val="28"/>
          <w:shd w:val="clear" w:fill="FFFFFF"/>
          <w:lang w:eastAsia="zh-CN"/>
        </w:rPr>
        <w:t>（</w:t>
      </w:r>
      <w:r>
        <w:rPr>
          <w:rStyle w:val="8"/>
          <w:rFonts w:hint="eastAsia" w:ascii="宋体" w:hAnsi="宋体" w:eastAsia="宋体" w:cs="宋体"/>
          <w:b/>
          <w:bCs/>
          <w:i w:val="0"/>
          <w:iCs w:val="0"/>
          <w:caps w:val="0"/>
          <w:color w:val="auto"/>
          <w:spacing w:val="0"/>
          <w:sz w:val="28"/>
          <w:szCs w:val="28"/>
          <w:shd w:val="clear" w:fill="FFFFFF"/>
          <w:lang w:val="en-US" w:eastAsia="zh-CN"/>
        </w:rPr>
        <w:t>二</w:t>
      </w:r>
      <w:r>
        <w:rPr>
          <w:rStyle w:val="8"/>
          <w:rFonts w:hint="eastAsia" w:ascii="宋体" w:hAnsi="宋体" w:eastAsia="宋体" w:cs="宋体"/>
          <w:b/>
          <w:bCs/>
          <w:i w:val="0"/>
          <w:iCs w:val="0"/>
          <w:caps w:val="0"/>
          <w:color w:val="auto"/>
          <w:spacing w:val="0"/>
          <w:sz w:val="28"/>
          <w:szCs w:val="28"/>
          <w:shd w:val="clear" w:fill="FFFFFF"/>
          <w:lang w:eastAsia="zh-CN"/>
        </w:rPr>
        <w:t>）</w:t>
      </w:r>
      <w:r>
        <w:rPr>
          <w:rStyle w:val="8"/>
          <w:rFonts w:hint="eastAsia" w:ascii="宋体" w:hAnsi="宋体" w:eastAsia="宋体" w:cs="宋体"/>
          <w:b/>
          <w:bCs/>
          <w:i w:val="0"/>
          <w:iCs w:val="0"/>
          <w:caps w:val="0"/>
          <w:color w:val="auto"/>
          <w:spacing w:val="0"/>
          <w:sz w:val="28"/>
          <w:szCs w:val="28"/>
          <w:shd w:val="clear" w:fill="FFFFFF"/>
        </w:rPr>
        <w:t>研究意义</w:t>
      </w:r>
    </w:p>
    <w:p w14:paraId="0135E5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1.</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 xml:space="preserve">理论意义： </w:t>
      </w:r>
    </w:p>
    <w:p w14:paraId="3F83A08F">
      <w:pPr>
        <w:pStyle w:val="5"/>
        <w:keepNext w:val="0"/>
        <w:keepLines w:val="0"/>
        <w:widowControl/>
        <w:suppressLineNumbers w:val="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（1）本文将可占有性理论引入 AI 模型发布事件的资本市场研究。技术进步本身并不必然转化为企业价值，只有当企业能够通过知识产权、商业模式、平台绑定或客户锁定来占有技术租金时，技术能力才更可能被资本化为股价收益。大语言模型为检验这一机制提供了理想场景，因为闭源模型和开源模型在技术扩散方式、商业化路径和租金捕获能力上存在明显差异。</w:t>
      </w:r>
    </w:p>
    <w:p w14:paraId="25EB167F">
      <w:pPr>
        <w:pStyle w:val="5"/>
        <w:keepNext w:val="0"/>
        <w:keepLines w:val="0"/>
        <w:widowControl/>
        <w:suppressLineNumbers w:val="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（2）本文使用 Artificial Analysis Intelligence Index 衡量模型能力，避免仅以“是否发布”“是否多模态”“是否 SOTA”等粗略指标刻画技术冲击。模型能力是一个连续变量，能够更细致地识别市场是否对能力提升进行边际定价。</w:t>
      </w:r>
    </w:p>
    <w:p w14:paraId="4196E897">
      <w:pPr>
        <w:pStyle w:val="5"/>
        <w:keepNext w:val="0"/>
        <w:keepLines w:val="0"/>
        <w:widowControl/>
        <w:suppressLineNumbers w:val="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（3）本文区分技术能力与媒体叙事。AI 发布事件往往伴随大量正面报道，但媒体情感未必等同于真实技术价值。通过将 FinBERT 媒体情感与模型能力同时纳入回归，本文可以检验能力定价是否独立于媒体热度，并进一步讨论 AI 叙事与技术基本面在资本市场中的不同作用。</w:t>
      </w:r>
    </w:p>
    <w:p w14:paraId="2E7C21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2.</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 xml:space="preserve">实践意义： </w:t>
      </w:r>
    </w:p>
    <w:p w14:paraId="428C090E">
      <w:pPr>
        <w:pStyle w:val="5"/>
        <w:keepNext w:val="0"/>
        <w:keepLines w:val="0"/>
        <w:widowControl/>
        <w:suppressLineNumbers w:val="0"/>
        <w:ind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本文的实践意义在于，它有助于投资者理解 AI 技术事件并非同质化冲击。相同的能力提升，在闭源模型和开源模型中可能具有完全不同的资产定价含义。对于科技企业而言，本文也说明资本市场不仅关注“模型是否强”，还关注“模型能力能否被商业化和占有”。对于监管者而言，本文提供了识别 AI 主题炒作与真实技术定价差异的经验证据。</w:t>
      </w:r>
    </w:p>
    <w:p w14:paraId="190ACF34">
      <w:pPr>
        <w:spacing w:line="240" w:lineRule="auto"/>
        <w:jc w:val="left"/>
        <w:rPr>
          <w:color w:val="auto"/>
        </w:rPr>
      </w:pPr>
      <w:r>
        <w:rPr>
          <w:rStyle w:val="8"/>
          <w:rFonts w:hint="eastAsia" w:ascii="宋体" w:hAnsi="宋体" w:eastAsia="宋体" w:cs="宋体"/>
          <w:b/>
          <w:bCs/>
          <w:i w:val="0"/>
          <w:iCs w:val="0"/>
          <w:caps w:val="0"/>
          <w:color w:val="auto"/>
          <w:spacing w:val="0"/>
          <w:sz w:val="28"/>
          <w:szCs w:val="28"/>
          <w:shd w:val="clear" w:fill="FFFFFF"/>
          <w:lang w:val="en-US" w:eastAsia="zh-CN"/>
        </w:rPr>
        <w:t>三</w:t>
      </w:r>
      <w:r>
        <w:rPr>
          <w:rStyle w:val="8"/>
          <w:rFonts w:hint="eastAsia" w:ascii="宋体" w:hAnsi="宋体" w:eastAsia="宋体" w:cs="宋体"/>
          <w:b/>
          <w:bCs/>
          <w:i w:val="0"/>
          <w:iCs w:val="0"/>
          <w:caps w:val="0"/>
          <w:color w:val="auto"/>
          <w:spacing w:val="0"/>
          <w:sz w:val="28"/>
          <w:szCs w:val="28"/>
          <w:shd w:val="clear" w:fill="FFFFFF"/>
        </w:rPr>
        <w:t>、 文献综述</w:t>
      </w:r>
    </w:p>
    <w:p w14:paraId="03CCA2C4">
      <w:pPr>
        <w:spacing w:line="240" w:lineRule="auto"/>
        <w:jc w:val="left"/>
        <w:rPr>
          <w:rStyle w:val="8"/>
          <w:rFonts w:hint="eastAsia" w:ascii="宋体" w:hAnsi="宋体" w:eastAsia="宋体" w:cs="宋体"/>
          <w:b/>
          <w:bCs/>
          <w:i w:val="0"/>
          <w:iCs w:val="0"/>
          <w:caps w:val="0"/>
          <w:color w:val="auto"/>
          <w:spacing w:val="0"/>
          <w:sz w:val="28"/>
          <w:szCs w:val="28"/>
          <w:shd w:val="clear" w:fill="FFFFFF"/>
        </w:rPr>
      </w:pPr>
      <w:r>
        <w:rPr>
          <w:rStyle w:val="8"/>
          <w:rFonts w:hint="eastAsia" w:ascii="宋体" w:hAnsi="宋体" w:eastAsia="宋体" w:cs="宋体"/>
          <w:b/>
          <w:bCs/>
          <w:i w:val="0"/>
          <w:iCs w:val="0"/>
          <w:caps w:val="0"/>
          <w:color w:val="auto"/>
          <w:spacing w:val="0"/>
          <w:sz w:val="28"/>
          <w:szCs w:val="28"/>
          <w:shd w:val="clear" w:fill="FFFFFF"/>
          <w:lang w:eastAsia="zh-CN"/>
        </w:rPr>
        <w:t>（</w:t>
      </w:r>
      <w:r>
        <w:rPr>
          <w:rStyle w:val="8"/>
          <w:rFonts w:hint="eastAsia" w:ascii="宋体" w:hAnsi="宋体" w:eastAsia="宋体" w:cs="宋体"/>
          <w:b/>
          <w:bCs/>
          <w:i w:val="0"/>
          <w:iCs w:val="0"/>
          <w:caps w:val="0"/>
          <w:color w:val="auto"/>
          <w:spacing w:val="0"/>
          <w:sz w:val="28"/>
          <w:szCs w:val="28"/>
          <w:shd w:val="clear" w:fill="FFFFFF"/>
          <w:lang w:val="en-US" w:eastAsia="zh-CN"/>
        </w:rPr>
        <w:t>一</w:t>
      </w:r>
      <w:r>
        <w:rPr>
          <w:rStyle w:val="8"/>
          <w:rFonts w:hint="eastAsia" w:ascii="宋体" w:hAnsi="宋体" w:eastAsia="宋体" w:cs="宋体"/>
          <w:b/>
          <w:bCs/>
          <w:i w:val="0"/>
          <w:iCs w:val="0"/>
          <w:caps w:val="0"/>
          <w:color w:val="auto"/>
          <w:spacing w:val="0"/>
          <w:sz w:val="28"/>
          <w:szCs w:val="28"/>
          <w:shd w:val="clear" w:fill="FFFFFF"/>
          <w:lang w:eastAsia="zh-CN"/>
        </w:rPr>
        <w:t>）</w:t>
      </w:r>
      <w:r>
        <w:rPr>
          <w:rStyle w:val="8"/>
          <w:rFonts w:hint="eastAsia" w:ascii="宋体" w:hAnsi="宋体" w:eastAsia="宋体" w:cs="宋体"/>
          <w:b/>
          <w:bCs/>
          <w:i w:val="0"/>
          <w:iCs w:val="0"/>
          <w:caps w:val="0"/>
          <w:color w:val="auto"/>
          <w:spacing w:val="0"/>
          <w:sz w:val="28"/>
          <w:szCs w:val="28"/>
          <w:shd w:val="clear" w:fill="FFFFFF"/>
        </w:rPr>
        <w:t>事件研究法在科技企业新产品发布中的应用</w:t>
      </w:r>
    </w:p>
    <w:p w14:paraId="6D9EF803">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default" w:ascii="宋体" w:hAnsi="宋体" w:eastAsia="宋体" w:cs="宋体"/>
          <w:b w:val="0"/>
          <w:bCs w:val="0"/>
          <w:i w:val="0"/>
          <w:iCs w:val="0"/>
          <w:caps w:val="0"/>
          <w:color w:val="auto"/>
          <w:spacing w:val="0"/>
          <w:sz w:val="28"/>
          <w:szCs w:val="28"/>
          <w:shd w:val="clear" w:fill="FFFFFF"/>
        </w:rPr>
        <w:t>回顾现有文献如何利用事件研究法分析新产品、新技术的发布对股价的短期冲击，总结其研究设计与主要发现。特别关注文献中关于事件窗口期选择、以及如何控制事件前股价趋势以解决内生性问题的成熟做法。</w:t>
      </w:r>
    </w:p>
    <w:p w14:paraId="7E4EB43E">
      <w:pPr>
        <w:numPr>
          <w:ilvl w:val="0"/>
          <w:numId w:val="0"/>
        </w:numPr>
        <w:spacing w:line="240" w:lineRule="auto"/>
        <w:jc w:val="left"/>
        <w:rPr>
          <w:rStyle w:val="8"/>
          <w:rFonts w:hint="default" w:ascii="宋体" w:hAnsi="宋体" w:eastAsia="宋体" w:cs="宋体"/>
          <w:b/>
          <w:bCs/>
          <w:i w:val="0"/>
          <w:iCs w:val="0"/>
          <w:caps w:val="0"/>
          <w:color w:val="auto"/>
          <w:spacing w:val="0"/>
          <w:sz w:val="28"/>
          <w:szCs w:val="28"/>
          <w:shd w:val="clear" w:fill="FFFFFF"/>
        </w:rPr>
      </w:pPr>
      <w:r>
        <w:rPr>
          <w:rFonts w:hint="eastAsia" w:ascii="宋体" w:hAnsi="宋体" w:eastAsia="宋体" w:cs="宋体"/>
          <w:b/>
          <w:bCs/>
          <w:i w:val="0"/>
          <w:iCs w:val="0"/>
          <w:caps w:val="0"/>
          <w:color w:val="auto"/>
          <w:spacing w:val="0"/>
          <w:kern w:val="2"/>
          <w:sz w:val="28"/>
          <w:szCs w:val="28"/>
          <w:shd w:val="clear" w:fill="FFFFFF"/>
          <w:lang w:val="en-US" w:eastAsia="zh-CN" w:bidi="ar-SA"/>
        </w:rPr>
        <w:t>（二）</w:t>
      </w:r>
      <w:r>
        <w:rPr>
          <w:rStyle w:val="8"/>
          <w:rFonts w:hint="default" w:ascii="宋体" w:hAnsi="宋体" w:eastAsia="宋体" w:cs="宋体"/>
          <w:b/>
          <w:bCs/>
          <w:i w:val="0"/>
          <w:iCs w:val="0"/>
          <w:caps w:val="0"/>
          <w:color w:val="auto"/>
          <w:spacing w:val="0"/>
          <w:sz w:val="28"/>
          <w:szCs w:val="28"/>
          <w:shd w:val="clear" w:fill="FFFFFF"/>
        </w:rPr>
        <w:t>情感分析在金融学中的应用</w:t>
      </w:r>
    </w:p>
    <w:p w14:paraId="07C25CE5">
      <w:pPr>
        <w:numPr>
          <w:ilvl w:val="0"/>
          <w:numId w:val="0"/>
        </w:numPr>
        <w:spacing w:line="240" w:lineRule="auto"/>
        <w:ind w:firstLine="560" w:firstLineChars="200"/>
        <w:jc w:val="left"/>
        <w:rPr>
          <w:rStyle w:val="8"/>
          <w:rFonts w:hint="default" w:ascii="宋体" w:hAnsi="宋体" w:eastAsia="宋体" w:cs="宋体"/>
          <w:b w:val="0"/>
          <w:bCs w:val="0"/>
          <w:i w:val="0"/>
          <w:iCs w:val="0"/>
          <w:caps w:val="0"/>
          <w:color w:val="auto"/>
          <w:spacing w:val="0"/>
          <w:sz w:val="28"/>
          <w:szCs w:val="28"/>
          <w:shd w:val="clear" w:fill="FFFFFF"/>
        </w:rPr>
      </w:pPr>
      <w:r>
        <w:rPr>
          <w:rStyle w:val="8"/>
          <w:rFonts w:hint="default" w:ascii="宋体" w:hAnsi="宋体" w:eastAsia="宋体" w:cs="宋体"/>
          <w:b w:val="0"/>
          <w:bCs w:val="0"/>
          <w:i w:val="0"/>
          <w:iCs w:val="0"/>
          <w:caps w:val="0"/>
          <w:color w:val="auto"/>
          <w:spacing w:val="0"/>
          <w:sz w:val="28"/>
          <w:szCs w:val="28"/>
          <w:shd w:val="clear" w:fill="FFFFFF"/>
        </w:rPr>
        <w:t>梳理从词典法到深度学习的情感分析方法演进，重点关注意见情感如何被用于解释资产价格波动与交易量变化。鉴于传统词典法（如VADER）在金融文本分析中的局限性，本部分将重点综述FinBERT等金融领域预训练模型的应用与优势。</w:t>
      </w:r>
    </w:p>
    <w:p w14:paraId="67D555A0">
      <w:pPr>
        <w:numPr>
          <w:ilvl w:val="0"/>
          <w:numId w:val="0"/>
        </w:numPr>
        <w:spacing w:line="240" w:lineRule="auto"/>
        <w:jc w:val="left"/>
        <w:rPr>
          <w:rFonts w:hint="eastAsia" w:ascii="宋体" w:hAnsi="宋体" w:eastAsia="宋体" w:cs="宋体"/>
          <w:b/>
          <w:bCs/>
          <w:i w:val="0"/>
          <w:iCs w:val="0"/>
          <w:caps w:val="0"/>
          <w:color w:val="auto"/>
          <w:spacing w:val="0"/>
          <w:kern w:val="2"/>
          <w:sz w:val="28"/>
          <w:szCs w:val="28"/>
          <w:shd w:val="clear" w:fill="FFFFFF"/>
          <w:lang w:val="en-US" w:eastAsia="zh-CN" w:bidi="ar-SA"/>
        </w:rPr>
      </w:pPr>
      <w:r>
        <w:rPr>
          <w:rFonts w:hint="eastAsia" w:ascii="宋体" w:hAnsi="宋体" w:eastAsia="宋体" w:cs="宋体"/>
          <w:b/>
          <w:bCs/>
          <w:i w:val="0"/>
          <w:iCs w:val="0"/>
          <w:caps w:val="0"/>
          <w:color w:val="auto"/>
          <w:spacing w:val="0"/>
          <w:kern w:val="2"/>
          <w:sz w:val="28"/>
          <w:szCs w:val="28"/>
          <w:shd w:val="clear" w:fill="FFFFFF"/>
          <w:lang w:val="en-US" w:eastAsia="zh-CN" w:bidi="ar-SA"/>
        </w:rPr>
        <w:t>（三）重大事件发布对异常收益率的影响</w:t>
      </w:r>
    </w:p>
    <w:p w14:paraId="667D9B84">
      <w:pPr>
        <w:numPr>
          <w:ilvl w:val="0"/>
          <w:numId w:val="0"/>
        </w:numPr>
        <w:spacing w:line="240" w:lineRule="auto"/>
        <w:ind w:firstLine="560" w:firstLineChars="200"/>
        <w:jc w:val="left"/>
        <w:rPr>
          <w:rStyle w:val="8"/>
          <w:rFonts w:hint="default" w:ascii="宋体" w:hAnsi="宋体" w:eastAsia="宋体" w:cs="宋体"/>
          <w:b w:val="0"/>
          <w:bCs w:val="0"/>
          <w:i w:val="0"/>
          <w:iCs w:val="0"/>
          <w:caps w:val="0"/>
          <w:color w:val="auto"/>
          <w:spacing w:val="0"/>
          <w:sz w:val="28"/>
          <w:szCs w:val="28"/>
          <w:shd w:val="clear" w:fill="FFFFFF"/>
          <w:lang w:val="en-US" w:eastAsia="zh-CN"/>
        </w:rPr>
      </w:pPr>
      <w:r>
        <w:rPr>
          <w:rStyle w:val="8"/>
          <w:rFonts w:hint="default" w:ascii="宋体" w:hAnsi="宋体" w:eastAsia="宋体" w:cs="宋体"/>
          <w:b w:val="0"/>
          <w:bCs w:val="0"/>
          <w:i w:val="0"/>
          <w:iCs w:val="0"/>
          <w:caps w:val="0"/>
          <w:color w:val="auto"/>
          <w:spacing w:val="0"/>
          <w:sz w:val="28"/>
          <w:szCs w:val="28"/>
          <w:shd w:val="clear" w:fill="FFFFFF"/>
        </w:rPr>
        <w:t>事件研究法在资本市场中的应用已相当成熟，尤其在重大产品发布、技术突破、监管决策等场景。MacKinlay（1997）系统总结了事件研究的方法论框架，指出累计异常收益率（CAR）的显著性取决于事件信息的“新颖性”与“未预期程度”。就科技企业而言，Chan et al.（2001）发现，研发支出与专利授权公告会产生显著的正向 CAR，且这一效应在高成长性企业中更为突出。然而，针对 AI 领域的重大发布事件（如 AlphaGo 战胜李世石、GPT-3 发布等），现有研究多将其归入“广义技术创新”事件，缺乏对 LLM 这类具有强基础设施属性事件的专门检验。近期少量研究（如 Erel &amp; Lie，2023 预印本）开始关注 ChatGPT 发布对教育科技股的冲击，但仍停留在单一事件分析，未形成系统的事件面板数据框架。本研究立足于这一缺口，将 20</w:t>
      </w:r>
      <w:r>
        <w:rPr>
          <w:rStyle w:val="8"/>
          <w:rFonts w:hint="eastAsia" w:ascii="宋体" w:hAnsi="宋体" w:eastAsia="宋体" w:cs="宋体"/>
          <w:b w:val="0"/>
          <w:bCs w:val="0"/>
          <w:i w:val="0"/>
          <w:iCs w:val="0"/>
          <w:caps w:val="0"/>
          <w:color w:val="auto"/>
          <w:spacing w:val="0"/>
          <w:sz w:val="28"/>
          <w:szCs w:val="28"/>
          <w:shd w:val="clear" w:fill="FFFFFF"/>
          <w:lang w:val="en-US" w:eastAsia="zh-CN"/>
        </w:rPr>
        <w:t>24</w:t>
      </w:r>
      <w:r>
        <w:rPr>
          <w:rStyle w:val="8"/>
          <w:rFonts w:hint="default" w:ascii="宋体" w:hAnsi="宋体" w:eastAsia="宋体" w:cs="宋体"/>
          <w:b w:val="0"/>
          <w:bCs w:val="0"/>
          <w:i w:val="0"/>
          <w:iCs w:val="0"/>
          <w:caps w:val="0"/>
          <w:color w:val="auto"/>
          <w:spacing w:val="0"/>
          <w:sz w:val="28"/>
          <w:szCs w:val="28"/>
          <w:shd w:val="clear" w:fill="FFFFFF"/>
        </w:rPr>
        <w:t>–202</w:t>
      </w:r>
      <w:r>
        <w:rPr>
          <w:rStyle w:val="8"/>
          <w:rFonts w:hint="eastAsia" w:ascii="宋体" w:hAnsi="宋体" w:eastAsia="宋体" w:cs="宋体"/>
          <w:b w:val="0"/>
          <w:bCs w:val="0"/>
          <w:i w:val="0"/>
          <w:iCs w:val="0"/>
          <w:caps w:val="0"/>
          <w:color w:val="auto"/>
          <w:spacing w:val="0"/>
          <w:sz w:val="28"/>
          <w:szCs w:val="28"/>
          <w:shd w:val="clear" w:fill="FFFFFF"/>
          <w:lang w:val="en-US" w:eastAsia="zh-CN"/>
        </w:rPr>
        <w:t>6</w:t>
      </w:r>
      <w:r>
        <w:rPr>
          <w:rStyle w:val="8"/>
          <w:rFonts w:hint="default" w:ascii="宋体" w:hAnsi="宋体" w:eastAsia="宋体" w:cs="宋体"/>
          <w:b w:val="0"/>
          <w:bCs w:val="0"/>
          <w:i w:val="0"/>
          <w:iCs w:val="0"/>
          <w:caps w:val="0"/>
          <w:color w:val="auto"/>
          <w:spacing w:val="0"/>
          <w:sz w:val="28"/>
          <w:szCs w:val="28"/>
          <w:shd w:val="clear" w:fill="FFFFFF"/>
        </w:rPr>
        <w:t>年间重大 LLM 发布作为重复性事件样本，系统检验其 CAR 的异质性来源。</w:t>
      </w:r>
    </w:p>
    <w:p w14:paraId="043235ED">
      <w:pPr>
        <w:numPr>
          <w:ilvl w:val="0"/>
          <w:numId w:val="0"/>
        </w:numPr>
        <w:spacing w:line="240" w:lineRule="auto"/>
        <w:jc w:val="left"/>
        <w:rPr>
          <w:rFonts w:hint="eastAsia" w:ascii="宋体" w:hAnsi="宋体" w:eastAsia="宋体" w:cs="宋体"/>
          <w:b/>
          <w:bCs/>
          <w:i w:val="0"/>
          <w:iCs w:val="0"/>
          <w:caps w:val="0"/>
          <w:color w:val="auto"/>
          <w:spacing w:val="0"/>
          <w:kern w:val="2"/>
          <w:sz w:val="28"/>
          <w:szCs w:val="28"/>
          <w:shd w:val="clear" w:fill="FFFFFF"/>
          <w:lang w:val="en-US" w:eastAsia="zh-CN" w:bidi="ar-SA"/>
        </w:rPr>
      </w:pPr>
      <w:r>
        <w:rPr>
          <w:rFonts w:hint="eastAsia" w:ascii="宋体" w:hAnsi="宋体" w:eastAsia="宋体" w:cs="宋体"/>
          <w:b/>
          <w:bCs/>
          <w:i w:val="0"/>
          <w:iCs w:val="0"/>
          <w:caps w:val="0"/>
          <w:color w:val="auto"/>
          <w:spacing w:val="0"/>
          <w:kern w:val="2"/>
          <w:sz w:val="28"/>
          <w:szCs w:val="28"/>
          <w:shd w:val="clear" w:fill="FFFFFF"/>
          <w:lang w:val="en-US" w:eastAsia="zh-CN" w:bidi="ar-SA"/>
        </w:rPr>
        <w:t>（四）文献评述与研究缺口</w:t>
      </w:r>
    </w:p>
    <w:p w14:paraId="6733D359">
      <w:pPr>
        <w:pStyle w:val="5"/>
        <w:keepNext w:val="0"/>
        <w:keepLines w:val="0"/>
        <w:widowControl/>
        <w:suppressLineNumbers w:val="0"/>
        <w:spacing w:before="0" w:beforeAutospacing="0" w:after="0" w:afterAutospacing="0"/>
        <w:ind w:right="0" w:firstLine="560" w:firstLineChars="200"/>
        <w:jc w:val="left"/>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现有文献仍存在三个缺口。第一，关于 AI 技术事件的资本市场研究多集中于单一事件或广义 AI 新闻，较少聚焦可定位到具体模型或模型家族的 LLM 发布事件。第二，现有研究缺乏对模型能力的直接度量，难以区分市场是在反应“AI 发布”这一标签，还是在定价真实能力变化。第三，现有研究较少考察技术能力的可占有性差异，因而无法解释为什么同样的能力提升在闭源和开源模型中可能具有不同的股价含义。本文正是针对上述缺口展开。</w:t>
      </w:r>
    </w:p>
    <w:p w14:paraId="103389A6">
      <w:pPr>
        <w:spacing w:line="240" w:lineRule="auto"/>
        <w:jc w:val="left"/>
        <w:rPr>
          <w:rStyle w:val="8"/>
          <w:rFonts w:hint="eastAsia" w:ascii="宋体" w:hAnsi="宋体" w:eastAsia="宋体" w:cs="宋体"/>
          <w:b/>
          <w:bCs/>
          <w:i w:val="0"/>
          <w:iCs w:val="0"/>
          <w:caps w:val="0"/>
          <w:color w:val="auto"/>
          <w:spacing w:val="0"/>
          <w:sz w:val="28"/>
          <w:szCs w:val="28"/>
          <w:shd w:val="clear" w:fill="FFFFFF"/>
        </w:rPr>
      </w:pPr>
      <w:r>
        <w:rPr>
          <w:rStyle w:val="8"/>
          <w:rFonts w:hint="eastAsia" w:ascii="宋体" w:hAnsi="宋体" w:eastAsia="宋体" w:cs="宋体"/>
          <w:b/>
          <w:bCs/>
          <w:i w:val="0"/>
          <w:iCs w:val="0"/>
          <w:caps w:val="0"/>
          <w:color w:val="auto"/>
          <w:spacing w:val="0"/>
          <w:sz w:val="28"/>
          <w:szCs w:val="28"/>
          <w:shd w:val="clear" w:fill="FFFFFF"/>
          <w:lang w:val="en-US" w:eastAsia="zh-CN"/>
        </w:rPr>
        <w:t>四</w:t>
      </w:r>
      <w:r>
        <w:rPr>
          <w:rStyle w:val="8"/>
          <w:rFonts w:hint="eastAsia" w:ascii="宋体" w:hAnsi="宋体" w:eastAsia="宋体" w:cs="宋体"/>
          <w:b/>
          <w:bCs/>
          <w:i w:val="0"/>
          <w:iCs w:val="0"/>
          <w:caps w:val="0"/>
          <w:color w:val="auto"/>
          <w:spacing w:val="0"/>
          <w:sz w:val="28"/>
          <w:szCs w:val="28"/>
          <w:shd w:val="clear" w:fill="FFFFFF"/>
        </w:rPr>
        <w:t>、 研究方法</w:t>
      </w:r>
    </w:p>
    <w:p w14:paraId="52650B39">
      <w:pPr>
        <w:spacing w:line="240" w:lineRule="auto"/>
        <w:jc w:val="left"/>
        <w:rPr>
          <w:rStyle w:val="8"/>
          <w:rFonts w:hint="eastAsia" w:ascii="宋体" w:hAnsi="宋体" w:eastAsia="宋体" w:cs="宋体"/>
          <w:b/>
          <w:bCs/>
          <w:i w:val="0"/>
          <w:iCs w:val="0"/>
          <w:caps w:val="0"/>
          <w:color w:val="auto"/>
          <w:spacing w:val="0"/>
          <w:sz w:val="28"/>
          <w:szCs w:val="28"/>
          <w:shd w:val="clear" w:fill="FFFFFF"/>
        </w:rPr>
      </w:pPr>
      <w:r>
        <w:rPr>
          <w:rStyle w:val="8"/>
          <w:rFonts w:hint="eastAsia" w:ascii="宋体" w:hAnsi="宋体" w:eastAsia="宋体" w:cs="宋体"/>
          <w:b/>
          <w:bCs/>
          <w:i w:val="0"/>
          <w:iCs w:val="0"/>
          <w:caps w:val="0"/>
          <w:color w:val="auto"/>
          <w:spacing w:val="0"/>
          <w:sz w:val="28"/>
          <w:szCs w:val="28"/>
          <w:shd w:val="clear" w:fill="FFFFFF"/>
          <w:lang w:eastAsia="zh-CN"/>
        </w:rPr>
        <w:t>（</w:t>
      </w:r>
      <w:r>
        <w:rPr>
          <w:rStyle w:val="8"/>
          <w:rFonts w:hint="eastAsia" w:ascii="宋体" w:hAnsi="宋体" w:eastAsia="宋体" w:cs="宋体"/>
          <w:b/>
          <w:bCs/>
          <w:i w:val="0"/>
          <w:iCs w:val="0"/>
          <w:caps w:val="0"/>
          <w:color w:val="auto"/>
          <w:spacing w:val="0"/>
          <w:sz w:val="28"/>
          <w:szCs w:val="28"/>
          <w:shd w:val="clear" w:fill="FFFFFF"/>
          <w:lang w:val="en-US" w:eastAsia="zh-CN"/>
        </w:rPr>
        <w:t>一</w:t>
      </w:r>
      <w:r>
        <w:rPr>
          <w:rStyle w:val="8"/>
          <w:rFonts w:hint="eastAsia" w:ascii="宋体" w:hAnsi="宋体" w:eastAsia="宋体" w:cs="宋体"/>
          <w:b/>
          <w:bCs/>
          <w:i w:val="0"/>
          <w:iCs w:val="0"/>
          <w:caps w:val="0"/>
          <w:color w:val="auto"/>
          <w:spacing w:val="0"/>
          <w:sz w:val="28"/>
          <w:szCs w:val="28"/>
          <w:shd w:val="clear" w:fill="FFFFFF"/>
          <w:lang w:eastAsia="zh-CN"/>
        </w:rPr>
        <w:t>）</w:t>
      </w:r>
      <w:r>
        <w:rPr>
          <w:rStyle w:val="8"/>
          <w:rFonts w:hint="eastAsia" w:ascii="宋体" w:hAnsi="宋体" w:eastAsia="宋体" w:cs="宋体"/>
          <w:b/>
          <w:bCs/>
          <w:i w:val="0"/>
          <w:iCs w:val="0"/>
          <w:caps w:val="0"/>
          <w:color w:val="auto"/>
          <w:spacing w:val="0"/>
          <w:sz w:val="28"/>
          <w:szCs w:val="28"/>
          <w:shd w:val="clear" w:fill="FFFFFF"/>
        </w:rPr>
        <w:t>事件选择与样本构建</w:t>
      </w:r>
    </w:p>
    <w:p w14:paraId="3E8CD652">
      <w:pPr>
        <w:pStyle w:val="5"/>
        <w:keepNext w:val="0"/>
        <w:keepLines w:val="0"/>
        <w:widowControl/>
        <w:suppressLineNumbers w:val="0"/>
        <w:spacing w:before="0" w:beforeAutospacing="0" w:after="0" w:afterAutospacing="0"/>
        <w:ind w:right="0"/>
        <w:jc w:val="left"/>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1.事件选择：</w:t>
      </w:r>
    </w:p>
    <w:p w14:paraId="30DC25BC">
      <w:pPr>
        <w:pStyle w:val="5"/>
        <w:keepNext w:val="0"/>
        <w:keepLines w:val="0"/>
        <w:widowControl/>
        <w:suppressLineNumbers w:val="0"/>
        <w:spacing w:before="0" w:beforeAutospacing="0" w:after="0" w:afterAutospacing="0"/>
        <w:ind w:right="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bookmarkStart w:id="0" w:name="_GoBack"/>
      <w:bookmarkEnd w:id="0"/>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2.事件日、</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事件窗口与估计窗口：</w:t>
      </w:r>
    </w:p>
    <w:p w14:paraId="0BE38FFA">
      <w:pPr>
        <w:pStyle w:val="5"/>
        <w:keepNext w:val="0"/>
        <w:keepLines w:val="0"/>
        <w:widowControl/>
        <w:suppressLineNumbers w:val="0"/>
        <w:spacing w:before="0" w:beforeAutospacing="0" w:after="0" w:afterAutospacing="0"/>
        <w:ind w:right="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 xml:space="preserve">    事件日：</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本研究以模型官方发布日为基准事件日T</w:t>
      </w:r>
      <w:r>
        <w:rPr>
          <w:rStyle w:val="8"/>
          <w:rFonts w:hint="default" w:ascii="宋体" w:hAnsi="宋体" w:eastAsia="宋体" w:cs="宋体"/>
          <w:b w:val="0"/>
          <w:bCs w:val="0"/>
          <w:i w:val="0"/>
          <w:iCs w:val="0"/>
          <w:caps w:val="0"/>
          <w:color w:val="auto"/>
          <w:spacing w:val="0"/>
          <w:kern w:val="2"/>
          <w:sz w:val="28"/>
          <w:szCs w:val="28"/>
          <w:shd w:val="clear" w:fill="FFFFFF"/>
          <w:vertAlign w:val="subscript"/>
          <w:lang w:val="en-US" w:eastAsia="zh-CN" w:bidi="ar-SA"/>
        </w:rPr>
        <w:t>0</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若官方发布日为美股非交易日，则顺延至下一个交易日；若发布前存在权威媒体提前爆料、信息泄露导致股价提前反应的情况，以首个引发市场显著异动的权威媒体报道日为事件日，并同步进行敏感性分析验证。</w:t>
      </w:r>
    </w:p>
    <w:p w14:paraId="48146D7B">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事件窗口：考虑</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信息滞后性</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，将主事件窗口设定为事件日前后</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20</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个交易日，即[-20, +20]。稳健性检验采用[-</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1</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 +</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1</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[-2, +2]、[-3, +3] 窗口，长窗口 [-10, +10]、 [-1</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5</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 +1</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5</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]仅用于股价反转效应分析，不用于主回归。</w:t>
      </w:r>
    </w:p>
    <w:p w14:paraId="2F9FB67C">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估计窗口：采用事件日前 [-200, -10] 个交易日作为清洁期，用于估计定价模型参数；若估计窗口内个股出现连续停牌≥10 天、重大事件冲击等情况，剔除该类异常交易日，确保估计窗口内有效交易日≥120 天，避免参数估计偏误。</w:t>
      </w:r>
    </w:p>
    <w:p w14:paraId="3DF56A63">
      <w:pPr>
        <w:pStyle w:val="5"/>
        <w:keepNext w:val="0"/>
        <w:keepLines w:val="0"/>
        <w:widowControl/>
        <w:suppressLineNumbers w:val="0"/>
        <w:spacing w:before="0" w:beforeAutospacing="0" w:after="0" w:afterAutospacing="0"/>
        <w:ind w:right="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3.</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排除标准：对不符合上述标准或数据严重缺失的事件予以剔除。</w:t>
      </w:r>
    </w:p>
    <w:p w14:paraId="0052E18E">
      <w:pPr>
        <w:spacing w:line="240" w:lineRule="auto"/>
        <w:jc w:val="left"/>
        <w:rPr>
          <w:rStyle w:val="8"/>
          <w:rFonts w:hint="eastAsia" w:ascii="宋体" w:hAnsi="宋体" w:eastAsia="宋体" w:cs="宋体"/>
          <w:b/>
          <w:bCs/>
          <w:i w:val="0"/>
          <w:iCs w:val="0"/>
          <w:caps w:val="0"/>
          <w:color w:val="auto"/>
          <w:spacing w:val="0"/>
          <w:sz w:val="28"/>
          <w:szCs w:val="28"/>
          <w:shd w:val="clear" w:fill="FFFFFF"/>
        </w:rPr>
      </w:pPr>
      <w:r>
        <w:rPr>
          <w:rStyle w:val="8"/>
          <w:rFonts w:hint="eastAsia" w:ascii="宋体" w:hAnsi="宋体" w:eastAsia="宋体" w:cs="宋体"/>
          <w:b/>
          <w:bCs/>
          <w:i w:val="0"/>
          <w:iCs w:val="0"/>
          <w:caps w:val="0"/>
          <w:color w:val="auto"/>
          <w:spacing w:val="0"/>
          <w:sz w:val="28"/>
          <w:szCs w:val="28"/>
          <w:shd w:val="clear" w:fill="FFFFFF"/>
          <w:lang w:eastAsia="zh-CN"/>
        </w:rPr>
        <w:t>（</w:t>
      </w:r>
      <w:r>
        <w:rPr>
          <w:rStyle w:val="8"/>
          <w:rFonts w:hint="eastAsia" w:ascii="宋体" w:hAnsi="宋体" w:eastAsia="宋体" w:cs="宋体"/>
          <w:b/>
          <w:bCs/>
          <w:i w:val="0"/>
          <w:iCs w:val="0"/>
          <w:caps w:val="0"/>
          <w:color w:val="auto"/>
          <w:spacing w:val="0"/>
          <w:sz w:val="28"/>
          <w:szCs w:val="28"/>
          <w:shd w:val="clear" w:fill="FFFFFF"/>
          <w:lang w:val="en-US" w:eastAsia="zh-CN"/>
        </w:rPr>
        <w:t>二</w:t>
      </w:r>
      <w:r>
        <w:rPr>
          <w:rStyle w:val="8"/>
          <w:rFonts w:hint="eastAsia" w:ascii="宋体" w:hAnsi="宋体" w:eastAsia="宋体" w:cs="宋体"/>
          <w:b/>
          <w:bCs/>
          <w:i w:val="0"/>
          <w:iCs w:val="0"/>
          <w:caps w:val="0"/>
          <w:color w:val="auto"/>
          <w:spacing w:val="0"/>
          <w:sz w:val="28"/>
          <w:szCs w:val="28"/>
          <w:shd w:val="clear" w:fill="FFFFFF"/>
          <w:lang w:eastAsia="zh-CN"/>
        </w:rPr>
        <w:t>）</w:t>
      </w:r>
      <w:r>
        <w:rPr>
          <w:rStyle w:val="8"/>
          <w:rFonts w:hint="eastAsia" w:ascii="宋体" w:hAnsi="宋体" w:eastAsia="宋体" w:cs="宋体"/>
          <w:b/>
          <w:bCs/>
          <w:i w:val="0"/>
          <w:iCs w:val="0"/>
          <w:caps w:val="0"/>
          <w:color w:val="auto"/>
          <w:spacing w:val="0"/>
          <w:sz w:val="28"/>
          <w:szCs w:val="28"/>
          <w:shd w:val="clear" w:fill="FFFFFF"/>
        </w:rPr>
        <w:t>数据来源</w:t>
      </w:r>
    </w:p>
    <w:p w14:paraId="343F8E89">
      <w:pPr>
        <w:spacing w:line="240" w:lineRule="auto"/>
        <w:jc w:val="left"/>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sz w:val="28"/>
          <w:szCs w:val="28"/>
          <w:shd w:val="clear" w:fill="FFFFFF"/>
          <w:lang w:val="en-US" w:eastAsia="zh-CN"/>
        </w:rPr>
        <w:t>1.</w:t>
      </w:r>
      <w:r>
        <w:rPr>
          <w:rStyle w:val="8"/>
          <w:rFonts w:hint="eastAsia" w:ascii="宋体" w:hAnsi="宋体" w:eastAsia="宋体" w:cs="宋体"/>
          <w:b w:val="0"/>
          <w:bCs w:val="0"/>
          <w:i w:val="0"/>
          <w:iCs w:val="0"/>
          <w:caps w:val="0"/>
          <w:color w:val="auto"/>
          <w:spacing w:val="0"/>
          <w:sz w:val="28"/>
          <w:szCs w:val="28"/>
          <w:shd w:val="clear" w:fill="FFFFFF"/>
        </w:rPr>
        <w:t>股价与市场数据</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w:t>
      </w:r>
    </w:p>
    <w:p w14:paraId="0656A8BF">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本文构建 2024 年至 2026 年初全球主要大语言模型发布事件数据集。样本事件包括 OpenAI、Anthropic、Google、Meta、Mistral、DeepSeek、xAI 等主体发布的重要模型或模型家族。事件纳入标准包括：第一，事件必须对应明确的模型或模型家族发布；第二，事件必须具有可验证的公开发布日期；第三，事件应代表有实质意义的能力更新，而非普通小版本维护；第四，事件能够匹配模型能力、开源状态、媒体报道或资本市场数据中的至少部分关键变量。</w:t>
      </w:r>
    </w:p>
    <w:p w14:paraId="13B80F8D">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本文将模型发布事件与 AI 相关上市公司进行 firm-event 层面匹配。样本公司包括与大语言模型产业链相关的上市企业，覆盖模型开发、云基础设施、芯片与算力、企业软件、数据服务、下游应用和直接竞争关系等类型。对于每一个模型发布事件，本文记录样本公司与该事件的经济暴露关系，包括 owner、investor、cloud、upstream、downstream、competitor 等。该设计允许本文研究非上市模型发布主体对上市公司的溢出影响，例如 OpenAI、Anthropic、xAI 或 DeepSeek 等非上市主体的模型发布也可能影响微软、英伟达、谷歌、甲骨文、Adobe、Salesforce 等上市公司。</w:t>
      </w:r>
    </w:p>
    <w:p w14:paraId="690B8D55">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本文的基础样本约包含 60 个重大 LLM 发布事件和 86 家 AI 相关上市公司，形成约 5,160 个事件—公司层面观测值。剔除模型能力、CAR 或企业控制变量缺失后，主回归样本包含约 3,780 个观测值和 47 个事件簇。最终样本数量以清洗后的回归数据为准。</w:t>
      </w:r>
    </w:p>
    <w:p w14:paraId="5EA88F62">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主要数据来源如下：</w:t>
      </w:r>
    </w:p>
    <w:p w14:paraId="3F23470B">
      <w:pPr>
        <w:pStyle w:val="2"/>
        <w:keepNext w:val="0"/>
        <w:keepLines w:val="0"/>
        <w:widowControl/>
        <w:suppressLineNumbers w:val="0"/>
        <w:shd w:val="clear" w:fill="FFFFFF"/>
        <w:spacing w:line="12" w:lineRule="atLeast"/>
        <w:ind w:left="0" w:firstLine="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第一，模型发布事件来自Independent analysis of AI数据库</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，网址为：</w:t>
      </w:r>
      <w:r>
        <w:rPr>
          <w:rStyle w:val="8"/>
          <w:rFonts w:hint="default" w:ascii="宋体" w:hAnsi="宋体" w:eastAsia="宋体" w:cs="宋体"/>
          <w:b w:val="0"/>
          <w:bCs w:val="0"/>
          <w:i w:val="0"/>
          <w:iCs w:val="0"/>
          <w:caps w:val="0"/>
          <w:color w:val="auto"/>
          <w:spacing w:val="0"/>
          <w:sz w:val="28"/>
          <w:szCs w:val="28"/>
          <w:shd w:val="clear" w:fill="FFFFFF"/>
          <w:lang w:val="en-US" w:eastAsia="zh-CN"/>
        </w:rPr>
        <w:t>https://artificialanalysis.ai/</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w:t>
      </w:r>
    </w:p>
    <w:p w14:paraId="7FF176F8">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第二，模型能力指标来自 Artificial Analysis。本文使用 AA Intelligence Index 作为核心能力指标，该指标综合反映模型在数学、推理、知识和其他标准任务上的表现。为方便解释交互项，本文将该变量进行中心化处理。</w:t>
      </w:r>
    </w:p>
    <w:p w14:paraId="3416E697">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第三，开源状态根据模型是否开放权重、是否允许自由下载、部署或再分发进行编码。若模型为开放权重或实质性开源，则记为 open-weight 或 open-source；否则归为 closed-source。</w:t>
      </w:r>
    </w:p>
    <w:p w14:paraId="54B7183E">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第四，股票价格、市场指数、企业财务变量来自 Yahoo Finance、CRSP、Compustat、Wind 或其他可获得的金融数据库。企业控制变量包括总资产规模、账面市值比、历史收益波动率和过去 12 个月动量。</w:t>
      </w:r>
    </w:p>
    <w:p w14:paraId="46E2AECD">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第五，媒体情感来自事件日前后新闻文本。本文使用 FinBERT 对事件窗口附近相关新闻进行情感打分，并计算事件层面的平均情感指标。媒体来源包括主流财经媒体、科技媒体以及可获得的新闻数据库。</w:t>
      </w:r>
    </w:p>
    <w:p w14:paraId="7FC1D7D5">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第六，宏观金融不确定性使用 VIX 指数衡量。以控制事件发生前市场整体风险偏好和宏观金融不确定性。</w:t>
      </w:r>
    </w:p>
    <w:p w14:paraId="4055B581">
      <w:pPr>
        <w:spacing w:line="240" w:lineRule="auto"/>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lang w:val="en-US" w:eastAsia="zh-CN"/>
        </w:rPr>
        <w:t>2.</w:t>
      </w:r>
      <w:r>
        <w:rPr>
          <w:rStyle w:val="8"/>
          <w:rFonts w:hint="eastAsia" w:ascii="宋体" w:hAnsi="宋体" w:eastAsia="宋体" w:cs="宋体"/>
          <w:b w:val="0"/>
          <w:bCs w:val="0"/>
          <w:i w:val="0"/>
          <w:iCs w:val="0"/>
          <w:caps w:val="0"/>
          <w:color w:val="auto"/>
          <w:spacing w:val="0"/>
          <w:sz w:val="28"/>
          <w:szCs w:val="28"/>
          <w:shd w:val="clear" w:fill="FFFFFF"/>
        </w:rPr>
        <w:t>事件数据：</w:t>
      </w:r>
    </w:p>
    <w:p w14:paraId="17F8E56F">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lang w:eastAsia="zh-CN"/>
        </w:rPr>
        <w:t>（</w:t>
      </w:r>
      <w:r>
        <w:rPr>
          <w:rStyle w:val="8"/>
          <w:rFonts w:hint="eastAsia" w:ascii="宋体" w:hAnsi="宋体" w:eastAsia="宋体" w:cs="宋体"/>
          <w:b w:val="0"/>
          <w:bCs w:val="0"/>
          <w:i w:val="0"/>
          <w:iCs w:val="0"/>
          <w:caps w:val="0"/>
          <w:color w:val="auto"/>
          <w:spacing w:val="0"/>
          <w:sz w:val="28"/>
          <w:szCs w:val="28"/>
          <w:shd w:val="clear" w:fill="FFFFFF"/>
          <w:lang w:val="en-US" w:eastAsia="zh-CN"/>
        </w:rPr>
        <w:t>1</w:t>
      </w:r>
      <w:r>
        <w:rPr>
          <w:rStyle w:val="8"/>
          <w:rFonts w:hint="eastAsia" w:ascii="宋体" w:hAnsi="宋体" w:eastAsia="宋体" w:cs="宋体"/>
          <w:b w:val="0"/>
          <w:bCs w:val="0"/>
          <w:i w:val="0"/>
          <w:iCs w:val="0"/>
          <w:caps w:val="0"/>
          <w:color w:val="auto"/>
          <w:spacing w:val="0"/>
          <w:sz w:val="28"/>
          <w:szCs w:val="28"/>
          <w:shd w:val="clear" w:fill="FFFFFF"/>
          <w:lang w:eastAsia="zh-CN"/>
        </w:rPr>
        <w:t>）</w:t>
      </w:r>
      <w:r>
        <w:rPr>
          <w:rStyle w:val="8"/>
          <w:rFonts w:hint="eastAsia" w:ascii="宋体" w:hAnsi="宋体" w:eastAsia="宋体" w:cs="宋体"/>
          <w:b w:val="0"/>
          <w:bCs w:val="0"/>
          <w:i w:val="0"/>
          <w:iCs w:val="0"/>
          <w:caps w:val="0"/>
          <w:color w:val="auto"/>
          <w:spacing w:val="0"/>
          <w:sz w:val="28"/>
          <w:szCs w:val="28"/>
          <w:shd w:val="clear" w:fill="FFFFFF"/>
          <w:lang w:val="en-US" w:eastAsia="zh-CN"/>
        </w:rPr>
        <w:t>样本事件：</w:t>
      </w:r>
      <w:r>
        <w:rPr>
          <w:rStyle w:val="8"/>
          <w:rFonts w:hint="eastAsia" w:ascii="宋体" w:hAnsi="宋体" w:eastAsia="宋体" w:cs="宋体"/>
          <w:b w:val="0"/>
          <w:bCs w:val="0"/>
          <w:i w:val="0"/>
          <w:iCs w:val="0"/>
          <w:caps w:val="0"/>
          <w:color w:val="auto"/>
          <w:spacing w:val="0"/>
          <w:sz w:val="28"/>
          <w:szCs w:val="28"/>
          <w:shd w:val="clear" w:fill="FFFFFF"/>
        </w:rPr>
        <w:t>本研究的样本事件为 20</w:t>
      </w:r>
      <w:r>
        <w:rPr>
          <w:rStyle w:val="8"/>
          <w:rFonts w:hint="eastAsia" w:ascii="宋体" w:hAnsi="宋体" w:eastAsia="宋体" w:cs="宋体"/>
          <w:b w:val="0"/>
          <w:bCs w:val="0"/>
          <w:i w:val="0"/>
          <w:iCs w:val="0"/>
          <w:caps w:val="0"/>
          <w:color w:val="auto"/>
          <w:spacing w:val="0"/>
          <w:sz w:val="28"/>
          <w:szCs w:val="28"/>
          <w:shd w:val="clear" w:fill="FFFFFF"/>
          <w:lang w:val="en-US" w:eastAsia="zh-CN"/>
        </w:rPr>
        <w:t>4</w:t>
      </w:r>
      <w:r>
        <w:rPr>
          <w:rStyle w:val="8"/>
          <w:rFonts w:hint="eastAsia" w:ascii="宋体" w:hAnsi="宋体" w:eastAsia="宋体" w:cs="宋体"/>
          <w:b w:val="0"/>
          <w:bCs w:val="0"/>
          <w:i w:val="0"/>
          <w:iCs w:val="0"/>
          <w:caps w:val="0"/>
          <w:color w:val="auto"/>
          <w:spacing w:val="0"/>
          <w:sz w:val="28"/>
          <w:szCs w:val="28"/>
          <w:shd w:val="clear" w:fill="FFFFFF"/>
        </w:rPr>
        <w:t>年至202</w:t>
      </w:r>
      <w:r>
        <w:rPr>
          <w:rStyle w:val="8"/>
          <w:rFonts w:hint="eastAsia" w:ascii="宋体" w:hAnsi="宋体" w:eastAsia="宋体" w:cs="宋体"/>
          <w:b w:val="0"/>
          <w:bCs w:val="0"/>
          <w:i w:val="0"/>
          <w:iCs w:val="0"/>
          <w:caps w:val="0"/>
          <w:color w:val="auto"/>
          <w:spacing w:val="0"/>
          <w:sz w:val="28"/>
          <w:szCs w:val="28"/>
          <w:shd w:val="clear" w:fill="FFFFFF"/>
          <w:lang w:val="en-US" w:eastAsia="zh-CN"/>
        </w:rPr>
        <w:t>6</w:t>
      </w:r>
      <w:r>
        <w:rPr>
          <w:rStyle w:val="8"/>
          <w:rFonts w:hint="eastAsia" w:ascii="宋体" w:hAnsi="宋体" w:eastAsia="宋体" w:cs="宋体"/>
          <w:b w:val="0"/>
          <w:bCs w:val="0"/>
          <w:i w:val="0"/>
          <w:iCs w:val="0"/>
          <w:caps w:val="0"/>
          <w:color w:val="auto"/>
          <w:spacing w:val="0"/>
          <w:sz w:val="28"/>
          <w:szCs w:val="28"/>
          <w:shd w:val="clear" w:fill="FFFFFF"/>
        </w:rPr>
        <w:t>年发布的重大 LLM 模型，</w:t>
      </w:r>
      <w:r>
        <w:rPr>
          <w:rStyle w:val="8"/>
          <w:rFonts w:hint="eastAsia" w:ascii="宋体" w:hAnsi="宋体" w:eastAsia="宋体" w:cs="宋体"/>
          <w:b w:val="0"/>
          <w:bCs w:val="0"/>
          <w:i w:val="0"/>
          <w:iCs w:val="0"/>
          <w:caps w:val="0"/>
          <w:color w:val="auto"/>
          <w:spacing w:val="0"/>
          <w:sz w:val="28"/>
          <w:szCs w:val="28"/>
          <w:shd w:val="clear" w:fill="FFFFFF"/>
          <w:lang w:val="en-US" w:eastAsia="zh-CN"/>
        </w:rPr>
        <w:t>进行事件筛选</w:t>
      </w:r>
      <w:r>
        <w:rPr>
          <w:rStyle w:val="8"/>
          <w:rFonts w:hint="eastAsia" w:ascii="宋体" w:hAnsi="宋体" w:eastAsia="宋体" w:cs="宋体"/>
          <w:b w:val="0"/>
          <w:bCs w:val="0"/>
          <w:i w:val="0"/>
          <w:iCs w:val="0"/>
          <w:caps w:val="0"/>
          <w:color w:val="auto"/>
          <w:spacing w:val="0"/>
          <w:sz w:val="28"/>
          <w:szCs w:val="28"/>
          <w:shd w:val="clear" w:fill="FFFFFF"/>
        </w:rPr>
        <w:t>。</w:t>
      </w:r>
    </w:p>
    <w:p w14:paraId="19D0E3E4">
      <w:pPr>
        <w:spacing w:line="240" w:lineRule="auto"/>
        <w:ind w:firstLine="560" w:firstLineChars="200"/>
        <w:jc w:val="left"/>
        <w:rPr>
          <w:rStyle w:val="8"/>
          <w:rFonts w:hint="default" w:ascii="宋体" w:hAnsi="宋体" w:eastAsia="宋体" w:cs="宋体"/>
          <w:b w:val="0"/>
          <w:bCs w:val="0"/>
          <w:i w:val="0"/>
          <w:iCs w:val="0"/>
          <w:caps w:val="0"/>
          <w:color w:val="auto"/>
          <w:spacing w:val="0"/>
          <w:sz w:val="28"/>
          <w:szCs w:val="28"/>
          <w:shd w:val="clear" w:fill="FFFFFF"/>
          <w:lang w:val="en-US" w:eastAsia="zh-CN"/>
        </w:rPr>
      </w:pPr>
      <w:r>
        <w:rPr>
          <w:rFonts w:hint="default" w:ascii="宋体" w:hAnsi="宋体" w:eastAsia="宋体" w:cs="宋体"/>
          <w:b w:val="0"/>
          <w:bCs w:val="0"/>
          <w:i w:val="0"/>
          <w:iCs w:val="0"/>
          <w:caps w:val="0"/>
          <w:color w:val="auto"/>
          <w:spacing w:val="0"/>
          <w:kern w:val="2"/>
          <w:sz w:val="28"/>
          <w:szCs w:val="28"/>
          <w:shd w:val="clear" w:fill="FFFFFF"/>
          <w:lang w:val="en-US" w:eastAsia="zh-CN" w:bidi="ar-SA"/>
        </w:rPr>
        <w:t>（2）</w:t>
      </w:r>
      <w:r>
        <w:rPr>
          <w:rStyle w:val="8"/>
          <w:rFonts w:hint="default" w:ascii="宋体" w:hAnsi="宋体" w:eastAsia="宋体" w:cs="宋体"/>
          <w:b w:val="0"/>
          <w:bCs w:val="0"/>
          <w:i w:val="0"/>
          <w:iCs w:val="0"/>
          <w:caps w:val="0"/>
          <w:color w:val="auto"/>
          <w:spacing w:val="0"/>
          <w:sz w:val="28"/>
          <w:szCs w:val="28"/>
          <w:shd w:val="clear" w:fill="FFFFFF"/>
          <w:lang w:val="en-US" w:eastAsia="zh-CN"/>
        </w:rPr>
        <w:t>事件特征：包括模型在MMLU等权威基准上的得分（能力）、是否开源、是否多模态、发布主体国籍。</w:t>
      </w:r>
    </w:p>
    <w:p w14:paraId="62B3F3E3">
      <w:pPr>
        <w:numPr>
          <w:ilvl w:val="0"/>
          <w:numId w:val="0"/>
        </w:num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lang w:val="en-US" w:eastAsia="zh-CN"/>
        </w:rPr>
      </w:pPr>
      <w:r>
        <w:rPr>
          <w:rFonts w:hint="eastAsia" w:ascii="宋体" w:hAnsi="宋体" w:eastAsia="宋体" w:cs="宋体"/>
          <w:b w:val="0"/>
          <w:bCs w:val="0"/>
          <w:i w:val="0"/>
          <w:iCs w:val="0"/>
          <w:caps w:val="0"/>
          <w:color w:val="auto"/>
          <w:spacing w:val="0"/>
          <w:kern w:val="2"/>
          <w:sz w:val="28"/>
          <w:szCs w:val="28"/>
          <w:shd w:val="clear" w:fill="FFFFFF"/>
          <w:lang w:val="en-US" w:eastAsia="zh-CN" w:bidi="ar-SA"/>
        </w:rPr>
        <w:t>（3）</w:t>
      </w:r>
      <w:r>
        <w:rPr>
          <w:rStyle w:val="8"/>
          <w:rFonts w:hint="default" w:ascii="宋体" w:hAnsi="宋体" w:eastAsia="宋体" w:cs="宋体"/>
          <w:b w:val="0"/>
          <w:bCs w:val="0"/>
          <w:i w:val="0"/>
          <w:iCs w:val="0"/>
          <w:caps w:val="0"/>
          <w:color w:val="auto"/>
          <w:spacing w:val="0"/>
          <w:sz w:val="28"/>
          <w:szCs w:val="28"/>
          <w:shd w:val="clear" w:fill="FFFFFF"/>
          <w:lang w:val="en-US" w:eastAsia="zh-CN"/>
        </w:rPr>
        <w:t>企业特征：收集事件发生前最新年报的数据，包括</w:t>
      </w:r>
      <w:r>
        <w:rPr>
          <w:rStyle w:val="8"/>
          <w:rFonts w:hint="eastAsia" w:ascii="宋体" w:hAnsi="宋体" w:eastAsia="宋体" w:cs="宋体"/>
          <w:b w:val="0"/>
          <w:bCs w:val="0"/>
          <w:i w:val="0"/>
          <w:iCs w:val="0"/>
          <w:caps w:val="0"/>
          <w:color w:val="auto"/>
          <w:spacing w:val="0"/>
          <w:sz w:val="28"/>
          <w:szCs w:val="28"/>
          <w:shd w:val="clear" w:fill="FFFFFF"/>
          <w:lang w:val="en-US" w:eastAsia="zh-CN"/>
        </w:rPr>
        <w:t>：</w:t>
      </w:r>
    </w:p>
    <w:p w14:paraId="7456D3E7">
      <w:pPr>
        <w:spacing w:line="240" w:lineRule="auto"/>
        <w:ind w:firstLine="280" w:firstLineChars="100"/>
        <w:jc w:val="left"/>
        <w:rPr>
          <w:rStyle w:val="8"/>
          <w:rFonts w:hint="eastAsia" w:ascii="宋体" w:hAnsi="宋体" w:eastAsia="宋体" w:cs="宋体"/>
          <w:b w:val="0"/>
          <w:bCs w:val="0"/>
          <w:i w:val="0"/>
          <w:iCs w:val="0"/>
          <w:caps w:val="0"/>
          <w:color w:val="auto"/>
          <w:spacing w:val="0"/>
          <w:sz w:val="28"/>
          <w:szCs w:val="28"/>
          <w:shd w:val="clear" w:fill="FFFFFF"/>
          <w:lang w:val="en-US" w:eastAsia="zh-CN"/>
        </w:rPr>
      </w:pPr>
      <w:r>
        <w:rPr>
          <w:rStyle w:val="8"/>
          <w:rFonts w:hint="eastAsia" w:ascii="宋体" w:hAnsi="宋体" w:eastAsia="宋体" w:cs="宋体"/>
          <w:b w:val="0"/>
          <w:bCs w:val="0"/>
          <w:i w:val="0"/>
          <w:iCs w:val="0"/>
          <w:caps w:val="0"/>
          <w:color w:val="auto"/>
          <w:spacing w:val="0"/>
          <w:sz w:val="28"/>
          <w:szCs w:val="28"/>
          <w:shd w:val="clear" w:fill="FFFFFF"/>
          <w:lang w:val="en-US" w:eastAsia="zh-CN"/>
        </w:rPr>
        <w:t>·size：</w:t>
      </w:r>
      <w:r>
        <w:rPr>
          <w:rStyle w:val="8"/>
          <w:rFonts w:hint="default" w:ascii="宋体" w:hAnsi="宋体" w:eastAsia="宋体" w:cs="宋体"/>
          <w:b w:val="0"/>
          <w:bCs w:val="0"/>
          <w:i w:val="0"/>
          <w:iCs w:val="0"/>
          <w:caps w:val="0"/>
          <w:color w:val="auto"/>
          <w:spacing w:val="0"/>
          <w:sz w:val="28"/>
          <w:szCs w:val="28"/>
          <w:shd w:val="clear" w:fill="FFFFFF"/>
          <w:lang w:val="en-US" w:eastAsia="zh-CN"/>
        </w:rPr>
        <w:t>考虑到 AI 企业研发投入形成的技术资产对企业规模的影响，本研究采用总资产取自然对数衡量企业规模</w:t>
      </w:r>
      <w:r>
        <w:rPr>
          <w:rStyle w:val="8"/>
          <w:rFonts w:hint="eastAsia" w:ascii="宋体" w:hAnsi="宋体" w:eastAsia="宋体" w:cs="宋体"/>
          <w:b w:val="0"/>
          <w:bCs w:val="0"/>
          <w:i w:val="0"/>
          <w:iCs w:val="0"/>
          <w:caps w:val="0"/>
          <w:color w:val="auto"/>
          <w:spacing w:val="0"/>
          <w:sz w:val="28"/>
          <w:szCs w:val="28"/>
          <w:shd w:val="clear" w:fill="FFFFFF"/>
          <w:lang w:val="en-US" w:eastAsia="zh-CN"/>
        </w:rPr>
        <w:t>。因为公司多国混合，获取所有公司的总资产按当时的汇率统一折算为单位亿美元(USD)，然后再取对数。</w:t>
      </w:r>
    </w:p>
    <w:p w14:paraId="5713FD93">
      <w:pPr>
        <w:keepNext w:val="0"/>
        <w:keepLines w:val="0"/>
        <w:widowControl/>
        <w:numPr>
          <w:ilvl w:val="0"/>
          <w:numId w:val="0"/>
        </w:numPr>
        <w:suppressLineNumbers w:val="0"/>
        <w:spacing w:before="0" w:beforeAutospacing="1" w:after="0" w:afterAutospacing="1"/>
        <w:ind w:left="-360" w:leftChars="0" w:firstLine="560" w:firstLineChars="200"/>
        <w:rPr>
          <w:rStyle w:val="8"/>
          <w:rFonts w:hint="eastAsia" w:ascii="宋体" w:hAnsi="宋体" w:eastAsia="宋体" w:cs="宋体"/>
          <w:b w:val="0"/>
          <w:bCs w:val="0"/>
          <w:i w:val="0"/>
          <w:iCs w:val="0"/>
          <w:caps w:val="0"/>
          <w:color w:val="auto"/>
          <w:spacing w:val="0"/>
          <w:sz w:val="28"/>
          <w:szCs w:val="28"/>
          <w:shd w:val="clear" w:fill="FFFFFF"/>
          <w:lang w:val="en-US" w:eastAsia="zh-CN"/>
        </w:rPr>
      </w:pPr>
      <w:r>
        <w:rPr>
          <w:rStyle w:val="8"/>
          <w:rFonts w:hint="eastAsia" w:ascii="宋体" w:hAnsi="宋体" w:eastAsia="宋体" w:cs="宋体"/>
          <w:b w:val="0"/>
          <w:bCs w:val="0"/>
          <w:i w:val="0"/>
          <w:iCs w:val="0"/>
          <w:caps w:val="0"/>
          <w:color w:val="auto"/>
          <w:spacing w:val="0"/>
          <w:sz w:val="28"/>
          <w:szCs w:val="28"/>
          <w:shd w:val="clear" w:fill="FFFFFF"/>
          <w:lang w:val="en-US" w:eastAsia="zh-CN"/>
        </w:rPr>
        <w:t>·账面市值比（B/M）：</w:t>
      </w:r>
    </w:p>
    <w:p w14:paraId="5097E98C">
      <w:pPr>
        <w:keepNext w:val="0"/>
        <w:keepLines w:val="0"/>
        <w:widowControl/>
        <w:numPr>
          <w:ilvl w:val="0"/>
          <w:numId w:val="0"/>
        </w:numPr>
        <w:suppressLineNumbers w:val="0"/>
        <w:spacing w:before="0" w:beforeAutospacing="1" w:after="0" w:afterAutospacing="1"/>
        <w:ind w:left="-360" w:leftChars="0"/>
        <w:rPr>
          <w:rStyle w:val="8"/>
          <w:rFonts w:hint="default" w:ascii="宋体" w:hAnsi="宋体" w:eastAsia="宋体" w:cs="宋体"/>
          <w:b w:val="0"/>
          <w:bCs w:val="0"/>
          <w:i w:val="0"/>
          <w:iCs w:val="0"/>
          <w:caps w:val="0"/>
          <w:color w:val="auto"/>
          <w:spacing w:val="0"/>
          <w:sz w:val="28"/>
          <w:szCs w:val="28"/>
          <w:shd w:val="clear" w:fill="FFFFFF"/>
          <w:lang w:val="en-US" w:eastAsia="zh-CN"/>
        </w:rPr>
      </w:pPr>
      <m:oMathPara>
        <m:oMath>
          <m:r>
            <m:rPr/>
            <w:rPr>
              <w:rFonts w:hint="eastAsia" w:ascii="Cambria Math" w:hAnsi="Cambria Math" w:eastAsia="宋体" w:cs="宋体"/>
              <w:caps w:val="0"/>
              <w:color w:val="auto"/>
              <w:spacing w:val="0"/>
              <w:kern w:val="2"/>
              <w:sz w:val="28"/>
              <w:szCs w:val="28"/>
              <w:shd w:val="clear" w:fill="FFFFFF"/>
              <w:lang w:val="en-US" w:eastAsia="zh-CN" w:bidi="ar-SA"/>
            </w:rPr>
            <m:t>BM</m:t>
          </m:r>
          <m:r>
            <m:rPr/>
            <w:rPr>
              <w:rFonts w:hint="default" w:ascii="Cambria Math" w:hAnsi="Cambria Math" w:eastAsia="宋体" w:cs="宋体"/>
              <w:caps w:val="0"/>
              <w:color w:val="auto"/>
              <w:spacing w:val="0"/>
              <w:kern w:val="2"/>
              <w:sz w:val="28"/>
              <w:szCs w:val="28"/>
              <w:shd w:val="clear" w:fill="FFFFFF"/>
              <w:lang w:val="en-US" w:eastAsia="zh-CN" w:bidi="ar-SA"/>
            </w:rPr>
            <m:t xml:space="preserve"> </m:t>
          </m:r>
          <m:r>
            <m:rPr/>
            <w:rPr>
              <w:rFonts w:hint="eastAsia" w:ascii="Cambria Math" w:hAnsi="Cambria Math" w:eastAsia="宋体" w:cs="宋体"/>
              <w:caps w:val="0"/>
              <w:color w:val="auto"/>
              <w:spacing w:val="0"/>
              <w:kern w:val="2"/>
              <w:sz w:val="28"/>
              <w:szCs w:val="28"/>
              <w:shd w:val="clear" w:fill="FFFFFF"/>
              <w:lang w:val="en-US" w:eastAsia="zh-CN" w:bidi="ar-SA"/>
            </w:rPr>
            <m:t>Ratio</m:t>
          </m:r>
          <m:r>
            <m:rPr/>
            <w:rPr>
              <w:rFonts w:hint="default" w:ascii="Cambria Math" w:hAnsi="Cambria Math" w:eastAsia="宋体" w:cs="宋体"/>
              <w:caps w:val="0"/>
              <w:color w:val="auto"/>
              <w:spacing w:val="0"/>
              <w:kern w:val="2"/>
              <w:sz w:val="28"/>
              <w:szCs w:val="28"/>
              <w:shd w:val="clear" w:fill="FFFFFF"/>
              <w:lang w:val="en-US" w:eastAsia="zh-CN" w:bidi="ar-SA"/>
            </w:rPr>
            <m:t>=</m:t>
          </m:r>
          <m:f>
            <m:fPr>
              <m:ctrlPr>
                <w:rPr>
                  <w:rFonts w:hint="default" w:ascii="Cambria Math" w:hAnsi="Cambria Math" w:eastAsia="宋体" w:cs="宋体"/>
                  <w:b w:val="0"/>
                  <w:bCs w:val="0"/>
                  <w:i w:val="0"/>
                  <w:iCs/>
                  <w:caps w:val="0"/>
                  <w:color w:val="auto"/>
                  <w:spacing w:val="0"/>
                  <w:kern w:val="2"/>
                  <w:sz w:val="28"/>
                  <w:szCs w:val="28"/>
                  <w:shd w:val="clear" w:fill="FFFFFF"/>
                  <w:lang w:val="en-US" w:eastAsia="zh-CN" w:bidi="ar-SA"/>
                </w:rPr>
              </m:ctrlPr>
            </m:fPr>
            <m:num>
              <m:r>
                <m:rPr>
                  <m:sty m:val="p"/>
                </m:rPr>
                <w:rPr>
                  <w:rFonts w:hint="eastAsia" w:ascii="Cambria Math" w:hAnsi="Cambria Math" w:eastAsia="宋体" w:cs="宋体"/>
                  <w:caps w:val="0"/>
                  <w:color w:val="auto"/>
                  <w:spacing w:val="0"/>
                  <w:kern w:val="2"/>
                  <w:sz w:val="28"/>
                  <w:szCs w:val="28"/>
                  <w:shd w:val="clear" w:fill="FFFFFF"/>
                  <w:lang w:val="en-US" w:eastAsia="zh-CN" w:bidi="ar-SA"/>
                </w:rPr>
                <m:t>账面价值</m:t>
              </m:r>
              <m:ctrlPr>
                <w:rPr>
                  <w:rFonts w:hint="default" w:ascii="Cambria Math" w:hAnsi="Cambria Math" w:eastAsia="宋体" w:cs="宋体"/>
                  <w:b w:val="0"/>
                  <w:bCs w:val="0"/>
                  <w:i w:val="0"/>
                  <w:iCs/>
                  <w:caps w:val="0"/>
                  <w:color w:val="auto"/>
                  <w:spacing w:val="0"/>
                  <w:kern w:val="2"/>
                  <w:sz w:val="28"/>
                  <w:szCs w:val="28"/>
                  <w:shd w:val="clear" w:fill="FFFFFF"/>
                  <w:lang w:val="en-US" w:eastAsia="zh-CN" w:bidi="ar-SA"/>
                </w:rPr>
              </m:ctrlPr>
            </m:num>
            <m:den>
              <m:r>
                <m:rPr>
                  <m:sty m:val="p"/>
                </m:rPr>
                <w:rPr>
                  <w:rFonts w:hint="eastAsia" w:ascii="Cambria Math" w:hAnsi="Cambria Math" w:eastAsia="宋体" w:cs="宋体"/>
                  <w:caps w:val="0"/>
                  <w:color w:val="auto"/>
                  <w:spacing w:val="0"/>
                  <w:kern w:val="2"/>
                  <w:sz w:val="28"/>
                  <w:szCs w:val="28"/>
                  <w:shd w:val="clear" w:fill="FFFFFF"/>
                  <w:lang w:val="en-US" w:eastAsia="zh-CN" w:bidi="ar-SA"/>
                </w:rPr>
                <m:t>市值</m:t>
              </m:r>
              <m:ctrlPr>
                <w:rPr>
                  <w:rFonts w:hint="default" w:ascii="Cambria Math" w:hAnsi="Cambria Math" w:eastAsia="宋体" w:cs="宋体"/>
                  <w:b w:val="0"/>
                  <w:bCs w:val="0"/>
                  <w:i w:val="0"/>
                  <w:iCs/>
                  <w:caps w:val="0"/>
                  <w:color w:val="auto"/>
                  <w:spacing w:val="0"/>
                  <w:kern w:val="2"/>
                  <w:sz w:val="28"/>
                  <w:szCs w:val="28"/>
                  <w:shd w:val="clear" w:fill="FFFFFF"/>
                  <w:lang w:val="en-US" w:eastAsia="zh-CN" w:bidi="ar-SA"/>
                </w:rPr>
              </m:ctrlPr>
            </m:den>
          </m:f>
        </m:oMath>
      </m:oMathPara>
    </w:p>
    <w:p w14:paraId="78E5C819">
      <w:pPr>
        <w:ind w:firstLine="560" w:firstLineChars="200"/>
        <w:rPr>
          <w:color w:val="auto"/>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账面价值</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 股东权益（或净资产）</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；市值</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 = 股价×总股本</w:t>
      </w:r>
      <w:r>
        <w:rPr>
          <w:rStyle w:val="8"/>
          <w:rFonts w:hint="eastAsia" w:ascii="宋体" w:hAnsi="宋体" w:eastAsia="宋体" w:cs="宋体"/>
          <w:b w:val="0"/>
          <w:bCs w:val="0"/>
          <w:i w:val="0"/>
          <w:iCs w:val="0"/>
          <w:caps w:val="0"/>
          <w:color w:val="auto"/>
          <w:spacing w:val="0"/>
          <w:sz w:val="28"/>
          <w:szCs w:val="28"/>
          <w:shd w:val="clear" w:fill="FFFFFF"/>
          <w:lang w:val="en-US" w:eastAsia="zh-CN"/>
        </w:rPr>
        <w:t>；数据源自各财年年报（截至各年12月31日），从“资产负债表”中获取“股东权益合计”，从“行情表”中获取“市值”，原始单位不统一</w:t>
      </w:r>
      <w:r>
        <w:rPr>
          <w:rStyle w:val="8"/>
          <w:rFonts w:hint="default" w:ascii="宋体" w:hAnsi="宋体" w:eastAsia="宋体" w:cs="宋体"/>
          <w:b w:val="0"/>
          <w:bCs w:val="0"/>
          <w:i w:val="0"/>
          <w:iCs w:val="0"/>
          <w:caps w:val="0"/>
          <w:color w:val="auto"/>
          <w:spacing w:val="0"/>
          <w:sz w:val="28"/>
          <w:szCs w:val="28"/>
          <w:shd w:val="clear" w:fill="FFFFFF"/>
          <w:lang w:val="en-US" w:eastAsia="zh-CN"/>
        </w:rPr>
        <w:fldChar w:fldCharType="begin"/>
      </w:r>
      <w:r>
        <w:rPr>
          <w:rStyle w:val="8"/>
          <w:rFonts w:hint="default" w:ascii="宋体" w:hAnsi="宋体" w:eastAsia="宋体" w:cs="宋体"/>
          <w:b w:val="0"/>
          <w:bCs w:val="0"/>
          <w:i w:val="0"/>
          <w:iCs w:val="0"/>
          <w:caps w:val="0"/>
          <w:color w:val="auto"/>
          <w:spacing w:val="0"/>
          <w:sz w:val="28"/>
          <w:szCs w:val="28"/>
          <w:shd w:val="clear" w:fill="FFFFFF"/>
          <w:lang w:val="en-US" w:eastAsia="zh-CN"/>
        </w:rPr>
        <w:instrText xml:space="preserve"> HYPERLINK "https://cn.investing.com/equities/rakuten-inc-balance-sheet" \t "https://chat.deepseek.com/a/chat/s/_blank" </w:instrText>
      </w:r>
      <w:r>
        <w:rPr>
          <w:rStyle w:val="8"/>
          <w:rFonts w:hint="default" w:ascii="宋体" w:hAnsi="宋体" w:eastAsia="宋体" w:cs="宋体"/>
          <w:b w:val="0"/>
          <w:bCs w:val="0"/>
          <w:i w:val="0"/>
          <w:iCs w:val="0"/>
          <w:caps w:val="0"/>
          <w:color w:val="auto"/>
          <w:spacing w:val="0"/>
          <w:sz w:val="28"/>
          <w:szCs w:val="28"/>
          <w:shd w:val="clear" w:fill="FFFFFF"/>
          <w:lang w:val="en-US" w:eastAsia="zh-CN"/>
        </w:rPr>
        <w:fldChar w:fldCharType="separate"/>
      </w:r>
      <w:r>
        <w:rPr>
          <w:rStyle w:val="8"/>
          <w:rFonts w:hint="default" w:ascii="宋体" w:hAnsi="宋体" w:eastAsia="宋体" w:cs="宋体"/>
          <w:b w:val="0"/>
          <w:bCs w:val="0"/>
          <w:i w:val="0"/>
          <w:iCs w:val="0"/>
          <w:caps w:val="0"/>
          <w:color w:val="auto"/>
          <w:spacing w:val="0"/>
          <w:sz w:val="28"/>
          <w:szCs w:val="28"/>
          <w:shd w:val="clear" w:fill="FFFFFF"/>
          <w:lang w:val="en-US" w:eastAsia="zh-CN"/>
        </w:rPr>
        <w:fldChar w:fldCharType="end"/>
      </w:r>
      <w:r>
        <w:rPr>
          <w:rStyle w:val="8"/>
          <w:rFonts w:hint="default" w:ascii="宋体" w:hAnsi="宋体" w:eastAsia="宋体" w:cs="宋体"/>
          <w:b w:val="0"/>
          <w:bCs w:val="0"/>
          <w:i w:val="0"/>
          <w:iCs w:val="0"/>
          <w:caps w:val="0"/>
          <w:color w:val="auto"/>
          <w:spacing w:val="0"/>
          <w:sz w:val="28"/>
          <w:szCs w:val="28"/>
          <w:shd w:val="clear" w:fill="FFFFFF"/>
          <w:lang w:val="en-US" w:eastAsia="zh-CN"/>
        </w:rPr>
        <w:fldChar w:fldCharType="begin"/>
      </w:r>
      <w:r>
        <w:rPr>
          <w:rStyle w:val="8"/>
          <w:rFonts w:hint="default" w:ascii="宋体" w:hAnsi="宋体" w:eastAsia="宋体" w:cs="宋体"/>
          <w:b w:val="0"/>
          <w:bCs w:val="0"/>
          <w:i w:val="0"/>
          <w:iCs w:val="0"/>
          <w:caps w:val="0"/>
          <w:color w:val="auto"/>
          <w:spacing w:val="0"/>
          <w:sz w:val="28"/>
          <w:szCs w:val="28"/>
          <w:shd w:val="clear" w:fill="FFFFFF"/>
          <w:lang w:val="en-US" w:eastAsia="zh-CN"/>
        </w:rPr>
        <w:instrText xml:space="preserve"> HYPERLINK "https://cn.investing.com/equities/rakuten-inc-financial-summary" \t "https://chat.deepseek.com/a/chat/s/_blank" </w:instrText>
      </w:r>
      <w:r>
        <w:rPr>
          <w:rStyle w:val="8"/>
          <w:rFonts w:hint="default" w:ascii="宋体" w:hAnsi="宋体" w:eastAsia="宋体" w:cs="宋体"/>
          <w:b w:val="0"/>
          <w:bCs w:val="0"/>
          <w:i w:val="0"/>
          <w:iCs w:val="0"/>
          <w:caps w:val="0"/>
          <w:color w:val="auto"/>
          <w:spacing w:val="0"/>
          <w:sz w:val="28"/>
          <w:szCs w:val="28"/>
          <w:shd w:val="clear" w:fill="FFFFFF"/>
          <w:lang w:val="en-US" w:eastAsia="zh-CN"/>
        </w:rPr>
        <w:fldChar w:fldCharType="separate"/>
      </w:r>
      <w:r>
        <w:rPr>
          <w:rStyle w:val="8"/>
          <w:rFonts w:hint="default" w:ascii="宋体" w:hAnsi="宋体" w:eastAsia="宋体" w:cs="宋体"/>
          <w:b w:val="0"/>
          <w:bCs w:val="0"/>
          <w:i w:val="0"/>
          <w:iCs w:val="0"/>
          <w:caps w:val="0"/>
          <w:color w:val="auto"/>
          <w:spacing w:val="0"/>
          <w:sz w:val="28"/>
          <w:szCs w:val="28"/>
          <w:shd w:val="clear" w:fill="FFFFFF"/>
          <w:lang w:val="en-US" w:eastAsia="zh-CN"/>
        </w:rPr>
        <w:fldChar w:fldCharType="end"/>
      </w:r>
      <w:r>
        <w:rPr>
          <w:rStyle w:val="8"/>
          <w:rFonts w:hint="default" w:ascii="宋体" w:hAnsi="宋体" w:eastAsia="宋体" w:cs="宋体"/>
          <w:b w:val="0"/>
          <w:bCs w:val="0"/>
          <w:i w:val="0"/>
          <w:iCs w:val="0"/>
          <w:caps w:val="0"/>
          <w:color w:val="auto"/>
          <w:spacing w:val="0"/>
          <w:sz w:val="28"/>
          <w:szCs w:val="28"/>
          <w:shd w:val="clear" w:fill="FFFFFF"/>
          <w:lang w:val="en-US" w:eastAsia="zh-CN"/>
        </w:rPr>
        <w:t>。美元折算数据基于各年12月31日附近的汇率估算</w:t>
      </w:r>
      <w:r>
        <w:rPr>
          <w:rStyle w:val="8"/>
          <w:rFonts w:hint="eastAsia" w:ascii="宋体" w:hAnsi="宋体" w:eastAsia="宋体" w:cs="宋体"/>
          <w:b w:val="0"/>
          <w:bCs w:val="0"/>
          <w:i w:val="0"/>
          <w:iCs w:val="0"/>
          <w:caps w:val="0"/>
          <w:color w:val="auto"/>
          <w:spacing w:val="0"/>
          <w:sz w:val="28"/>
          <w:szCs w:val="28"/>
          <w:shd w:val="clear" w:fill="FFFFFF"/>
          <w:lang w:val="en-US" w:eastAsia="zh-CN"/>
        </w:rPr>
        <w:t>。</w:t>
      </w:r>
    </w:p>
    <w:p w14:paraId="7CD64788">
      <w:pPr>
        <w:spacing w:line="240" w:lineRule="auto"/>
        <w:jc w:val="left"/>
        <w:rPr>
          <w:rStyle w:val="8"/>
          <w:rFonts w:hint="eastAsia" w:ascii="宋体" w:hAnsi="宋体" w:eastAsia="宋体" w:cs="宋体"/>
          <w:b w:val="0"/>
          <w:bCs w:val="0"/>
          <w:i w:val="0"/>
          <w:iCs w:val="0"/>
          <w:caps w:val="0"/>
          <w:color w:val="auto"/>
          <w:spacing w:val="0"/>
          <w:sz w:val="28"/>
          <w:szCs w:val="28"/>
          <w:shd w:val="clear" w:fill="FFFFFF"/>
          <w:lang w:val="en-US" w:eastAsia="zh-CN"/>
        </w:rPr>
      </w:pPr>
      <w:r>
        <w:rPr>
          <w:rStyle w:val="8"/>
          <w:rFonts w:hint="eastAsia" w:ascii="宋体" w:hAnsi="宋体" w:eastAsia="宋体" w:cs="宋体"/>
          <w:b w:val="0"/>
          <w:bCs w:val="0"/>
          <w:i w:val="0"/>
          <w:iCs w:val="0"/>
          <w:caps w:val="0"/>
          <w:color w:val="auto"/>
          <w:spacing w:val="0"/>
          <w:sz w:val="28"/>
          <w:szCs w:val="28"/>
          <w:shd w:val="clear" w:fill="FFFFFF"/>
          <w:lang w:val="en-US" w:eastAsia="zh-CN"/>
        </w:rPr>
        <w:t>·动量（Momentum） :Carhart(1997)在其经典的四因子模型中，将动量效应加入定价模型。他指出，计算动量时应使用过去 12个月的收益，但要剔除最近的一个月，因为短期内存在“收益反转效应(Short-term Reversal)</w:t>
      </w:r>
    </w:p>
    <w:p w14:paraId="71D40DA9">
      <w:pPr>
        <w:spacing w:line="240" w:lineRule="auto"/>
        <w:jc w:val="left"/>
        <w:rPr>
          <w:rStyle w:val="8"/>
          <w:rFonts w:hint="default" w:ascii="宋体" w:hAnsi="宋体" w:eastAsia="宋体" w:cs="宋体"/>
          <w:b w:val="0"/>
          <w:bCs w:val="0"/>
          <w:i w:val="0"/>
          <w:iCs w:val="0"/>
          <w:caps w:val="0"/>
          <w:color w:val="auto"/>
          <w:spacing w:val="0"/>
          <w:sz w:val="28"/>
          <w:szCs w:val="28"/>
          <w:shd w:val="clear" w:fill="FFFFFF"/>
          <w:lang w:val="en-US" w:eastAsia="zh-CN"/>
        </w:rPr>
      </w:pPr>
      <m:oMathPara>
        <m:oMath>
          <m:r>
            <m:rPr>
              <m:sty m:val="p"/>
            </m:rPr>
            <w:rPr>
              <w:rStyle w:val="8"/>
              <w:rFonts w:hint="eastAsia" w:ascii="Cambria Math" w:hAnsi="Cambria Math" w:eastAsia="宋体" w:cs="宋体"/>
              <w:caps w:val="0"/>
              <w:color w:val="auto"/>
              <w:spacing w:val="0"/>
              <w:sz w:val="28"/>
              <w:szCs w:val="28"/>
              <w:shd w:val="clear" w:fill="FFFFFF"/>
              <w:lang w:val="en-US" w:eastAsia="zh-CN"/>
            </w:rPr>
            <m:t>Momentum</m:t>
          </m:r>
          <m:r>
            <m:rPr>
              <m:sty m:val="p"/>
            </m:rPr>
            <w:rPr>
              <w:rStyle w:val="8"/>
              <w:rFonts w:hint="default" w:ascii="Cambria Math" w:hAnsi="Cambria Math" w:eastAsia="宋体" w:cs="宋体"/>
              <w:caps w:val="0"/>
              <w:color w:val="auto"/>
              <w:spacing w:val="0"/>
              <w:sz w:val="28"/>
              <w:szCs w:val="28"/>
              <w:shd w:val="clear" w:fill="FFFFFF"/>
              <w:lang w:val="en-US" w:eastAsia="zh-CN"/>
            </w:rPr>
            <m:t>=</m:t>
          </m:r>
          <m:f>
            <m:fPr>
              <m:ctrlPr>
                <w:rPr>
                  <w:rStyle w:val="8"/>
                  <w:rFonts w:hint="default" w:ascii="Cambria Math" w:hAnsi="Cambria Math" w:eastAsia="宋体" w:cs="宋体"/>
                  <w:b w:val="0"/>
                  <w:bCs w:val="0"/>
                  <w:i w:val="0"/>
                  <w:iCs w:val="0"/>
                  <w:caps w:val="0"/>
                  <w:color w:val="auto"/>
                  <w:spacing w:val="0"/>
                  <w:sz w:val="28"/>
                  <w:szCs w:val="28"/>
                  <w:shd w:val="clear" w:fill="FFFFFF"/>
                  <w:lang w:val="en-US" w:eastAsia="zh-CN"/>
                </w:rPr>
              </m:ctrlPr>
            </m:fPr>
            <m:num>
              <m:sSub>
                <m:sSubPr>
                  <m:ctrlPr>
                    <w:rPr>
                      <w:rStyle w:val="8"/>
                      <w:rFonts w:hint="eastAsia" w:ascii="Cambria Math" w:hAnsi="Cambria Math" w:eastAsia="宋体" w:cs="宋体"/>
                      <w:b w:val="0"/>
                      <w:bCs w:val="0"/>
                      <w:i w:val="0"/>
                      <w:iCs w:val="0"/>
                      <w:caps w:val="0"/>
                      <w:color w:val="auto"/>
                      <w:spacing w:val="0"/>
                      <w:sz w:val="28"/>
                      <w:szCs w:val="28"/>
                      <w:shd w:val="clear" w:fill="FFFFFF"/>
                      <w:lang w:val="en-US" w:eastAsia="zh-CN"/>
                    </w:rPr>
                  </m:ctrlPr>
                </m:sSubPr>
                <m:e>
                  <m:r>
                    <m:rPr>
                      <m:sty m:val="p"/>
                    </m:rPr>
                    <w:rPr>
                      <w:rStyle w:val="8"/>
                      <w:rFonts w:hint="default" w:ascii="Cambria Math" w:hAnsi="Cambria Math" w:eastAsia="宋体" w:cs="宋体"/>
                      <w:caps w:val="0"/>
                      <w:color w:val="auto"/>
                      <w:spacing w:val="0"/>
                      <w:sz w:val="28"/>
                      <w:szCs w:val="28"/>
                      <w:shd w:val="clear" w:fill="FFFFFF"/>
                      <w:lang w:val="en-US" w:eastAsia="zh-CN"/>
                    </w:rPr>
                    <m:t>P</m:t>
                  </m:r>
                  <m:r>
                    <m:rPr>
                      <m:sty m:val="p"/>
                    </m:rPr>
                    <w:rPr>
                      <w:rStyle w:val="8"/>
                      <w:rFonts w:hint="eastAsia" w:ascii="Cambria Math" w:hAnsi="Cambria Math" w:eastAsia="宋体" w:cs="宋体"/>
                      <w:caps w:val="0"/>
                      <w:color w:val="auto"/>
                      <w:spacing w:val="0"/>
                      <w:sz w:val="28"/>
                      <w:szCs w:val="28"/>
                      <w:shd w:val="clear" w:fill="FFFFFF"/>
                      <w:lang w:val="en-US" w:eastAsia="zh-CN"/>
                    </w:rPr>
                    <m:t>rice</m:t>
                  </m:r>
                  <m:ctrlPr>
                    <w:rPr>
                      <w:rStyle w:val="8"/>
                      <w:rFonts w:hint="eastAsia" w:ascii="Cambria Math" w:hAnsi="Cambria Math" w:eastAsia="宋体" w:cs="宋体"/>
                      <w:b w:val="0"/>
                      <w:bCs w:val="0"/>
                      <w:i w:val="0"/>
                      <w:iCs w:val="0"/>
                      <w:caps w:val="0"/>
                      <w:color w:val="auto"/>
                      <w:spacing w:val="0"/>
                      <w:sz w:val="28"/>
                      <w:szCs w:val="28"/>
                      <w:shd w:val="clear" w:fill="FFFFFF"/>
                      <w:lang w:val="en-US" w:eastAsia="zh-CN"/>
                    </w:rPr>
                  </m:ctrlPr>
                </m:e>
                <m:sub>
                  <m:r>
                    <m:rPr>
                      <m:sty m:val="p"/>
                    </m:rPr>
                    <w:rPr>
                      <w:rStyle w:val="8"/>
                      <w:rFonts w:hint="default" w:ascii="Cambria Math" w:hAnsi="Cambria Math" w:eastAsia="宋体" w:cs="宋体"/>
                      <w:caps w:val="0"/>
                      <w:color w:val="auto"/>
                      <w:spacing w:val="0"/>
                      <w:sz w:val="28"/>
                      <w:szCs w:val="28"/>
                      <w:shd w:val="clear" w:fill="FFFFFF"/>
                      <w:lang w:val="en-US" w:eastAsia="zh-CN"/>
                    </w:rPr>
                    <m:t>t−1</m:t>
                  </m:r>
                  <m:ctrlPr>
                    <w:rPr>
                      <w:rStyle w:val="8"/>
                      <w:rFonts w:hint="eastAsia" w:ascii="Cambria Math" w:hAnsi="Cambria Math" w:eastAsia="宋体" w:cs="宋体"/>
                      <w:b w:val="0"/>
                      <w:bCs w:val="0"/>
                      <w:i w:val="0"/>
                      <w:iCs w:val="0"/>
                      <w:caps w:val="0"/>
                      <w:color w:val="auto"/>
                      <w:spacing w:val="0"/>
                      <w:sz w:val="28"/>
                      <w:szCs w:val="28"/>
                      <w:shd w:val="clear" w:fill="FFFFFF"/>
                      <w:lang w:val="en-US" w:eastAsia="zh-CN"/>
                    </w:rPr>
                  </m:ctrlPr>
                </m:sub>
              </m:sSub>
              <m:ctrlPr>
                <w:rPr>
                  <w:rStyle w:val="8"/>
                  <w:rFonts w:hint="default" w:ascii="Cambria Math" w:hAnsi="Cambria Math" w:eastAsia="宋体" w:cs="宋体"/>
                  <w:b w:val="0"/>
                  <w:bCs w:val="0"/>
                  <w:i w:val="0"/>
                  <w:iCs w:val="0"/>
                  <w:caps w:val="0"/>
                  <w:color w:val="auto"/>
                  <w:spacing w:val="0"/>
                  <w:sz w:val="28"/>
                  <w:szCs w:val="28"/>
                  <w:shd w:val="clear" w:fill="FFFFFF"/>
                  <w:lang w:val="en-US" w:eastAsia="zh-CN"/>
                </w:rPr>
              </m:ctrlPr>
            </m:num>
            <m:den>
              <m:sSub>
                <m:sSubPr>
                  <m:ctrlPr>
                    <w:rPr>
                      <w:rStyle w:val="8"/>
                      <w:rFonts w:hint="eastAsia" w:ascii="Cambria Math" w:hAnsi="Cambria Math" w:eastAsia="宋体" w:cs="宋体"/>
                      <w:b w:val="0"/>
                      <w:bCs w:val="0"/>
                      <w:i w:val="0"/>
                      <w:iCs w:val="0"/>
                      <w:caps w:val="0"/>
                      <w:color w:val="auto"/>
                      <w:spacing w:val="0"/>
                      <w:sz w:val="28"/>
                      <w:szCs w:val="28"/>
                      <w:shd w:val="clear" w:fill="FFFFFF"/>
                      <w:lang w:val="en-US" w:eastAsia="zh-CN"/>
                    </w:rPr>
                  </m:ctrlPr>
                </m:sSubPr>
                <m:e>
                  <m:r>
                    <m:rPr>
                      <m:sty m:val="p"/>
                    </m:rPr>
                    <w:rPr>
                      <w:rStyle w:val="8"/>
                      <w:rFonts w:hint="default" w:ascii="Cambria Math" w:hAnsi="Cambria Math" w:eastAsia="宋体" w:cs="宋体"/>
                      <w:caps w:val="0"/>
                      <w:color w:val="auto"/>
                      <w:spacing w:val="0"/>
                      <w:sz w:val="28"/>
                      <w:szCs w:val="28"/>
                      <w:shd w:val="clear" w:fill="FFFFFF"/>
                      <w:lang w:val="en-US" w:eastAsia="zh-CN"/>
                    </w:rPr>
                    <m:t>P</m:t>
                  </m:r>
                  <m:r>
                    <m:rPr>
                      <m:sty m:val="p"/>
                    </m:rPr>
                    <w:rPr>
                      <w:rStyle w:val="8"/>
                      <w:rFonts w:hint="eastAsia" w:ascii="Cambria Math" w:hAnsi="Cambria Math" w:eastAsia="宋体" w:cs="宋体"/>
                      <w:caps w:val="0"/>
                      <w:color w:val="auto"/>
                      <w:spacing w:val="0"/>
                      <w:sz w:val="28"/>
                      <w:szCs w:val="28"/>
                      <w:shd w:val="clear" w:fill="FFFFFF"/>
                      <w:lang w:val="en-US" w:eastAsia="zh-CN"/>
                    </w:rPr>
                    <m:t>rice</m:t>
                  </m:r>
                  <m:ctrlPr>
                    <w:rPr>
                      <w:rStyle w:val="8"/>
                      <w:rFonts w:hint="eastAsia" w:ascii="Cambria Math" w:hAnsi="Cambria Math" w:eastAsia="宋体" w:cs="宋体"/>
                      <w:b w:val="0"/>
                      <w:bCs w:val="0"/>
                      <w:i w:val="0"/>
                      <w:iCs w:val="0"/>
                      <w:caps w:val="0"/>
                      <w:color w:val="auto"/>
                      <w:spacing w:val="0"/>
                      <w:sz w:val="28"/>
                      <w:szCs w:val="28"/>
                      <w:shd w:val="clear" w:fill="FFFFFF"/>
                      <w:lang w:val="en-US" w:eastAsia="zh-CN"/>
                    </w:rPr>
                  </m:ctrlPr>
                </m:e>
                <m:sub>
                  <m:r>
                    <m:rPr>
                      <m:sty m:val="p"/>
                    </m:rPr>
                    <w:rPr>
                      <w:rStyle w:val="8"/>
                      <w:rFonts w:hint="default" w:ascii="Cambria Math" w:hAnsi="Cambria Math" w:eastAsia="宋体" w:cs="宋体"/>
                      <w:caps w:val="0"/>
                      <w:color w:val="auto"/>
                      <w:spacing w:val="0"/>
                      <w:sz w:val="28"/>
                      <w:szCs w:val="28"/>
                      <w:shd w:val="clear" w:fill="FFFFFF"/>
                      <w:lang w:val="en-US" w:eastAsia="zh-CN"/>
                    </w:rPr>
                    <m:t>t−13</m:t>
                  </m:r>
                  <m:ctrlPr>
                    <w:rPr>
                      <w:rStyle w:val="8"/>
                      <w:rFonts w:hint="eastAsia" w:ascii="Cambria Math" w:hAnsi="Cambria Math" w:eastAsia="宋体" w:cs="宋体"/>
                      <w:b w:val="0"/>
                      <w:bCs w:val="0"/>
                      <w:i w:val="0"/>
                      <w:iCs w:val="0"/>
                      <w:caps w:val="0"/>
                      <w:color w:val="auto"/>
                      <w:spacing w:val="0"/>
                      <w:sz w:val="28"/>
                      <w:szCs w:val="28"/>
                      <w:shd w:val="clear" w:fill="FFFFFF"/>
                      <w:lang w:val="en-US" w:eastAsia="zh-CN"/>
                    </w:rPr>
                  </m:ctrlPr>
                </m:sub>
              </m:sSub>
              <m:ctrlPr>
                <w:rPr>
                  <w:rStyle w:val="8"/>
                  <w:rFonts w:hint="default" w:ascii="Cambria Math" w:hAnsi="Cambria Math" w:eastAsia="宋体" w:cs="宋体"/>
                  <w:b w:val="0"/>
                  <w:bCs w:val="0"/>
                  <w:i w:val="0"/>
                  <w:iCs w:val="0"/>
                  <w:caps w:val="0"/>
                  <w:color w:val="auto"/>
                  <w:spacing w:val="0"/>
                  <w:sz w:val="28"/>
                  <w:szCs w:val="28"/>
                  <w:shd w:val="clear" w:fill="FFFFFF"/>
                  <w:lang w:val="en-US" w:eastAsia="zh-CN"/>
                </w:rPr>
              </m:ctrlPr>
            </m:den>
          </m:f>
          <m:r>
            <m:rPr>
              <m:sty m:val="p"/>
            </m:rPr>
            <w:rPr>
              <w:rStyle w:val="8"/>
              <w:rFonts w:hint="default" w:ascii="Cambria Math" w:hAnsi="Cambria Math" w:eastAsia="宋体" w:cs="宋体"/>
              <w:caps w:val="0"/>
              <w:color w:val="auto"/>
              <w:spacing w:val="0"/>
              <w:sz w:val="28"/>
              <w:szCs w:val="28"/>
              <w:shd w:val="clear" w:fill="FFFFFF"/>
              <w:lang w:val="en-US" w:eastAsia="zh-CN"/>
            </w:rPr>
            <m:t>−1</m:t>
          </m:r>
        </m:oMath>
      </m:oMathPara>
    </w:p>
    <w:p w14:paraId="7B472BE1">
      <w:pPr>
        <w:spacing w:line="240" w:lineRule="auto"/>
        <w:jc w:val="left"/>
        <w:rPr>
          <w:rStyle w:val="8"/>
          <w:rFonts w:hint="eastAsia" w:ascii="宋体" w:hAnsi="宋体" w:eastAsia="宋体" w:cs="宋体"/>
          <w:b w:val="0"/>
          <w:bCs w:val="0"/>
          <w:i w:val="0"/>
          <w:iCs w:val="0"/>
          <w:caps w:val="0"/>
          <w:color w:val="auto"/>
          <w:spacing w:val="0"/>
          <w:sz w:val="28"/>
          <w:szCs w:val="28"/>
          <w:shd w:val="clear" w:fill="FFFFFF"/>
          <w:lang w:val="en-US" w:eastAsia="zh-CN"/>
        </w:rPr>
      </w:pPr>
      <w:r>
        <w:rPr>
          <w:rStyle w:val="8"/>
          <w:rFonts w:hint="eastAsia" w:ascii="宋体" w:hAnsi="宋体" w:eastAsia="宋体" w:cs="宋体"/>
          <w:b w:val="0"/>
          <w:bCs w:val="0"/>
          <w:i w:val="0"/>
          <w:iCs w:val="0"/>
          <w:caps w:val="0"/>
          <w:color w:val="auto"/>
          <w:spacing w:val="0"/>
          <w:sz w:val="28"/>
          <w:szCs w:val="28"/>
          <w:shd w:val="clear" w:fill="FFFFFF"/>
          <w:lang w:val="en-US" w:eastAsia="zh-CN"/>
        </w:rPr>
        <w:t>·波动率（volatility）：事件日前第20个交易日至前第120个交易日的日收益率年化标准差。</w:t>
      </w:r>
    </w:p>
    <w:p w14:paraId="5359F123">
      <w:pPr>
        <w:spacing w:line="240" w:lineRule="auto"/>
        <w:ind w:firstLine="560" w:firstLineChars="200"/>
        <w:jc w:val="left"/>
        <w:rPr>
          <w:rStyle w:val="8"/>
          <w:rFonts w:hint="default" w:ascii="宋体" w:hAnsi="宋体" w:eastAsia="宋体" w:cs="宋体"/>
          <w:b w:val="0"/>
          <w:bCs w:val="0"/>
          <w:i w:val="0"/>
          <w:iCs w:val="0"/>
          <w:caps w:val="0"/>
          <w:color w:val="auto"/>
          <w:spacing w:val="0"/>
          <w:sz w:val="28"/>
          <w:szCs w:val="28"/>
          <w:shd w:val="clear" w:fill="FFFFFF"/>
          <w:lang w:val="en-US" w:eastAsia="zh-CN"/>
        </w:rPr>
      </w:pPr>
      <w:r>
        <w:rPr>
          <w:rStyle w:val="8"/>
          <w:rFonts w:hint="eastAsia" w:ascii="宋体" w:hAnsi="宋体" w:eastAsia="宋体" w:cs="宋体"/>
          <w:b w:val="0"/>
          <w:bCs w:val="0"/>
          <w:i w:val="0"/>
          <w:iCs w:val="0"/>
          <w:caps w:val="0"/>
          <w:color w:val="auto"/>
          <w:spacing w:val="0"/>
          <w:sz w:val="28"/>
          <w:szCs w:val="28"/>
          <w:shd w:val="clear" w:fill="FFFFFF"/>
          <w:lang w:val="en-US" w:eastAsia="zh-CN"/>
        </w:rPr>
        <w:t>（4）内生性控制变量：为控制事件前可能存在的股价趋势或信息泄露导致的内生性问题，计算事件前[-10, -2]窗口期的累计超额收益率（CARpre），作为后续回归模型的重要控制变量。</w:t>
      </w:r>
    </w:p>
    <w:p w14:paraId="6EB76C81">
      <w:pPr>
        <w:spacing w:line="240" w:lineRule="auto"/>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lang w:val="en-US" w:eastAsia="zh-CN"/>
        </w:rPr>
        <w:t>3.</w:t>
      </w:r>
      <w:r>
        <w:rPr>
          <w:rStyle w:val="8"/>
          <w:rFonts w:hint="eastAsia" w:ascii="宋体" w:hAnsi="宋体" w:eastAsia="宋体" w:cs="宋体"/>
          <w:b w:val="0"/>
          <w:bCs w:val="0"/>
          <w:i w:val="0"/>
          <w:iCs w:val="0"/>
          <w:caps w:val="0"/>
          <w:color w:val="auto"/>
          <w:spacing w:val="0"/>
          <w:sz w:val="28"/>
          <w:szCs w:val="28"/>
          <w:shd w:val="clear" w:fill="FFFFFF"/>
        </w:rPr>
        <w:t>新闻文本数据：</w:t>
      </w:r>
    </w:p>
    <w:p w14:paraId="128BA2BC">
      <w:pPr>
        <w:spacing w:line="240" w:lineRule="auto"/>
        <w:jc w:val="left"/>
        <w:rPr>
          <w:rStyle w:val="8"/>
          <w:rFonts w:hint="eastAsia" w:ascii="宋体" w:hAnsi="宋体" w:eastAsia="宋体" w:cs="宋体"/>
          <w:b w:val="0"/>
          <w:bCs w:val="0"/>
          <w:i w:val="0"/>
          <w:iCs w:val="0"/>
          <w:caps w:val="0"/>
          <w:color w:val="auto"/>
          <w:spacing w:val="0"/>
          <w:sz w:val="28"/>
          <w:szCs w:val="28"/>
          <w:shd w:val="clear" w:fill="FFFFFF"/>
          <w:lang w:val="en-US" w:eastAsia="zh-CN"/>
        </w:rPr>
      </w:pPr>
      <w:r>
        <w:rPr>
          <w:rStyle w:val="8"/>
          <w:rFonts w:hint="eastAsia" w:ascii="宋体" w:hAnsi="宋体" w:eastAsia="宋体" w:cs="宋体"/>
          <w:b w:val="0"/>
          <w:bCs w:val="0"/>
          <w:i w:val="0"/>
          <w:iCs w:val="0"/>
          <w:caps w:val="0"/>
          <w:color w:val="auto"/>
          <w:spacing w:val="0"/>
          <w:sz w:val="28"/>
          <w:szCs w:val="28"/>
          <w:shd w:val="clear" w:fill="FFFFFF"/>
          <w:lang w:eastAsia="zh-CN"/>
        </w:rPr>
        <w:t>（</w:t>
      </w:r>
      <w:r>
        <w:rPr>
          <w:rStyle w:val="8"/>
          <w:rFonts w:hint="eastAsia" w:ascii="宋体" w:hAnsi="宋体" w:eastAsia="宋体" w:cs="宋体"/>
          <w:b w:val="0"/>
          <w:bCs w:val="0"/>
          <w:i w:val="0"/>
          <w:iCs w:val="0"/>
          <w:caps w:val="0"/>
          <w:color w:val="auto"/>
          <w:spacing w:val="0"/>
          <w:sz w:val="28"/>
          <w:szCs w:val="28"/>
          <w:shd w:val="clear" w:fill="FFFFFF"/>
          <w:lang w:val="en-US" w:eastAsia="zh-CN"/>
        </w:rPr>
        <w:t>1</w:t>
      </w:r>
      <w:r>
        <w:rPr>
          <w:rStyle w:val="8"/>
          <w:rFonts w:hint="eastAsia" w:ascii="宋体" w:hAnsi="宋体" w:eastAsia="宋体" w:cs="宋体"/>
          <w:b w:val="0"/>
          <w:bCs w:val="0"/>
          <w:i w:val="0"/>
          <w:iCs w:val="0"/>
          <w:caps w:val="0"/>
          <w:color w:val="auto"/>
          <w:spacing w:val="0"/>
          <w:sz w:val="28"/>
          <w:szCs w:val="28"/>
          <w:shd w:val="clear" w:fill="FFFFFF"/>
          <w:lang w:eastAsia="zh-CN"/>
        </w:rPr>
        <w:t>）</w:t>
      </w:r>
      <w:r>
        <w:rPr>
          <w:rStyle w:val="8"/>
          <w:rFonts w:hint="eastAsia" w:ascii="宋体" w:hAnsi="宋体" w:eastAsia="宋体" w:cs="宋体"/>
          <w:b w:val="0"/>
          <w:bCs w:val="0"/>
          <w:i w:val="0"/>
          <w:iCs w:val="0"/>
          <w:caps w:val="0"/>
          <w:color w:val="auto"/>
          <w:spacing w:val="0"/>
          <w:sz w:val="28"/>
          <w:szCs w:val="28"/>
          <w:shd w:val="clear" w:fill="FFFFFF"/>
          <w:lang w:val="en-US" w:eastAsia="zh-CN"/>
        </w:rPr>
        <w:t>新闻来源：</w:t>
      </w:r>
    </w:p>
    <w:p w14:paraId="15E54612">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lang w:val="en-US" w:eastAsia="zh-CN"/>
        </w:rPr>
      </w:pPr>
      <w:r>
        <w:rPr>
          <w:rStyle w:val="8"/>
          <w:rFonts w:hint="eastAsia" w:ascii="宋体" w:hAnsi="宋体" w:eastAsia="宋体" w:cs="宋体"/>
          <w:b w:val="0"/>
          <w:bCs w:val="0"/>
          <w:i w:val="0"/>
          <w:iCs w:val="0"/>
          <w:caps w:val="0"/>
          <w:color w:val="auto"/>
          <w:spacing w:val="0"/>
          <w:sz w:val="28"/>
          <w:szCs w:val="28"/>
          <w:shd w:val="clear" w:fill="FFFFFF"/>
          <w:lang w:val="en-US" w:eastAsia="zh-CN"/>
        </w:rPr>
        <w:t>彭博、路透、华尔街日报、TechCrunch、CNBC 等全球主流财经与科技媒体，通过 Factiva 数据库 / 网络爬虫获取；</w:t>
      </w:r>
    </w:p>
    <w:p w14:paraId="15E4A275">
      <w:pPr>
        <w:numPr>
          <w:ilvl w:val="0"/>
          <w:numId w:val="0"/>
        </w:numPr>
        <w:spacing w:line="240" w:lineRule="auto"/>
        <w:jc w:val="left"/>
        <w:rPr>
          <w:rStyle w:val="8"/>
          <w:rFonts w:hint="eastAsia" w:ascii="宋体" w:hAnsi="宋体" w:eastAsia="宋体" w:cs="宋体"/>
          <w:b w:val="0"/>
          <w:bCs w:val="0"/>
          <w:i w:val="0"/>
          <w:iCs w:val="0"/>
          <w:caps w:val="0"/>
          <w:color w:val="auto"/>
          <w:spacing w:val="0"/>
          <w:sz w:val="28"/>
          <w:szCs w:val="28"/>
          <w:shd w:val="clear" w:fill="FFFFFF"/>
          <w:lang w:val="en-US" w:eastAsia="zh-CN"/>
        </w:rPr>
      </w:pPr>
      <w:r>
        <w:rPr>
          <w:rFonts w:hint="eastAsia" w:ascii="宋体" w:hAnsi="宋体" w:eastAsia="宋体" w:cs="宋体"/>
          <w:b w:val="0"/>
          <w:bCs w:val="0"/>
          <w:i w:val="0"/>
          <w:iCs w:val="0"/>
          <w:caps w:val="0"/>
          <w:color w:val="auto"/>
          <w:spacing w:val="0"/>
          <w:kern w:val="2"/>
          <w:sz w:val="28"/>
          <w:szCs w:val="28"/>
          <w:shd w:val="clear" w:fill="FFFFFF"/>
          <w:lang w:val="en-US" w:eastAsia="zh-CN" w:bidi="ar-SA"/>
        </w:rPr>
        <w:t>（2）</w:t>
      </w:r>
      <w:r>
        <w:rPr>
          <w:rStyle w:val="8"/>
          <w:rFonts w:hint="eastAsia" w:ascii="宋体" w:hAnsi="宋体" w:eastAsia="宋体" w:cs="宋体"/>
          <w:b w:val="0"/>
          <w:bCs w:val="0"/>
          <w:i w:val="0"/>
          <w:iCs w:val="0"/>
          <w:caps w:val="0"/>
          <w:color w:val="auto"/>
          <w:spacing w:val="0"/>
          <w:sz w:val="28"/>
          <w:szCs w:val="28"/>
          <w:shd w:val="clear" w:fill="FFFFFF"/>
          <w:lang w:val="en-US" w:eastAsia="zh-CN"/>
        </w:rPr>
        <w:t>爬虫关键词：</w:t>
      </w:r>
    </w:p>
    <w:p w14:paraId="696E1BDE">
      <w:pPr>
        <w:numPr>
          <w:ilvl w:val="0"/>
          <w:numId w:val="0"/>
        </w:num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lang w:val="en-US" w:eastAsia="zh-CN"/>
        </w:rPr>
      </w:pPr>
      <w:r>
        <w:rPr>
          <w:rStyle w:val="8"/>
          <w:rFonts w:hint="eastAsia" w:ascii="宋体" w:hAnsi="宋体" w:eastAsia="宋体" w:cs="宋体"/>
          <w:b w:val="0"/>
          <w:bCs w:val="0"/>
          <w:i w:val="0"/>
          <w:iCs w:val="0"/>
          <w:caps w:val="0"/>
          <w:color w:val="auto"/>
          <w:spacing w:val="0"/>
          <w:sz w:val="28"/>
          <w:szCs w:val="28"/>
          <w:shd w:val="clear" w:fill="FFFFFF"/>
          <w:lang w:val="en-US" w:eastAsia="zh-CN"/>
        </w:rPr>
        <w:t>「发布主体公司名 + 模型名 + release/launch/announce」，时间范围严格限定在事件窗口期 [-20,+20] 交易日内。</w:t>
      </w:r>
    </w:p>
    <w:p w14:paraId="4EBB3C0D">
      <w:pP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4.股票池构建</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手动整理了Artificial Intelligence &amp; Technology ETF事件发生当期的成分股，使用全球行业分类标准(GICS)，按照板块（11个）及行业组（24个），</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将样本公司分为AI基础模型、算力、电力、数据、应用等产业链环节，并标注其与发布者的关系</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w:t>
      </w:r>
    </w:p>
    <w:p w14:paraId="6E795639">
      <w:pPr>
        <w:spacing w:line="240" w:lineRule="auto"/>
        <w:jc w:val="left"/>
        <w:rPr>
          <w:b/>
          <w:bCs/>
          <w:color w:val="auto"/>
        </w:rPr>
      </w:pPr>
      <w:r>
        <w:rPr>
          <w:rStyle w:val="8"/>
          <w:rFonts w:hint="eastAsia" w:ascii="宋体" w:hAnsi="宋体" w:eastAsia="宋体" w:cs="宋体"/>
          <w:b/>
          <w:bCs/>
          <w:i w:val="0"/>
          <w:iCs w:val="0"/>
          <w:caps w:val="0"/>
          <w:color w:val="auto"/>
          <w:spacing w:val="0"/>
          <w:sz w:val="28"/>
          <w:szCs w:val="28"/>
          <w:shd w:val="clear" w:fill="FFFFFF"/>
          <w:lang w:eastAsia="zh-CN"/>
        </w:rPr>
        <w:t>（</w:t>
      </w:r>
      <w:r>
        <w:rPr>
          <w:rStyle w:val="8"/>
          <w:rFonts w:hint="eastAsia" w:ascii="宋体" w:hAnsi="宋体" w:eastAsia="宋体" w:cs="宋体"/>
          <w:b/>
          <w:bCs/>
          <w:i w:val="0"/>
          <w:iCs w:val="0"/>
          <w:caps w:val="0"/>
          <w:color w:val="auto"/>
          <w:spacing w:val="0"/>
          <w:sz w:val="28"/>
          <w:szCs w:val="28"/>
          <w:shd w:val="clear" w:fill="FFFFFF"/>
          <w:lang w:val="en-US" w:eastAsia="zh-CN"/>
        </w:rPr>
        <w:t>三</w:t>
      </w:r>
      <w:r>
        <w:rPr>
          <w:rStyle w:val="8"/>
          <w:rFonts w:hint="eastAsia" w:ascii="宋体" w:hAnsi="宋体" w:eastAsia="宋体" w:cs="宋体"/>
          <w:b/>
          <w:bCs/>
          <w:i w:val="0"/>
          <w:iCs w:val="0"/>
          <w:caps w:val="0"/>
          <w:color w:val="auto"/>
          <w:spacing w:val="0"/>
          <w:sz w:val="28"/>
          <w:szCs w:val="28"/>
          <w:shd w:val="clear" w:fill="FFFFFF"/>
          <w:lang w:eastAsia="zh-CN"/>
        </w:rPr>
        <w:t>）</w:t>
      </w:r>
      <w:r>
        <w:rPr>
          <w:rStyle w:val="8"/>
          <w:rFonts w:hint="eastAsia" w:ascii="宋体" w:hAnsi="宋体" w:eastAsia="宋体" w:cs="宋体"/>
          <w:b/>
          <w:bCs/>
          <w:i w:val="0"/>
          <w:iCs w:val="0"/>
          <w:caps w:val="0"/>
          <w:color w:val="auto"/>
          <w:spacing w:val="0"/>
          <w:sz w:val="28"/>
          <w:szCs w:val="28"/>
          <w:shd w:val="clear" w:fill="FFFFFF"/>
        </w:rPr>
        <w:t xml:space="preserve"> 情感分析</w:t>
      </w:r>
    </w:p>
    <w:p w14:paraId="4A5DD68B">
      <w:pPr>
        <w:pStyle w:val="5"/>
        <w:keepNext w:val="0"/>
        <w:keepLines w:val="0"/>
        <w:widowControl/>
        <w:suppressLineNumbers w:val="0"/>
        <w:shd w:val="clear" w:fill="FFFFFF"/>
        <w:spacing w:before="192" w:beforeAutospacing="0" w:after="192" w:afterAutospacing="0"/>
        <w:ind w:left="0" w:right="0" w:firstLine="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1.模型选择</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：新闻文本的情感基调是影响投资者决策和市场反应的关键渠道。为准确量化LLM发布事件窗口期内媒体报道的情感倾向与分歧程度，本研究采用FinBERT模型。</w:t>
      </w:r>
    </w:p>
    <w:p w14:paraId="2D30B08D">
      <w:pPr>
        <w:spacing w:line="240" w:lineRule="auto"/>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lang w:val="en-US" w:eastAsia="zh-CN"/>
        </w:rPr>
        <w:t>2</w:t>
      </w:r>
      <w:r>
        <w:rPr>
          <w:rStyle w:val="8"/>
          <w:rFonts w:hint="default" w:ascii="宋体" w:hAnsi="宋体" w:eastAsia="宋体" w:cs="宋体"/>
          <w:b w:val="0"/>
          <w:bCs w:val="0"/>
          <w:i w:val="0"/>
          <w:iCs w:val="0"/>
          <w:caps w:val="0"/>
          <w:color w:val="auto"/>
          <w:spacing w:val="0"/>
          <w:sz w:val="28"/>
          <w:szCs w:val="28"/>
          <w:shd w:val="clear" w:fill="FFFFFF"/>
        </w:rPr>
        <w:t>.数据清洗与预处理</w:t>
      </w:r>
    </w:p>
    <w:p w14:paraId="42282570">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lang w:val="en-US" w:eastAsia="zh-CN"/>
        </w:rPr>
        <w:t>·</w:t>
      </w:r>
      <w:r>
        <w:rPr>
          <w:rStyle w:val="8"/>
          <w:rFonts w:hint="default" w:ascii="宋体" w:hAnsi="宋体" w:eastAsia="宋体" w:cs="宋体"/>
          <w:b w:val="0"/>
          <w:bCs w:val="0"/>
          <w:i w:val="0"/>
          <w:iCs w:val="0"/>
          <w:caps w:val="0"/>
          <w:color w:val="auto"/>
          <w:spacing w:val="0"/>
          <w:sz w:val="28"/>
          <w:szCs w:val="28"/>
          <w:shd w:val="clear" w:fill="FFFFFF"/>
        </w:rPr>
        <w:t>文本清洗：去除HTML标签、特殊字符、广告等噪声。</w:t>
      </w:r>
    </w:p>
    <w:p w14:paraId="43638FFB">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lang w:val="en-US" w:eastAsia="zh-CN"/>
        </w:rPr>
        <w:t>·</w:t>
      </w:r>
      <w:r>
        <w:rPr>
          <w:rStyle w:val="8"/>
          <w:rFonts w:hint="default" w:ascii="宋体" w:hAnsi="宋体" w:eastAsia="宋体" w:cs="宋体"/>
          <w:b w:val="0"/>
          <w:bCs w:val="0"/>
          <w:i w:val="0"/>
          <w:iCs w:val="0"/>
          <w:caps w:val="0"/>
          <w:color w:val="auto"/>
          <w:spacing w:val="0"/>
          <w:sz w:val="28"/>
          <w:szCs w:val="28"/>
          <w:shd w:val="clear" w:fill="FFFFFF"/>
        </w:rPr>
        <w:t>去重：对相同或高度相似的新闻进行去重处理，避免重复报道对情感聚合指标产生偏误。</w:t>
      </w:r>
    </w:p>
    <w:p w14:paraId="3DB32DF4">
      <w:pPr>
        <w:spacing w:line="240" w:lineRule="auto"/>
        <w:ind w:firstLine="560" w:firstLineChars="200"/>
        <w:jc w:val="left"/>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sz w:val="28"/>
          <w:szCs w:val="28"/>
          <w:shd w:val="clear" w:fill="FFFFFF"/>
          <w:lang w:val="en-US" w:eastAsia="zh-CN"/>
        </w:rPr>
        <w:t>·</w:t>
      </w:r>
      <w:r>
        <w:rPr>
          <w:rStyle w:val="8"/>
          <w:rFonts w:hint="default" w:ascii="宋体" w:hAnsi="宋体" w:eastAsia="宋体" w:cs="宋体"/>
          <w:b w:val="0"/>
          <w:bCs w:val="0"/>
          <w:i w:val="0"/>
          <w:iCs w:val="0"/>
          <w:caps w:val="0"/>
          <w:color w:val="auto"/>
          <w:spacing w:val="0"/>
          <w:sz w:val="28"/>
          <w:szCs w:val="28"/>
          <w:shd w:val="clear" w:fill="FFFFFF"/>
        </w:rPr>
        <w:t>窗口对齐：确保所有情感分析的文本窗口与CAR计算的事件窗口严格一致，即</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[-1, +1]</w:t>
      </w:r>
      <w:r>
        <w:rPr>
          <w:rStyle w:val="8"/>
          <w:rFonts w:hint="default" w:ascii="宋体" w:hAnsi="宋体" w:eastAsia="宋体" w:cs="宋体"/>
          <w:b w:val="0"/>
          <w:bCs w:val="0"/>
          <w:i w:val="0"/>
          <w:iCs w:val="0"/>
          <w:caps w:val="0"/>
          <w:color w:val="auto"/>
          <w:spacing w:val="0"/>
          <w:sz w:val="28"/>
          <w:szCs w:val="28"/>
          <w:shd w:val="clear" w:fill="FFFFFF"/>
        </w:rPr>
        <w:t>交易日。</w:t>
      </w:r>
    </w:p>
    <w:p w14:paraId="0F319C85">
      <w:pPr>
        <w:pStyle w:val="4"/>
        <w:keepNext w:val="0"/>
        <w:keepLines w:val="0"/>
        <w:widowControl/>
        <w:suppressLineNumbers w:val="0"/>
        <w:shd w:val="clear" w:fill="FFFFFF"/>
        <w:spacing w:before="192" w:beforeAutospacing="0" w:after="192" w:afterAutospacing="0" w:line="336" w:lineRule="atLeast"/>
        <w:ind w:left="0" w:right="0" w:firstLine="0"/>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cs="宋体"/>
          <w:b w:val="0"/>
          <w:bCs w:val="0"/>
          <w:i w:val="0"/>
          <w:iCs w:val="0"/>
          <w:caps w:val="0"/>
          <w:color w:val="auto"/>
          <w:spacing w:val="0"/>
          <w:kern w:val="2"/>
          <w:sz w:val="28"/>
          <w:szCs w:val="28"/>
          <w:shd w:val="clear" w:fill="FFFFFF"/>
          <w:lang w:val="en-US" w:eastAsia="zh-CN" w:bidi="ar-SA"/>
        </w:rPr>
        <w:t>3</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.情感分析工具选择与升级</w:t>
      </w:r>
    </w:p>
    <w:p w14:paraId="78A092CA">
      <w:pPr>
        <w:spacing w:line="240" w:lineRule="auto"/>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default" w:ascii="宋体" w:hAnsi="宋体" w:eastAsia="宋体" w:cs="宋体"/>
          <w:b w:val="0"/>
          <w:bCs w:val="0"/>
          <w:i w:val="0"/>
          <w:iCs w:val="0"/>
          <w:caps w:val="0"/>
          <w:color w:val="auto"/>
          <w:spacing w:val="0"/>
          <w:sz w:val="28"/>
          <w:szCs w:val="28"/>
          <w:shd w:val="clear" w:fill="FFFFFF"/>
        </w:rPr>
        <w:t>（</w:t>
      </w:r>
      <w:r>
        <w:rPr>
          <w:rStyle w:val="8"/>
          <w:rFonts w:hint="eastAsia" w:ascii="宋体" w:hAnsi="宋体" w:eastAsia="宋体" w:cs="宋体"/>
          <w:b w:val="0"/>
          <w:bCs w:val="0"/>
          <w:i w:val="0"/>
          <w:iCs w:val="0"/>
          <w:caps w:val="0"/>
          <w:color w:val="auto"/>
          <w:spacing w:val="0"/>
          <w:sz w:val="28"/>
          <w:szCs w:val="28"/>
          <w:shd w:val="clear" w:fill="FFFFFF"/>
          <w:lang w:val="en-US" w:eastAsia="zh-CN"/>
        </w:rPr>
        <w:t>1</w:t>
      </w:r>
      <w:r>
        <w:rPr>
          <w:rStyle w:val="8"/>
          <w:rFonts w:hint="default" w:ascii="宋体" w:hAnsi="宋体" w:eastAsia="宋体" w:cs="宋体"/>
          <w:b w:val="0"/>
          <w:bCs w:val="0"/>
          <w:i w:val="0"/>
          <w:iCs w:val="0"/>
          <w:caps w:val="0"/>
          <w:color w:val="auto"/>
          <w:spacing w:val="0"/>
          <w:sz w:val="28"/>
          <w:szCs w:val="28"/>
          <w:shd w:val="clear" w:fill="FFFFFF"/>
        </w:rPr>
        <w:t>）</w:t>
      </w:r>
      <w:r>
        <w:rPr>
          <w:rStyle w:val="8"/>
          <w:rFonts w:hint="eastAsia" w:ascii="宋体" w:hAnsi="宋体" w:eastAsia="宋体" w:cs="宋体"/>
          <w:b w:val="0"/>
          <w:bCs w:val="0"/>
          <w:i w:val="0"/>
          <w:iCs w:val="0"/>
          <w:caps w:val="0"/>
          <w:color w:val="auto"/>
          <w:spacing w:val="0"/>
          <w:sz w:val="28"/>
          <w:szCs w:val="28"/>
          <w:shd w:val="clear" w:fill="FFFFFF"/>
          <w:lang w:val="en-US" w:eastAsia="zh-CN"/>
        </w:rPr>
        <w:t>选择模型</w:t>
      </w:r>
      <w:r>
        <w:rPr>
          <w:rStyle w:val="8"/>
          <w:rFonts w:hint="default" w:ascii="宋体" w:hAnsi="宋体" w:eastAsia="宋体" w:cs="宋体"/>
          <w:b w:val="0"/>
          <w:bCs w:val="0"/>
          <w:i w:val="0"/>
          <w:iCs w:val="0"/>
          <w:caps w:val="0"/>
          <w:color w:val="auto"/>
          <w:spacing w:val="0"/>
          <w:sz w:val="28"/>
          <w:szCs w:val="28"/>
          <w:shd w:val="clear" w:fill="FFFFFF"/>
        </w:rPr>
        <w:t>：金融领域预训练模型（FinBERT）</w:t>
      </w:r>
    </w:p>
    <w:p w14:paraId="07441FFC">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lang w:val="en-US" w:eastAsia="zh-CN"/>
        </w:rPr>
        <w:t>·</w:t>
      </w:r>
      <w:r>
        <w:rPr>
          <w:rStyle w:val="8"/>
          <w:rFonts w:hint="default" w:ascii="宋体" w:hAnsi="宋体" w:eastAsia="宋体" w:cs="宋体"/>
          <w:b w:val="0"/>
          <w:bCs w:val="0"/>
          <w:i w:val="0"/>
          <w:iCs w:val="0"/>
          <w:caps w:val="0"/>
          <w:color w:val="auto"/>
          <w:spacing w:val="0"/>
          <w:sz w:val="28"/>
          <w:szCs w:val="28"/>
          <w:shd w:val="clear" w:fill="FFFFFF"/>
        </w:rPr>
        <w:t>目的：利用金融领域语料预训练的优势，提供更准确的专业文本情感分析结果。</w:t>
      </w:r>
    </w:p>
    <w:p w14:paraId="759013DE">
      <w:pPr>
        <w:pStyle w:val="5"/>
        <w:keepNext w:val="0"/>
        <w:keepLines w:val="0"/>
        <w:widowControl/>
        <w:numPr>
          <w:ilvl w:val="0"/>
          <w:numId w:val="0"/>
        </w:numPr>
        <w:suppressLineNumbers w:val="0"/>
        <w:spacing w:before="0" w:beforeAutospacing="0" w:after="0" w:afterAutospacing="0"/>
        <w:ind w:leftChars="0" w:right="0" w:rightChars="0" w:firstLine="560" w:firstLineChars="200"/>
        <w:rPr>
          <w:rStyle w:val="8"/>
          <w:rFonts w:hint="default"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lang w:val="en-US" w:eastAsia="zh-CN"/>
        </w:rPr>
        <w:t>·步骤</w:t>
      </w:r>
      <w:r>
        <w:rPr>
          <w:rStyle w:val="8"/>
          <w:rFonts w:hint="default" w:ascii="宋体" w:hAnsi="宋体" w:eastAsia="宋体" w:cs="宋体"/>
          <w:b w:val="0"/>
          <w:bCs w:val="0"/>
          <w:i w:val="0"/>
          <w:iCs w:val="0"/>
          <w:caps w:val="0"/>
          <w:color w:val="auto"/>
          <w:spacing w:val="0"/>
          <w:sz w:val="28"/>
          <w:szCs w:val="28"/>
          <w:shd w:val="clear" w:fill="FFFFFF"/>
        </w:rPr>
        <w:t>：</w:t>
      </w:r>
    </w:p>
    <w:p w14:paraId="36C20D18">
      <w:pPr>
        <w:pStyle w:val="5"/>
        <w:keepNext w:val="0"/>
        <w:keepLines w:val="0"/>
        <w:widowControl/>
        <w:numPr>
          <w:ilvl w:val="0"/>
          <w:numId w:val="0"/>
        </w:numPr>
        <w:suppressLineNumbers w:val="0"/>
        <w:spacing w:before="0" w:beforeAutospacing="0" w:after="0" w:afterAutospacing="0"/>
        <w:ind w:leftChars="0" w:right="0" w:rightChars="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a.</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数据清洗：对抓取的新闻文本进行清洗，去除无关字符、广告等噪声。</w:t>
      </w:r>
    </w:p>
    <w:p w14:paraId="0F205AA5">
      <w:pPr>
        <w:pStyle w:val="5"/>
        <w:keepNext w:val="0"/>
        <w:keepLines w:val="0"/>
        <w:widowControl/>
        <w:numPr>
          <w:ilvl w:val="0"/>
          <w:numId w:val="0"/>
        </w:numPr>
        <w:suppressLineNumbers w:val="0"/>
        <w:spacing w:before="0" w:beforeAutospacing="0" w:after="0" w:afterAutospacing="0"/>
        <w:ind w:leftChars="0" w:right="0" w:rightChars="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b.</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情感打分：使用预训练的FinBERT模型对清洗后的每条新闻文本进行情感打分，输出一个在-1（负面）到+1（正面）之间的情感分数。</w:t>
      </w:r>
    </w:p>
    <w:p w14:paraId="07600417">
      <w:pPr>
        <w:pStyle w:val="5"/>
        <w:keepNext w:val="0"/>
        <w:keepLines w:val="0"/>
        <w:widowControl/>
        <w:numPr>
          <w:ilvl w:val="0"/>
          <w:numId w:val="0"/>
        </w:numPr>
        <w:suppressLineNumbers w:val="0"/>
        <w:spacing w:before="0" w:beforeAutospacing="0" w:after="0" w:afterAutospacing="0"/>
        <w:ind w:leftChars="0" w:right="0" w:rightChars="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c.</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窗口对齐：严格确保情感分析的文本窗口与CAR计算的事件窗口完全一致，即[-1, +1]。</w:t>
      </w:r>
    </w:p>
    <w:p w14:paraId="78283E51">
      <w:pPr>
        <w:pStyle w:val="5"/>
        <w:keepNext w:val="0"/>
        <w:keepLines w:val="0"/>
        <w:widowControl/>
        <w:suppressLineNumbers w:val="0"/>
        <w:spacing w:before="0" w:beforeAutospacing="0" w:after="0" w:afterAutospacing="0"/>
        <w:ind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d.引入人工验证：</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将从总体中随机抽取约100条新闻，由两名研究者独立进行人工情感标注（如正面、负面、中性），然后计算与FinBERT打分的一致性（如准确率或相关系数）”。</w:t>
      </w:r>
    </w:p>
    <w:p w14:paraId="709A0373">
      <w:pPr>
        <w:numPr>
          <w:ilvl w:val="0"/>
          <w:numId w:val="0"/>
        </w:numPr>
        <w:spacing w:line="240" w:lineRule="auto"/>
        <w:jc w:val="left"/>
        <w:rPr>
          <w:rStyle w:val="8"/>
          <w:rFonts w:hint="default" w:ascii="宋体" w:hAnsi="宋体" w:eastAsia="宋体" w:cs="宋体"/>
          <w:b/>
          <w:bCs/>
          <w:i w:val="0"/>
          <w:iCs w:val="0"/>
          <w:caps w:val="0"/>
          <w:color w:val="auto"/>
          <w:spacing w:val="0"/>
          <w:sz w:val="28"/>
          <w:szCs w:val="28"/>
          <w:shd w:val="clear" w:fill="FFFFFF"/>
          <w:lang w:val="en-US" w:eastAsia="zh-CN"/>
        </w:rPr>
      </w:pPr>
      <w:r>
        <w:rPr>
          <w:rStyle w:val="8"/>
          <w:rFonts w:hint="eastAsia" w:ascii="宋体" w:hAnsi="宋体" w:eastAsia="宋体" w:cs="宋体"/>
          <w:b/>
          <w:bCs/>
          <w:i w:val="0"/>
          <w:iCs w:val="0"/>
          <w:caps w:val="0"/>
          <w:color w:val="auto"/>
          <w:spacing w:val="0"/>
          <w:sz w:val="28"/>
          <w:szCs w:val="28"/>
          <w:shd w:val="clear" w:fill="FFFFFF"/>
          <w:lang w:val="en-US" w:eastAsia="zh-CN"/>
        </w:rPr>
        <w:t>（五）实证模型设计</w:t>
      </w:r>
    </w:p>
    <w:p w14:paraId="3B684F53">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本研究采用两步法进行分析：</w:t>
      </w:r>
    </w:p>
    <w:p w14:paraId="165A47B8">
      <w:pPr>
        <w:pStyle w:val="5"/>
        <w:keepNext w:val="0"/>
        <w:keepLines w:val="0"/>
        <w:widowControl/>
        <w:numPr>
          <w:ilvl w:val="0"/>
          <w:numId w:val="0"/>
        </w:numPr>
        <w:suppressLineNumbers w:val="0"/>
        <w:spacing w:before="0" w:beforeAutospacing="0" w:after="0" w:afterAutospacing="0"/>
        <w:ind w:left="0" w:leftChars="0" w:right="0" w:rightChars="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Fonts w:hint="default" w:ascii="宋体" w:hAnsi="宋体" w:eastAsia="宋体" w:cs="宋体"/>
          <w:b w:val="0"/>
          <w:bCs w:val="0"/>
          <w:i w:val="0"/>
          <w:iCs w:val="0"/>
          <w:caps w:val="0"/>
          <w:color w:val="auto"/>
          <w:spacing w:val="0"/>
          <w:kern w:val="2"/>
          <w:sz w:val="28"/>
          <w:szCs w:val="28"/>
          <w:shd w:val="clear" w:fill="FFFFFF"/>
          <w:lang w:val="en-US" w:eastAsia="zh-CN" w:bidi="ar-SA"/>
        </w:rPr>
        <w:t>1.</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事件研究法：异常收益率与累计异常收益率计算</w:t>
      </w:r>
    </w:p>
    <w:p w14:paraId="675374A0">
      <w:pPr>
        <w:pStyle w:val="5"/>
        <w:keepNext w:val="0"/>
        <w:keepLines w:val="0"/>
        <w:widowControl/>
        <w:suppressLineNumbers w:val="0"/>
        <w:spacing w:before="0" w:beforeAutospacing="0" w:after="0" w:afterAutospacing="0"/>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本研究以市场模型作为累计异常收益率（CAR）计算的基准估计模型，同时采用Fama-French 三因子模型开展稳健性检验，具体设计如下：</w:t>
      </w:r>
    </w:p>
    <w:p w14:paraId="6CD4450B">
      <w:pPr>
        <w:pStyle w:val="5"/>
        <w:keepNext w:val="0"/>
        <w:keepLines w:val="0"/>
        <w:widowControl/>
        <w:suppressLineNumbers w:val="0"/>
        <w:spacing w:before="0" w:beforeAutospacing="0" w:after="0" w:afterAutospacing="0"/>
        <w:ind w:right="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（1）</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正常收益率估计（市场模型）</w:t>
      </w:r>
    </w:p>
    <w:p w14:paraId="0BEDA0C8">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采用</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事件日前[-</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200</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 xml:space="preserve">, </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-10</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]个交易日作为估计窗口，</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若估计窗口内出现财报、并购等重大事件，对该交易日进行剔除。</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该窗口既保证了参数估计的样本量充足，又与事件窗口完全隔离，避免事件信息对正常收益率估计的内生性干扰。通过市场模型估计个股正常收益率，公式如下：</w:t>
      </w:r>
    </w:p>
    <w:p w14:paraId="7CD69079">
      <w:pPr>
        <w:pStyle w:val="5"/>
        <w:keepNext w:val="0"/>
        <w:keepLines w:val="0"/>
        <w:widowControl/>
        <w:suppressLineNumbers w:val="0"/>
        <w:spacing w:before="0" w:beforeAutospacing="0" w:after="0" w:afterAutospacing="0"/>
        <w:ind w:left="0" w:right="0" w:firstLine="562" w:firstLineChars="200"/>
        <w:jc w:val="center"/>
        <w:rPr>
          <w:rStyle w:val="8"/>
          <w:rFonts w:hint="default" w:ascii="宋体" w:hAnsi="宋体" w:cs="宋体" w:eastAsiaTheme="minorEastAsia"/>
          <w:b w:val="0"/>
          <w:bCs w:val="0"/>
          <w:i w:val="0"/>
          <w:iCs w:val="0"/>
          <w:caps w:val="0"/>
          <w:color w:val="auto"/>
          <w:spacing w:val="0"/>
          <w:kern w:val="2"/>
          <w:sz w:val="28"/>
          <w:szCs w:val="28"/>
          <w:shd w:val="clear" w:fill="FFFFFF"/>
          <w:lang w:val="en-US" w:eastAsia="zh-CN" w:bidi="ar-SA"/>
        </w:rPr>
      </w:pPr>
      <m:oMath>
        <m:sSub>
          <m:sSubPr>
            <m:ctrlPr>
              <w:rPr>
                <w:rStyle w:val="8"/>
                <w:rFonts w:ascii="Cambria Math" w:hAnsi="Cambria Math" w:cs="宋体"/>
                <w:bCs w:val="0"/>
                <w:i/>
                <w:iCs w:val="0"/>
                <w:caps w:val="0"/>
                <w:color w:val="auto"/>
                <w:spacing w:val="0"/>
                <w:kern w:val="2"/>
                <w:sz w:val="28"/>
                <w:szCs w:val="28"/>
                <w:shd w:val="clear" w:fill="FFFFFF"/>
                <w:lang w:val="en-US"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R</m:t>
            </m:r>
            <m:ctrlPr>
              <w:rPr>
                <w:rStyle w:val="8"/>
                <w:rFonts w:ascii="Cambria Math" w:hAnsi="Cambria Math" w:cs="宋体"/>
                <w:bCs w:val="0"/>
                <w:i/>
                <w:iCs w:val="0"/>
                <w:caps w:val="0"/>
                <w:color w:val="auto"/>
                <w:spacing w:val="0"/>
                <w:kern w:val="2"/>
                <w:sz w:val="28"/>
                <w:szCs w:val="28"/>
                <w:shd w:val="clear" w:fill="FFFFFF"/>
                <w:lang w:val="en-US"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j,t</m:t>
            </m:r>
            <m:ctrlPr>
              <w:rPr>
                <w:rStyle w:val="8"/>
                <w:rFonts w:ascii="Cambria Math" w:hAnsi="Cambria Math" w:cs="宋体"/>
                <w:bCs w:val="0"/>
                <w:i/>
                <w:iCs w:val="0"/>
                <w:caps w:val="0"/>
                <w:color w:val="auto"/>
                <w:spacing w:val="0"/>
                <w:kern w:val="2"/>
                <w:sz w:val="28"/>
                <w:szCs w:val="28"/>
                <w:shd w:val="clear" w:fill="FFFFFF"/>
                <w:lang w:val="en-US"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α</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j</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β</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j</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R</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m,t</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ε</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j,t</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oMath>
      <w:r>
        <w:rPr>
          <w:rStyle w:val="8"/>
          <w:rFonts w:hint="eastAsia" w:hAnsi="Cambria Math" w:cs="宋体"/>
          <w:bCs w:val="0"/>
          <w:i w:val="0"/>
          <w:iCs w:val="0"/>
          <w:caps w:val="0"/>
          <w:color w:val="auto"/>
          <w:spacing w:val="0"/>
          <w:kern w:val="2"/>
          <w:sz w:val="28"/>
          <w:szCs w:val="28"/>
          <w:shd w:val="clear" w:fill="FFFFFF"/>
          <w:lang w:val="en-US" w:eastAsia="zh-CN" w:bidi="ar-SA"/>
        </w:rPr>
        <w:t xml:space="preserve">  t</w:t>
      </w:r>
      <m:oMath>
        <m:r>
          <m:rPr>
            <m:sty m:val="bi"/>
          </m:rPr>
          <w:rPr>
            <w:rStyle w:val="8"/>
            <w:rFonts w:ascii="Cambria Math" w:hAnsi="Cambria Math" w:cs="宋体"/>
            <w:caps w:val="0"/>
            <w:color w:val="auto"/>
            <w:spacing w:val="0"/>
            <w:kern w:val="2"/>
            <w:sz w:val="28"/>
            <w:szCs w:val="28"/>
            <w:shd w:val="clear" w:fill="FFFFFF"/>
            <w:lang w:val="en-US" w:bidi="ar-SA"/>
          </w:rPr>
          <m:t>∈</m:t>
        </m:r>
        <m:r>
          <m:rPr>
            <m:sty m:val="p"/>
          </m:rPr>
          <w:rPr>
            <w:rStyle w:val="8"/>
            <w:rFonts w:hint="default" w:ascii="宋体" w:hAnsi="宋体" w:eastAsia="宋体" w:cs="宋体"/>
            <w:caps w:val="0"/>
            <w:color w:val="auto"/>
            <w:spacing w:val="0"/>
            <w:kern w:val="2"/>
            <w:sz w:val="28"/>
            <w:szCs w:val="28"/>
            <w:shd w:val="clear" w:fill="FFFFFF"/>
            <w:lang w:val="en-US" w:eastAsia="zh-CN" w:bidi="ar-SA"/>
          </w:rPr>
          <m:t>[−</m:t>
        </m:r>
        <m:r>
          <m:rPr>
            <m:sty m:val="p"/>
          </m:rPr>
          <w:rPr>
            <w:rStyle w:val="8"/>
            <w:rFonts w:hint="eastAsia" w:ascii="宋体" w:hAnsi="宋体" w:eastAsia="宋体" w:cs="宋体"/>
            <w:caps w:val="0"/>
            <w:color w:val="auto"/>
            <w:spacing w:val="0"/>
            <w:kern w:val="2"/>
            <w:sz w:val="28"/>
            <w:szCs w:val="28"/>
            <w:shd w:val="clear" w:fill="FFFFFF"/>
            <w:lang w:val="en-US" w:eastAsia="zh-CN" w:bidi="ar-SA"/>
          </w:rPr>
          <m:t>200</m:t>
        </m:r>
        <m:r>
          <m:rPr>
            <m:sty m:val="p"/>
          </m:rPr>
          <w:rPr>
            <w:rStyle w:val="8"/>
            <w:rFonts w:hint="default" w:ascii="宋体" w:hAnsi="宋体" w:eastAsia="宋体" w:cs="宋体"/>
            <w:caps w:val="0"/>
            <w:color w:val="auto"/>
            <w:spacing w:val="0"/>
            <w:kern w:val="2"/>
            <w:sz w:val="28"/>
            <w:szCs w:val="28"/>
            <w:shd w:val="clear" w:fill="FFFFFF"/>
            <w:lang w:val="en-US" w:eastAsia="zh-CN" w:bidi="ar-SA"/>
          </w:rPr>
          <m:t xml:space="preserve">, </m:t>
        </m:r>
        <m:r>
          <m:rPr>
            <m:sty m:val="p"/>
          </m:rPr>
          <w:rPr>
            <w:rStyle w:val="8"/>
            <w:rFonts w:hint="eastAsia" w:ascii="宋体" w:hAnsi="宋体" w:eastAsia="宋体" w:cs="宋体"/>
            <w:caps w:val="0"/>
            <w:color w:val="auto"/>
            <w:spacing w:val="0"/>
            <w:kern w:val="2"/>
            <w:sz w:val="28"/>
            <w:szCs w:val="28"/>
            <w:shd w:val="clear" w:fill="FFFFFF"/>
            <w:lang w:val="en-US" w:eastAsia="zh-CN" w:bidi="ar-SA"/>
          </w:rPr>
          <m:t>−10</m:t>
        </m:r>
        <m:r>
          <m:rPr>
            <m:sty m:val="p"/>
          </m:rPr>
          <w:rPr>
            <w:rStyle w:val="8"/>
            <w:rFonts w:hint="default" w:ascii="宋体" w:hAnsi="宋体" w:eastAsia="宋体" w:cs="宋体"/>
            <w:caps w:val="0"/>
            <w:color w:val="auto"/>
            <w:spacing w:val="0"/>
            <w:kern w:val="2"/>
            <w:sz w:val="28"/>
            <w:szCs w:val="28"/>
            <w:shd w:val="clear" w:fill="FFFFFF"/>
            <w:lang w:val="en-US" w:eastAsia="zh-CN" w:bidi="ar-SA"/>
          </w:rPr>
          <m:t>]</m:t>
        </m:r>
      </m:oMath>
    </w:p>
    <w:p w14:paraId="6CD1C991">
      <w:pPr>
        <w:pStyle w:val="5"/>
        <w:keepNext w:val="0"/>
        <w:keepLines w:val="0"/>
        <w:widowControl/>
        <w:suppressLineNumbers w:val="0"/>
        <w:spacing w:before="0" w:beforeAutospacing="0" w:after="0" w:afterAutospacing="0"/>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其中：</w:t>
      </w:r>
    </w:p>
    <w:p w14:paraId="154B91F6">
      <w:pPr>
        <w:pStyle w:val="5"/>
        <w:keepNext w:val="0"/>
        <w:keepLines w:val="0"/>
        <w:widowControl/>
        <w:suppressLineNumbers w:val="0"/>
        <w:spacing w:before="0" w:beforeAutospacing="0" w:after="0" w:afterAutospacing="0"/>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m:oMath>
        <m:sSub>
          <m:sSub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SubPr>
          <m:e>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R</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j,t</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ub>
        </m:sSub>
      </m:oMath>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：公司 j 在交易日 t 的日度个股收益率；</w:t>
      </w:r>
    </w:p>
    <w:p w14:paraId="50C9581B">
      <w:pPr>
        <w:pStyle w:val="5"/>
        <w:keepNext w:val="0"/>
        <w:keepLines w:val="0"/>
        <w:widowControl/>
        <w:suppressLineNumbers w:val="0"/>
        <w:spacing w:before="0" w:beforeAutospacing="0" w:after="0" w:afterAutospacing="0"/>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m:oMath>
        <m:sSub>
          <m:sSub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SubPr>
          <m:e>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R</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m,t</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ub>
        </m:sSub>
      </m:oMath>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：交易日 t 的市场基准指数日度收益率；</w:t>
      </w:r>
    </w:p>
    <w:p w14:paraId="15F45EBF">
      <w:pPr>
        <w:pStyle w:val="5"/>
        <w:keepNext w:val="0"/>
        <w:keepLines w:val="0"/>
        <w:widowControl/>
        <w:suppressLineNumbers w:val="0"/>
        <w:spacing w:before="0" w:beforeAutospacing="0" w:after="0" w:afterAutospacing="0"/>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m:oMath>
        <m:sSub>
          <m:sSub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SubPr>
          <m:e>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α</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j</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ub>
        </m:sSub>
      </m:oMath>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w:t>
      </w:r>
      <m:oMath>
        <m:sSub>
          <m:sSub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SubPr>
          <m:e>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β</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j</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ub>
        </m:sSub>
      </m:oMath>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市场模型估计出的个股截距项与风险载荷系数；</w:t>
      </w:r>
    </w:p>
    <w:p w14:paraId="344CBCF2">
      <w:pPr>
        <w:pStyle w:val="5"/>
        <w:keepNext w:val="0"/>
        <w:keepLines w:val="0"/>
        <w:widowControl/>
        <w:suppressLineNumbers w:val="0"/>
        <w:spacing w:before="0" w:beforeAutospacing="0" w:after="0" w:afterAutospacing="0"/>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m:oMath>
        <m:sSub>
          <m:sSub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SubPr>
          <m:e>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ε</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j,t</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ub>
        </m:sSub>
      </m:oMath>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：模型残差项，满足</w:t>
      </w:r>
      <m:oMath>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E(</m:t>
        </m:r>
        <m:sSub>
          <m:sSub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SubPr>
          <m:e>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ε</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j,t</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ub>
        </m:s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)=0  Var(</m:t>
        </m:r>
        <m:sSub>
          <m:sSub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SubPr>
          <m:e>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ε</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j,t</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ub>
        </m:s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m:t>
        </m:r>
        <m:sSup>
          <m:sSup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SupPr>
          <m:e>
            <m:sSub>
              <m:sSub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SubPr>
              <m:e>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σ</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ε</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ub>
            </m:sSub>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sup>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2</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up>
        </m:sSup>
      </m:oMath>
    </w:p>
    <w:p w14:paraId="32C091CE">
      <w:pPr>
        <w:pStyle w:val="5"/>
        <w:keepNext w:val="0"/>
        <w:keepLines w:val="0"/>
        <w:widowControl/>
        <w:suppressLineNumbers w:val="0"/>
        <w:spacing w:before="0" w:beforeAutospacing="0" w:after="0" w:afterAutospacing="0"/>
        <w:ind w:right="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（2）日度异常收益率（AR）计算</w:t>
      </w:r>
    </w:p>
    <w:p w14:paraId="060B85CD">
      <w:pPr>
        <w:pStyle w:val="5"/>
        <w:keepNext w:val="0"/>
        <w:keepLines w:val="0"/>
        <w:widowControl/>
        <w:suppressLineNumbers w:val="0"/>
        <w:spacing w:before="0" w:beforeAutospacing="0" w:after="0" w:afterAutospacing="0"/>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基于估计窗口得到的模型参数，计算事件窗口内个股的日度异常收益率：</w:t>
      </w:r>
    </w:p>
    <w:p w14:paraId="61F9FBFF">
      <w:pPr>
        <w:pStyle w:val="5"/>
        <w:keepNext w:val="0"/>
        <w:keepLines w:val="0"/>
        <w:widowControl/>
        <w:numPr>
          <w:ilvl w:val="0"/>
          <w:numId w:val="0"/>
        </w:numPr>
        <w:suppressLineNumbers w:val="0"/>
        <w:spacing w:before="0" w:beforeAutospacing="0" w:after="0" w:afterAutospacing="0"/>
        <w:ind w:leftChars="200" w:right="0" w:rightChars="0"/>
        <w:rPr>
          <w:rFonts w:hint="default" w:ascii="宋体" w:hAnsi="宋体" w:eastAsia="宋体" w:cs="宋体"/>
          <w:sz w:val="24"/>
          <w:szCs w:val="24"/>
          <w:lang w:val="en-US" w:eastAsia="zh-CN"/>
        </w:rPr>
      </w:pPr>
      <m:oMathPara>
        <m:oMath>
          <m:sSub>
            <m:sSubPr>
              <m:ctrlPr>
                <w:rPr>
                  <w:rStyle w:val="8"/>
                  <w:rFonts w:ascii="Cambria Math" w:hAnsi="Cambria Math" w:cs="宋体"/>
                  <w:bCs w:val="0"/>
                  <w:i w:val="0"/>
                  <w:iCs w:val="0"/>
                  <w:caps w:val="0"/>
                  <w:color w:val="auto"/>
                  <w:spacing w:val="0"/>
                  <w:kern w:val="2"/>
                  <w:sz w:val="28"/>
                  <w:szCs w:val="28"/>
                  <w:shd w:val="clear" w:fill="FFFFFF"/>
                  <w:lang w:val="en-US" w:bidi="ar-SA"/>
                </w:rPr>
              </m:ctrlPr>
            </m:sSubPr>
            <m:e>
              <m:r>
                <m:rPr>
                  <m:sty m:val="p"/>
                </m:rPr>
                <w:rPr>
                  <w:rStyle w:val="8"/>
                  <w:rFonts w:hint="default" w:ascii="Cambria Math" w:hAnsi="Cambria Math" w:cs="宋体"/>
                  <w:caps w:val="0"/>
                  <w:color w:val="auto"/>
                  <w:spacing w:val="0"/>
                  <w:kern w:val="2"/>
                  <w:sz w:val="28"/>
                  <w:szCs w:val="28"/>
                  <w:shd w:val="clear" w:fill="FFFFFF"/>
                  <w:lang w:val="en-US" w:eastAsia="zh-CN" w:bidi="ar-SA"/>
                </w:rPr>
                <m:t>AR</m:t>
              </m:r>
              <m:ctrlPr>
                <w:rPr>
                  <w:rStyle w:val="8"/>
                  <w:rFonts w:ascii="Cambria Math" w:hAnsi="Cambria Math" w:cs="宋体"/>
                  <w:bCs w:val="0"/>
                  <w:i w:val="0"/>
                  <w:iCs w:val="0"/>
                  <w:caps w:val="0"/>
                  <w:color w:val="auto"/>
                  <w:spacing w:val="0"/>
                  <w:kern w:val="2"/>
                  <w:sz w:val="28"/>
                  <w:szCs w:val="28"/>
                  <w:shd w:val="clear" w:fill="FFFFFF"/>
                  <w:lang w:val="en-US" w:bidi="ar-SA"/>
                </w:rPr>
              </m:ctrlPr>
            </m:e>
            <m:sub>
              <m:r>
                <m:rPr>
                  <m:sty m:val="p"/>
                </m:rPr>
                <w:rPr>
                  <w:rStyle w:val="8"/>
                  <w:rFonts w:hint="default" w:ascii="Cambria Math" w:hAnsi="Cambria Math" w:cs="宋体"/>
                  <w:caps w:val="0"/>
                  <w:color w:val="auto"/>
                  <w:spacing w:val="0"/>
                  <w:kern w:val="2"/>
                  <w:sz w:val="28"/>
                  <w:szCs w:val="28"/>
                  <w:shd w:val="clear" w:fill="FFFFFF"/>
                  <w:lang w:val="en-US" w:eastAsia="zh-CN" w:bidi="ar-SA"/>
                </w:rPr>
                <m:t>ij,t</m:t>
              </m:r>
              <m:ctrlPr>
                <w:rPr>
                  <w:rStyle w:val="8"/>
                  <w:rFonts w:ascii="Cambria Math" w:hAnsi="Cambria Math" w:cs="宋体"/>
                  <w:bCs w:val="0"/>
                  <w:i w:val="0"/>
                  <w:iCs w:val="0"/>
                  <w:caps w:val="0"/>
                  <w:color w:val="auto"/>
                  <w:spacing w:val="0"/>
                  <w:kern w:val="2"/>
                  <w:sz w:val="28"/>
                  <w:szCs w:val="28"/>
                  <w:shd w:val="clear" w:fill="FFFFFF"/>
                  <w:lang w:val="en-US" w:bidi="ar-SA"/>
                </w:rPr>
              </m:ctrlPr>
            </m:sub>
          </m:sSub>
          <m:r>
            <m:rPr>
              <m:sty m:val="p"/>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ascii="Cambria Math" w:hAnsi="Cambria Math" w:cs="宋体"/>
                  <w:bCs w:val="0"/>
                  <w:i/>
                  <w:iCs w:val="0"/>
                  <w:caps w:val="0"/>
                  <w:color w:val="auto"/>
                  <w:spacing w:val="0"/>
                  <w:kern w:val="2"/>
                  <w:sz w:val="28"/>
                  <w:szCs w:val="28"/>
                  <w:shd w:val="clear" w:fill="FFFFFF"/>
                  <w:lang w:val="en-US"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R</m:t>
              </m:r>
              <m:ctrlPr>
                <w:rPr>
                  <w:rStyle w:val="8"/>
                  <w:rFonts w:ascii="Cambria Math" w:hAnsi="Cambria Math" w:cs="宋体"/>
                  <w:bCs w:val="0"/>
                  <w:i/>
                  <w:iCs w:val="0"/>
                  <w:caps w:val="0"/>
                  <w:color w:val="auto"/>
                  <w:spacing w:val="0"/>
                  <w:kern w:val="2"/>
                  <w:sz w:val="28"/>
                  <w:szCs w:val="28"/>
                  <w:shd w:val="clear" w:fill="FFFFFF"/>
                  <w:lang w:val="en-US"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j,t</m:t>
              </m:r>
              <m:ctrlPr>
                <w:rPr>
                  <w:rStyle w:val="8"/>
                  <w:rFonts w:ascii="Cambria Math" w:hAnsi="Cambria Math" w:cs="宋体"/>
                  <w:bCs w:val="0"/>
                  <w:i/>
                  <w:iCs w:val="0"/>
                  <w:caps w:val="0"/>
                  <w:color w:val="auto"/>
                  <w:spacing w:val="0"/>
                  <w:kern w:val="2"/>
                  <w:sz w:val="28"/>
                  <w:szCs w:val="28"/>
                  <w:shd w:val="clear" w:fill="FFFFFF"/>
                  <w:lang w:val="en-US"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acc>
                <m:acc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accPr>
                <m:e>
                  <m:r>
                    <m:rPr>
                      <m:sty m:val="bi"/>
                    </m:rPr>
                    <w:rPr>
                      <w:rStyle w:val="8"/>
                      <w:rFonts w:ascii="Cambria Math" w:hAnsi="Cambria Math" w:cs="宋体"/>
                      <w:caps w:val="0"/>
                      <w:color w:val="auto"/>
                      <w:spacing w:val="0"/>
                      <w:kern w:val="2"/>
                      <w:sz w:val="28"/>
                      <w:szCs w:val="28"/>
                      <w:shd w:val="clear" w:fill="FFFFFF"/>
                      <w:lang w:val="en-US" w:bidi="ar-SA"/>
                    </w:rPr>
                    <m:t>α</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acc>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j</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acc>
                <m:acc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accPr>
                <m:e>
                  <m:r>
                    <m:rPr>
                      <m:sty m:val="bi"/>
                    </m:rPr>
                    <w:rPr>
                      <w:rStyle w:val="8"/>
                      <w:rFonts w:ascii="Cambria Math" w:hAnsi="Cambria Math" w:cs="宋体"/>
                      <w:caps w:val="0"/>
                      <w:color w:val="auto"/>
                      <w:spacing w:val="0"/>
                      <w:kern w:val="2"/>
                      <w:sz w:val="28"/>
                      <w:szCs w:val="28"/>
                      <w:shd w:val="clear" w:fill="FFFFFF"/>
                      <w:lang w:val="en-US" w:bidi="ar-SA"/>
                    </w:rPr>
                    <m:t>β</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acc>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j</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R</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m,t</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oMath>
      </m:oMathPara>
    </w:p>
    <w:p w14:paraId="0C483E48">
      <w:pPr>
        <w:pStyle w:val="5"/>
        <w:keepNext w:val="0"/>
        <w:keepLines w:val="0"/>
        <w:widowControl/>
        <w:suppressLineNumbers w:val="0"/>
        <w:spacing w:before="0" w:beforeAutospacing="0" w:after="0" w:afterAutospacing="0"/>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其中：</w:t>
      </w:r>
    </w:p>
    <w:p w14:paraId="0FCA9A36">
      <w:pPr>
        <w:pStyle w:val="5"/>
        <w:keepNext w:val="0"/>
        <w:keepLines w:val="0"/>
        <w:widowControl/>
        <w:suppressLineNumbers w:val="0"/>
        <w:spacing w:before="0" w:beforeAutospacing="0" w:after="0" w:afterAutospacing="0"/>
        <w:ind w:left="0" w:right="0" w:firstLine="562"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m:oMath>
        <m:sSub>
          <m:sSubPr>
            <m:ctrlPr>
              <w:rPr>
                <w:rStyle w:val="8"/>
                <w:rFonts w:ascii="Cambria Math" w:hAnsi="Cambria Math" w:cs="宋体"/>
                <w:b/>
                <w:bCs w:val="0"/>
                <w:i w:val="0"/>
                <w:iCs w:val="0"/>
                <w:caps w:val="0"/>
                <w:color w:val="auto"/>
                <w:spacing w:val="0"/>
                <w:kern w:val="2"/>
                <w:sz w:val="28"/>
                <w:szCs w:val="28"/>
                <w:shd w:val="clear" w:fill="FFFFFF"/>
                <w:lang w:val="en-US" w:bidi="ar-SA"/>
              </w:rPr>
            </m:ctrlPr>
          </m:sSubPr>
          <m:e>
            <m:r>
              <m:rPr>
                <m:sty m:val="b"/>
              </m:rPr>
              <w:rPr>
                <w:rStyle w:val="8"/>
                <w:rFonts w:hint="default" w:ascii="Cambria Math" w:hAnsi="Cambria Math" w:cs="宋体"/>
                <w:caps w:val="0"/>
                <w:color w:val="auto"/>
                <w:spacing w:val="0"/>
                <w:kern w:val="2"/>
                <w:sz w:val="28"/>
                <w:szCs w:val="28"/>
                <w:shd w:val="clear" w:fill="FFFFFF"/>
                <w:lang w:val="en-US" w:eastAsia="zh-CN" w:bidi="ar-SA"/>
              </w:rPr>
              <m:t>AR</m:t>
            </m:r>
            <m:ctrlPr>
              <w:rPr>
                <w:rStyle w:val="8"/>
                <w:rFonts w:ascii="Cambria Math" w:hAnsi="Cambria Math" w:cs="宋体"/>
                <w:b/>
                <w:bCs w:val="0"/>
                <w:i w:val="0"/>
                <w:iCs w:val="0"/>
                <w:caps w:val="0"/>
                <w:color w:val="auto"/>
                <w:spacing w:val="0"/>
                <w:kern w:val="2"/>
                <w:sz w:val="28"/>
                <w:szCs w:val="28"/>
                <w:shd w:val="clear" w:fill="FFFFFF"/>
                <w:lang w:val="en-US" w:bidi="ar-SA"/>
              </w:rPr>
            </m:ctrlPr>
          </m:e>
          <m:sub>
            <m:r>
              <m:rPr>
                <m:sty m:val="b"/>
              </m:rPr>
              <w:rPr>
                <w:rStyle w:val="8"/>
                <w:rFonts w:hint="default" w:ascii="Cambria Math" w:hAnsi="Cambria Math" w:cs="宋体"/>
                <w:caps w:val="0"/>
                <w:color w:val="auto"/>
                <w:spacing w:val="0"/>
                <w:kern w:val="2"/>
                <w:sz w:val="28"/>
                <w:szCs w:val="28"/>
                <w:shd w:val="clear" w:fill="FFFFFF"/>
                <w:lang w:val="en-US" w:eastAsia="zh-CN" w:bidi="ar-SA"/>
              </w:rPr>
              <m:t>ij,t</m:t>
            </m:r>
            <m:ctrlPr>
              <w:rPr>
                <w:rStyle w:val="8"/>
                <w:rFonts w:ascii="Cambria Math" w:hAnsi="Cambria Math" w:cs="宋体"/>
                <w:b/>
                <w:bCs w:val="0"/>
                <w:i w:val="0"/>
                <w:iCs w:val="0"/>
                <w:caps w:val="0"/>
                <w:color w:val="auto"/>
                <w:spacing w:val="0"/>
                <w:kern w:val="2"/>
                <w:sz w:val="28"/>
                <w:szCs w:val="28"/>
                <w:shd w:val="clear" w:fill="FFFFFF"/>
                <w:lang w:val="en-US" w:bidi="ar-SA"/>
              </w:rPr>
            </m:ctrlPr>
          </m:sub>
        </m:sSub>
      </m:oMath>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：事件 i 中，公司 j 在交易日 t 的日度异常收益率；</w:t>
      </w:r>
    </w:p>
    <w:p w14:paraId="56B68C34">
      <w:pPr>
        <w:pStyle w:val="5"/>
        <w:keepNext w:val="0"/>
        <w:keepLines w:val="0"/>
        <w:widowControl/>
        <w:suppressLineNumbers w:val="0"/>
        <w:spacing w:before="0" w:beforeAutospacing="0" w:after="0" w:afterAutospacing="0"/>
        <w:ind w:left="0" w:right="0" w:firstLine="562" w:firstLineChars="200"/>
        <w:jc w:val="left"/>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pPr>
      <m:oMath>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acc>
              <m:acc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accPr>
              <m:e>
                <m:r>
                  <m:rPr>
                    <m:sty m:val="bi"/>
                  </m:rPr>
                  <w:rPr>
                    <w:rStyle w:val="8"/>
                    <w:rFonts w:ascii="Cambria Math" w:hAnsi="Cambria Math" w:cs="宋体"/>
                    <w:caps w:val="0"/>
                    <w:color w:val="auto"/>
                    <w:spacing w:val="0"/>
                    <w:kern w:val="2"/>
                    <w:sz w:val="28"/>
                    <w:szCs w:val="28"/>
                    <w:shd w:val="clear" w:fill="FFFFFF"/>
                    <w:lang w:val="en-US" w:bidi="ar-SA"/>
                  </w:rPr>
                  <m:t>α</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acc>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j</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oMath>
      <w:r>
        <w:rPr>
          <w:rStyle w:val="8"/>
          <w:rFonts w:hint="eastAsia" w:hAnsi="Cambria Math" w:cs="宋体"/>
          <w:bCs w:val="0"/>
          <w:i w:val="0"/>
          <w:iCs w:val="0"/>
          <w:caps w:val="0"/>
          <w:color w:val="auto"/>
          <w:spacing w:val="0"/>
          <w:kern w:val="2"/>
          <w:sz w:val="28"/>
          <w:szCs w:val="28"/>
          <w:shd w:val="clear" w:fill="FFFFFF"/>
          <w:lang w:val="en-US" w:eastAsia="zh-CN" w:bidi="ar-SA"/>
        </w:rPr>
        <w:t>、</w:t>
      </w:r>
      <m:oMath>
        <m:sSub>
          <m:sSub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SubPr>
          <m:e>
            <m:acc>
              <m:acc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accPr>
              <m:e>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β</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acc>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j</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ub>
        </m:sSub>
      </m:oMath>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：估计窗口回归得到的参数拟合值。</w:t>
      </w:r>
    </w:p>
    <w:p w14:paraId="2D213A20">
      <w:pPr>
        <w:pStyle w:val="5"/>
        <w:keepNext w:val="0"/>
        <w:keepLines w:val="0"/>
        <w:widowControl/>
        <w:suppressLineNumbers w:val="0"/>
        <w:spacing w:before="0" w:beforeAutospacing="0" w:after="0" w:afterAutospacing="0"/>
        <w:ind w:right="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（3）累计异常收益率（CAR）计算</w:t>
      </w:r>
    </w:p>
    <w:p w14:paraId="362C9672">
      <w:pPr>
        <w:pStyle w:val="5"/>
        <w:keepNext w:val="0"/>
        <w:keepLines w:val="0"/>
        <w:widowControl/>
        <w:suppressLineNumbers w:val="0"/>
        <w:spacing w:before="0" w:beforeAutospacing="0" w:after="0" w:afterAutospacing="0"/>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对事件窗口内的日度异常收益率进行累加，得到核心被解释变量 CAR：</w:t>
      </w:r>
    </w:p>
    <w:p w14:paraId="72ABE3C4">
      <w:pPr>
        <w:pStyle w:val="5"/>
        <w:keepNext w:val="0"/>
        <w:keepLines w:val="0"/>
        <w:widowControl/>
        <w:suppressLineNumbers w:val="0"/>
        <w:spacing w:before="0" w:beforeAutospacing="0" w:after="0" w:afterAutospacing="0"/>
        <w:ind w:left="0" w:right="0" w:firstLine="562"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m:oMathPara>
        <m:oMath>
          <m:sSub>
            <m:sSubP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SubPr>
            <m:e>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CAR</m:t>
              </m: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e>
            <m:sub>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ij</m:t>
              </m: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ub>
          </m:sSub>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m:t>
          </m:r>
          <m:sSub>
            <m:sSubP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SubPr>
            <m:e>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T</m:t>
              </m: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e>
            <m:sub>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1</m:t>
              </m: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ub>
          </m:sSub>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 xml:space="preserve">, </m:t>
          </m:r>
          <m:sSub>
            <m:sSubP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SubPr>
            <m:e>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T</m:t>
              </m: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e>
            <m:sub>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2</m:t>
              </m: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ub>
          </m:sSub>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m:t>
          </m:r>
          <m:nary>
            <m:naryPr>
              <m:chr m:val="∑"/>
              <m:limLoc m:val="subSup"/>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naryPr>
            <m:sub>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t=</m:t>
              </m:r>
              <m:sSub>
                <m:sSubP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SubPr>
                <m:e>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T</m:t>
                  </m: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e>
                <m:sub>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1</m:t>
                  </m: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ub>
              </m:sSub>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ub>
            <m:sup>
              <m:sSub>
                <m:sSubP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SubPr>
                <m:e>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T</m:t>
                  </m: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e>
                <m:sub>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2</m:t>
                  </m: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ub>
              </m:sSub>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up>
            <m:e>
              <m:sSub>
                <m:sSubP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SubPr>
                <m:e>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AR</m:t>
                  </m: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e>
                <m:sub>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ij,t</m:t>
                  </m: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ub>
              </m:sSub>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e>
          </m:nary>
        </m:oMath>
      </m:oMathPara>
    </w:p>
    <w:p w14:paraId="38DA7E6E">
      <w:pPr>
        <w:pStyle w:val="5"/>
        <w:keepNext w:val="0"/>
        <w:keepLines w:val="0"/>
        <w:widowControl/>
        <w:suppressLineNumbers w:val="0"/>
        <w:spacing w:before="0" w:beforeAutospacing="0" w:after="0" w:afterAutospacing="0"/>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其中：</w:t>
      </w:r>
    </w:p>
    <w:p w14:paraId="03B1B197">
      <w:pPr>
        <w:pStyle w:val="5"/>
        <w:keepNext w:val="0"/>
        <w:keepLines w:val="0"/>
        <w:widowControl/>
        <w:suppressLineNumbers w:val="0"/>
        <w:spacing w:before="0" w:beforeAutospacing="0" w:after="0" w:afterAutospacing="0"/>
        <w:ind w:left="0" w:right="0" w:firstLine="560" w:firstLineChars="200"/>
        <w:jc w:val="left"/>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pPr>
      <m:oMath>
        <m:sSub>
          <m:sSub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SubPr>
          <m:e>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CAR</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ij</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ub>
        </m:s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m:t>
        </m:r>
        <m:sSub>
          <m:sSub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SubPr>
          <m:e>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T</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1</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ub>
        </m:s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 xml:space="preserve">, </m:t>
        </m:r>
        <m:sSub>
          <m:sSub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SubPr>
          <m:e>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T</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2</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ub>
        </m:s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m:t>
        </m:r>
      </m:oMath>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：事件i中，公司j在窗口期</w:t>
      </w:r>
      <m:oMath>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m:t>
        </m:r>
        <m:sSub>
          <m:sSub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SubPr>
          <m:e>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T</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1</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ub>
        </m:s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 xml:space="preserve">, </m:t>
        </m:r>
        <m:sSub>
          <m:sSub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SubPr>
          <m:e>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T</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2</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ub>
        </m:s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m:t>
        </m:r>
      </m:oMath>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的累计异常收益率；</w:t>
      </w:r>
    </w:p>
    <w:p w14:paraId="0DE3B25E">
      <w:pPr>
        <w:pStyle w:val="5"/>
        <w:keepNext w:val="0"/>
        <w:keepLines w:val="0"/>
        <w:widowControl/>
        <w:suppressLineNumbers w:val="0"/>
        <w:spacing w:before="0" w:beforeAutospacing="0" w:after="0" w:afterAutospacing="0"/>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主回归基准窗口设定为[−</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20</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20</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]（事件日前后</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20</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个交易日）</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同步计算事件前窗口期[−10,−2]的累计异常收益率</w:t>
      </w:r>
      <m:oMath>
        <m:sSub>
          <m:sSubP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SubPr>
          <m:e>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CARpre</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e>
          <m:sub>
            <m:r>
              <m:rPr>
                <m:sty m:val="p"/>
              </m:rPr>
              <w:rPr>
                <w:rStyle w:val="8"/>
                <w:rFonts w:hint="default" w:ascii="Cambria Math" w:hAnsi="Cambria Math" w:eastAsia="宋体" w:cs="宋体"/>
                <w:caps w:val="0"/>
                <w:color w:val="auto"/>
                <w:spacing w:val="0"/>
                <w:kern w:val="2"/>
                <w:sz w:val="28"/>
                <w:szCs w:val="28"/>
                <w:shd w:val="clear" w:fill="FFFFFF"/>
                <w:lang w:val="en-US" w:eastAsia="zh-CN" w:bidi="ar-SA"/>
              </w:rPr>
              <m:t>ij</m:t>
            </m:r>
            <m:ctrlPr>
              <w:rPr>
                <w:rStyle w:val="8"/>
                <w:rFonts w:hint="default" w:ascii="Cambria Math" w:hAnsi="Cambria Math" w:eastAsia="宋体" w:cs="宋体"/>
                <w:b w:val="0"/>
                <w:bCs w:val="0"/>
                <w:i w:val="0"/>
                <w:iCs w:val="0"/>
                <w:caps w:val="0"/>
                <w:color w:val="auto"/>
                <w:spacing w:val="0"/>
                <w:kern w:val="2"/>
                <w:sz w:val="28"/>
                <w:szCs w:val="28"/>
                <w:shd w:val="clear" w:fill="FFFFFF"/>
                <w:lang w:val="en-US" w:eastAsia="zh-CN" w:bidi="ar-SA"/>
              </w:rPr>
            </m:ctrlPr>
          </m:sub>
        </m:sSub>
      </m:oMath>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，作为事前趋势控制变量纳入回归模型。</w:t>
      </w:r>
    </w:p>
    <w:p w14:paraId="1A10A72C">
      <w:pPr>
        <w:pStyle w:val="5"/>
        <w:keepNext w:val="0"/>
        <w:keepLines w:val="0"/>
        <w:widowControl/>
        <w:numPr>
          <w:ilvl w:val="0"/>
          <w:numId w:val="0"/>
        </w:numPr>
        <w:suppressLineNumbers w:val="0"/>
        <w:spacing w:before="0" w:beforeAutospacing="0" w:after="0" w:afterAutospacing="0"/>
        <w:ind w:left="0" w:leftChars="0" w:right="0" w:rightChars="0" w:firstLine="0" w:firstLineChars="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Fonts w:hint="default" w:ascii="宋体" w:hAnsi="宋体" w:eastAsia="宋体" w:cs="宋体"/>
          <w:b w:val="0"/>
          <w:bCs w:val="0"/>
          <w:i w:val="0"/>
          <w:iCs w:val="0"/>
          <w:caps w:val="0"/>
          <w:color w:val="auto"/>
          <w:spacing w:val="0"/>
          <w:kern w:val="2"/>
          <w:sz w:val="28"/>
          <w:szCs w:val="28"/>
          <w:shd w:val="clear" w:fill="FFFFFF"/>
          <w:lang w:val="en-US" w:eastAsia="zh-CN" w:bidi="ar-SA"/>
        </w:rPr>
        <w:t>（</w:t>
      </w:r>
      <w:r>
        <w:rPr>
          <w:rFonts w:hint="eastAsia" w:ascii="宋体" w:hAnsi="宋体" w:eastAsia="宋体" w:cs="宋体"/>
          <w:b w:val="0"/>
          <w:bCs w:val="0"/>
          <w:i w:val="0"/>
          <w:iCs w:val="0"/>
          <w:caps w:val="0"/>
          <w:color w:val="auto"/>
          <w:spacing w:val="0"/>
          <w:kern w:val="2"/>
          <w:sz w:val="28"/>
          <w:szCs w:val="28"/>
          <w:shd w:val="clear" w:fill="FFFFFF"/>
          <w:lang w:val="en-US" w:eastAsia="zh-CN" w:bidi="ar-SA"/>
        </w:rPr>
        <w:t>4</w:t>
      </w:r>
      <w:r>
        <w:rPr>
          <w:rFonts w:hint="default" w:ascii="宋体" w:hAnsi="宋体" w:eastAsia="宋体" w:cs="宋体"/>
          <w:b w:val="0"/>
          <w:bCs w:val="0"/>
          <w:i w:val="0"/>
          <w:iCs w:val="0"/>
          <w:caps w:val="0"/>
          <w:color w:val="auto"/>
          <w:spacing w:val="0"/>
          <w:kern w:val="2"/>
          <w:sz w:val="28"/>
          <w:szCs w:val="28"/>
          <w:shd w:val="clear" w:fill="FFFFFF"/>
          <w:lang w:val="en-US" w:eastAsia="zh-CN" w:bidi="ar-SA"/>
        </w:rPr>
        <w:t>）</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CAR 的显著性检验</w:t>
      </w:r>
    </w:p>
    <w:p w14:paraId="21A3A4A4">
      <w:pPr>
        <w:pStyle w:val="5"/>
        <w:keepNext w:val="0"/>
        <w:keepLines w:val="0"/>
        <w:widowControl/>
        <w:suppressLineNumbers w:val="0"/>
        <w:spacing w:before="0" w:beforeAutospacing="0" w:after="0" w:afterAutospacing="0"/>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本研究采用参数 t 检验验证全样本、分样本的 CAR 是否显著异于 0，原假设为事件窗口期内的累计异常收益率均值等于0；同时补充事件聚类调整的显著性检验（如 BMP 检验、Bootstrap 聚类标准误），确保事件效应的统计有效性。</w:t>
      </w:r>
    </w:p>
    <w:p w14:paraId="20968267">
      <w:pPr>
        <w:pStyle w:val="5"/>
        <w:keepNext w:val="0"/>
        <w:keepLines w:val="0"/>
        <w:widowControl/>
        <w:numPr>
          <w:ilvl w:val="0"/>
          <w:numId w:val="0"/>
        </w:numPr>
        <w:suppressLineNumbers w:val="0"/>
        <w:spacing w:before="0" w:beforeAutospacing="0" w:after="0" w:afterAutospacing="0"/>
        <w:ind w:left="0" w:leftChars="0" w:right="0" w:rightChars="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Fonts w:hint="default" w:ascii="宋体" w:hAnsi="宋体" w:eastAsia="宋体" w:cs="宋体"/>
          <w:b w:val="0"/>
          <w:bCs w:val="0"/>
          <w:i w:val="0"/>
          <w:iCs w:val="0"/>
          <w:caps w:val="0"/>
          <w:color w:val="auto"/>
          <w:spacing w:val="0"/>
          <w:kern w:val="2"/>
          <w:sz w:val="28"/>
          <w:szCs w:val="28"/>
          <w:shd w:val="clear" w:fill="FFFFFF"/>
          <w:lang w:val="en-US" w:eastAsia="zh-CN" w:bidi="ar-SA"/>
        </w:rPr>
        <w:t>（</w:t>
      </w:r>
      <w:r>
        <w:rPr>
          <w:rFonts w:hint="eastAsia" w:ascii="宋体" w:hAnsi="宋体" w:eastAsia="宋体" w:cs="宋体"/>
          <w:b w:val="0"/>
          <w:bCs w:val="0"/>
          <w:i w:val="0"/>
          <w:iCs w:val="0"/>
          <w:caps w:val="0"/>
          <w:color w:val="auto"/>
          <w:spacing w:val="0"/>
          <w:kern w:val="2"/>
          <w:sz w:val="28"/>
          <w:szCs w:val="28"/>
          <w:shd w:val="clear" w:fill="FFFFFF"/>
          <w:lang w:val="en-US" w:eastAsia="zh-CN" w:bidi="ar-SA"/>
        </w:rPr>
        <w:t>5</w:t>
      </w:r>
      <w:r>
        <w:rPr>
          <w:rFonts w:hint="default" w:ascii="宋体" w:hAnsi="宋体" w:eastAsia="宋体" w:cs="宋体"/>
          <w:b w:val="0"/>
          <w:bCs w:val="0"/>
          <w:i w:val="0"/>
          <w:iCs w:val="0"/>
          <w:caps w:val="0"/>
          <w:color w:val="auto"/>
          <w:spacing w:val="0"/>
          <w:kern w:val="2"/>
          <w:sz w:val="28"/>
          <w:szCs w:val="28"/>
          <w:shd w:val="clear" w:fill="FFFFFF"/>
          <w:lang w:val="en-US" w:eastAsia="zh-CN" w:bidi="ar-SA"/>
        </w:rPr>
        <w:t>）</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稳健性检验：Fama-French 三因子模型</w:t>
      </w:r>
    </w:p>
    <w:p w14:paraId="52E3823C">
      <w:pPr>
        <w:pStyle w:val="5"/>
        <w:keepNext w:val="0"/>
        <w:keepLines w:val="0"/>
        <w:widowControl/>
        <w:numPr>
          <w:ilvl w:val="0"/>
          <w:numId w:val="0"/>
        </w:numPr>
        <w:suppressLineNumbers w:val="0"/>
        <w:spacing w:before="0" w:beforeAutospacing="0" w:after="0" w:afterAutospacing="0"/>
        <w:ind w:left="0" w:leftChars="0" w:right="0" w:rightChars="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为排除个股收益的规模溢价、价值溢价对异常收益率估计的干扰，验证基准结果的可靠性，本研究采用 Fama-French 三因子模型替换市场模型，重新计算事件窗口期内的 CAR，开展稳健性检验。模型设定如下：</w:t>
      </w:r>
    </w:p>
    <w:p w14:paraId="7A7392B4">
      <w:pPr>
        <w:pStyle w:val="5"/>
        <w:keepNext w:val="0"/>
        <w:keepLines w:val="0"/>
        <w:widowControl/>
        <w:numPr>
          <w:ilvl w:val="0"/>
          <w:numId w:val="0"/>
        </w:numPr>
        <w:suppressLineNumbers w:val="0"/>
        <w:spacing w:before="0" w:beforeAutospacing="0" w:after="0" w:afterAutospacing="0"/>
        <w:ind w:left="0" w:leftChars="0" w:right="0" w:rightChars="0" w:firstLine="562" w:firstLineChars="200"/>
        <w:jc w:val="left"/>
        <w:rPr>
          <w:rStyle w:val="8"/>
          <w:rFonts w:hint="default" w:ascii="宋体" w:hAnsi="宋体" w:cs="宋体" w:eastAsiaTheme="minorEastAsia"/>
          <w:b w:val="0"/>
          <w:bCs w:val="0"/>
          <w:i w:val="0"/>
          <w:iCs w:val="0"/>
          <w:caps w:val="0"/>
          <w:color w:val="auto"/>
          <w:spacing w:val="0"/>
          <w:kern w:val="2"/>
          <w:sz w:val="28"/>
          <w:szCs w:val="28"/>
          <w:shd w:val="clear" w:fill="FFFFFF"/>
          <w:lang w:val="en-US" w:eastAsia="zh-CN" w:bidi="ar-SA"/>
        </w:rPr>
      </w:pPr>
      <m:oMathPara>
        <m:oMath>
          <m:sSub>
            <m:sSubPr>
              <m:ctrlPr>
                <w:rPr>
                  <w:rStyle w:val="8"/>
                  <w:rFonts w:ascii="Cambria Math" w:hAnsi="Cambria Math" w:cs="宋体"/>
                  <w:bCs w:val="0"/>
                  <w:i/>
                  <w:iCs w:val="0"/>
                  <w:caps w:val="0"/>
                  <w:color w:val="auto"/>
                  <w:spacing w:val="0"/>
                  <w:kern w:val="2"/>
                  <w:sz w:val="28"/>
                  <w:szCs w:val="28"/>
                  <w:shd w:val="clear" w:fill="FFFFFF"/>
                  <w:lang w:val="en-US"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R</m:t>
              </m:r>
              <m:ctrlPr>
                <w:rPr>
                  <w:rStyle w:val="8"/>
                  <w:rFonts w:ascii="Cambria Math" w:hAnsi="Cambria Math" w:cs="宋体"/>
                  <w:bCs w:val="0"/>
                  <w:i/>
                  <w:iCs w:val="0"/>
                  <w:caps w:val="0"/>
                  <w:color w:val="auto"/>
                  <w:spacing w:val="0"/>
                  <w:kern w:val="2"/>
                  <w:sz w:val="28"/>
                  <w:szCs w:val="28"/>
                  <w:shd w:val="clear" w:fill="FFFFFF"/>
                  <w:lang w:val="en-US"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i,t</m:t>
              </m:r>
              <m:ctrlPr>
                <w:rPr>
                  <w:rStyle w:val="8"/>
                  <w:rFonts w:ascii="Cambria Math" w:hAnsi="Cambria Math" w:cs="宋体"/>
                  <w:bCs w:val="0"/>
                  <w:i/>
                  <w:iCs w:val="0"/>
                  <w:caps w:val="0"/>
                  <w:color w:val="auto"/>
                  <w:spacing w:val="0"/>
                  <w:kern w:val="2"/>
                  <w:sz w:val="28"/>
                  <w:szCs w:val="28"/>
                  <w:shd w:val="clear" w:fill="FFFFFF"/>
                  <w:lang w:val="en-US"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R</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f,t</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α</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β</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1</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ascii="Cambria Math" w:hAnsi="Cambria Math" w:cs="宋体"/>
                  <w:bCs w:val="0"/>
                  <w:i/>
                  <w:iCs w:val="0"/>
                  <w:caps w:val="0"/>
                  <w:color w:val="auto"/>
                  <w:spacing w:val="0"/>
                  <w:kern w:val="2"/>
                  <w:sz w:val="28"/>
                  <w:szCs w:val="28"/>
                  <w:shd w:val="clear" w:fill="FFFFFF"/>
                  <w:lang w:val="en-US"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R</m:t>
              </m:r>
              <m:ctrlPr>
                <w:rPr>
                  <w:rStyle w:val="8"/>
                  <w:rFonts w:ascii="Cambria Math" w:hAnsi="Cambria Math" w:cs="宋体"/>
                  <w:bCs w:val="0"/>
                  <w:i/>
                  <w:iCs w:val="0"/>
                  <w:caps w:val="0"/>
                  <w:color w:val="auto"/>
                  <w:spacing w:val="0"/>
                  <w:kern w:val="2"/>
                  <w:sz w:val="28"/>
                  <w:szCs w:val="28"/>
                  <w:shd w:val="clear" w:fill="FFFFFF"/>
                  <w:lang w:val="en-US"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m,t</m:t>
              </m:r>
              <m:ctrlPr>
                <w:rPr>
                  <w:rStyle w:val="8"/>
                  <w:rFonts w:ascii="Cambria Math" w:hAnsi="Cambria Math" w:cs="宋体"/>
                  <w:bCs w:val="0"/>
                  <w:i/>
                  <w:iCs w:val="0"/>
                  <w:caps w:val="0"/>
                  <w:color w:val="auto"/>
                  <w:spacing w:val="0"/>
                  <w:kern w:val="2"/>
                  <w:sz w:val="28"/>
                  <w:szCs w:val="28"/>
                  <w:shd w:val="clear" w:fill="FFFFFF"/>
                  <w:lang w:val="en-US"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R</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f,t</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β</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2</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SMB</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t</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β</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3</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HML</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t</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ε</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i,t</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oMath>
      </m:oMathPara>
    </w:p>
    <w:p w14:paraId="172DF8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其中，</w:t>
      </w:r>
      <m:oMath>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R</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f,t</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oMath>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为t日的无风险收益率，</w:t>
      </w:r>
      <m:oMath>
        <m:sSub>
          <m:sSubPr>
            <m:ctrlPr>
              <w:rPr>
                <w:rStyle w:val="8"/>
                <w:rFonts w:ascii="Cambria Math" w:hAnsi="Cambria Math" w:cs="宋体"/>
                <w:bCs w:val="0"/>
                <w:i/>
                <w:iCs w:val="0"/>
                <w:caps w:val="0"/>
                <w:color w:val="auto"/>
                <w:spacing w:val="0"/>
                <w:kern w:val="2"/>
                <w:sz w:val="28"/>
                <w:szCs w:val="28"/>
                <w:shd w:val="clear" w:fill="FFFFFF"/>
                <w:lang w:val="en-US"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R</m:t>
            </m:r>
            <m:ctrlPr>
              <w:rPr>
                <w:rStyle w:val="8"/>
                <w:rFonts w:ascii="Cambria Math" w:hAnsi="Cambria Math" w:cs="宋体"/>
                <w:bCs w:val="0"/>
                <w:i/>
                <w:iCs w:val="0"/>
                <w:caps w:val="0"/>
                <w:color w:val="auto"/>
                <w:spacing w:val="0"/>
                <w:kern w:val="2"/>
                <w:sz w:val="28"/>
                <w:szCs w:val="28"/>
                <w:shd w:val="clear" w:fill="FFFFFF"/>
                <w:lang w:val="en-US"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m,t</m:t>
            </m:r>
            <m:ctrlPr>
              <w:rPr>
                <w:rStyle w:val="8"/>
                <w:rFonts w:ascii="Cambria Math" w:hAnsi="Cambria Math" w:cs="宋体"/>
                <w:bCs w:val="0"/>
                <w:i/>
                <w:iCs w:val="0"/>
                <w:caps w:val="0"/>
                <w:color w:val="auto"/>
                <w:spacing w:val="0"/>
                <w:kern w:val="2"/>
                <w:sz w:val="28"/>
                <w:szCs w:val="28"/>
                <w:shd w:val="clear" w:fill="FFFFFF"/>
                <w:lang w:val="en-US"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R</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f,t</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oMath>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为市场风险溢价因子，</w:t>
      </w:r>
      <m:oMath>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SMB</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t</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oMath>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为规模因子（小市值组合与大市值组合的收益率之差），</w:t>
      </w:r>
      <m:oMath>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HML</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t</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oMath>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为价值因子（高账面市值比组合与低账面市值比组合的收益率之差）。三因子数据均来源于 Kenneth French 官方数据库，估计窗口与事件窗口的设定与基准模型完全一致。</w:t>
      </w:r>
    </w:p>
    <w:p w14:paraId="3EB2B8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60" w:firstLineChars="200"/>
        <w:jc w:val="left"/>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若基于三因子模型计算的 CAR，在后续面板回归中，核心解释变量的系数方向、显著性水平与基准回归结果无实质性差异，则证明本研究关于 LLM 发布事件对股价影响的核心结论不受正常收益率估计模型选择的干扰，具有稳健性。</w:t>
      </w:r>
    </w:p>
    <w:p w14:paraId="32ABB945">
      <w:pPr>
        <w:pStyle w:val="5"/>
        <w:keepNext w:val="0"/>
        <w:keepLines w:val="0"/>
        <w:widowControl/>
        <w:suppressLineNumbers w:val="0"/>
        <w:spacing w:before="0" w:beforeAutospacing="0" w:after="0" w:afterAutospacing="0"/>
        <w:ind w:left="0" w:right="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2.</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面板数据回归分析</w:t>
      </w:r>
    </w:p>
    <w:p w14:paraId="21E94FC4">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由于数据同时包含事件维度（i）和企业维度（j），构成了面板数据。为解释不同事件、不同企业CAR的差异，构建如下双向固定效应模型：</w:t>
      </w:r>
    </w:p>
    <w:p w14:paraId="03C8FE99">
      <w:pPr>
        <w:pStyle w:val="5"/>
        <w:keepNext w:val="0"/>
        <w:keepLines w:val="0"/>
        <w:widowControl/>
        <w:suppressLineNumbers w:val="0"/>
        <w:spacing w:before="0" w:beforeAutospacing="0" w:after="0" w:afterAutospacing="0"/>
        <w:ind w:left="0" w:right="0"/>
        <w:rPr>
          <w:rStyle w:val="8"/>
          <w:rFonts w:hint="default" w:hAnsi="Cambria Math" w:cs="宋体"/>
          <w:bCs w:val="0"/>
          <w:i w:val="0"/>
          <w:iCs w:val="0"/>
          <w:caps w:val="0"/>
          <w:color w:val="auto"/>
          <w:spacing w:val="0"/>
          <w:kern w:val="2"/>
          <w:sz w:val="28"/>
          <w:szCs w:val="28"/>
          <w:shd w:val="clear" w:fill="FFFFFF"/>
          <w:lang w:val="en-US" w:eastAsia="zh-CN" w:bidi="ar-SA"/>
        </w:rPr>
      </w:pPr>
      <m:oMathPara>
        <m:oMath>
          <m:sSub>
            <m:sSubPr>
              <m:ctrlPr>
                <w:rPr>
                  <w:rStyle w:val="8"/>
                  <w:rFonts w:ascii="Cambria Math" w:hAnsi="Cambria Math" w:cs="宋体"/>
                  <w:bCs w:val="0"/>
                  <w:i/>
                  <w:iCs w:val="0"/>
                  <w:caps w:val="0"/>
                  <w:color w:val="auto"/>
                  <w:spacing w:val="0"/>
                  <w:kern w:val="2"/>
                  <w:sz w:val="28"/>
                  <w:szCs w:val="28"/>
                  <w:shd w:val="clear" w:fill="FFFFFF"/>
                  <w:lang w:val="en-US"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CAR</m:t>
              </m:r>
              <m:ctrlPr>
                <w:rPr>
                  <w:rStyle w:val="8"/>
                  <w:rFonts w:ascii="Cambria Math" w:hAnsi="Cambria Math" w:cs="宋体"/>
                  <w:bCs w:val="0"/>
                  <w:i/>
                  <w:iCs w:val="0"/>
                  <w:caps w:val="0"/>
                  <w:color w:val="auto"/>
                  <w:spacing w:val="0"/>
                  <w:kern w:val="2"/>
                  <w:sz w:val="28"/>
                  <w:szCs w:val="28"/>
                  <w:shd w:val="clear" w:fill="FFFFFF"/>
                  <w:lang w:val="en-US"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ij</m:t>
              </m:r>
              <m:ctrlPr>
                <w:rPr>
                  <w:rStyle w:val="8"/>
                  <w:rFonts w:ascii="Cambria Math" w:hAnsi="Cambria Math" w:cs="宋体"/>
                  <w:bCs w:val="0"/>
                  <w:i/>
                  <w:iCs w:val="0"/>
                  <w:caps w:val="0"/>
                  <w:color w:val="auto"/>
                  <w:spacing w:val="0"/>
                  <w:kern w:val="2"/>
                  <w:sz w:val="28"/>
                  <w:szCs w:val="28"/>
                  <w:shd w:val="clear" w:fill="FFFFFF"/>
                  <w:lang w:val="en-US"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β</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0</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ascii="Cambria Math" w:hAnsi="Cambria Math" w:cs="宋体"/>
                  <w:bCs w:val="0"/>
                  <w:i/>
                  <w:iCs w:val="0"/>
                  <w:caps w:val="0"/>
                  <w:color w:val="auto"/>
                  <w:spacing w:val="0"/>
                  <w:kern w:val="2"/>
                  <w:sz w:val="28"/>
                  <w:szCs w:val="28"/>
                  <w:shd w:val="clear" w:fill="FFFFFF"/>
                  <w:lang w:val="en-US" w:bidi="ar-SA"/>
                </w:rPr>
              </m:ctrlPr>
            </m:sSubPr>
            <m:e>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β</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1</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CARpre</m:t>
              </m:r>
              <m:ctrlPr>
                <w:rPr>
                  <w:rStyle w:val="8"/>
                  <w:rFonts w:ascii="Cambria Math" w:hAnsi="Cambria Math" w:cs="宋体"/>
                  <w:bCs w:val="0"/>
                  <w:i/>
                  <w:iCs w:val="0"/>
                  <w:caps w:val="0"/>
                  <w:color w:val="auto"/>
                  <w:spacing w:val="0"/>
                  <w:kern w:val="2"/>
                  <w:sz w:val="28"/>
                  <w:szCs w:val="28"/>
                  <w:shd w:val="clear" w:fill="FFFFFF"/>
                  <w:lang w:val="en-US"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ij</m:t>
              </m:r>
              <m:ctrlPr>
                <w:rPr>
                  <w:rStyle w:val="8"/>
                  <w:rFonts w:ascii="Cambria Math" w:hAnsi="Cambria Math" w:cs="宋体"/>
                  <w:bCs w:val="0"/>
                  <w:i/>
                  <w:iCs w:val="0"/>
                  <w:caps w:val="0"/>
                  <w:color w:val="auto"/>
                  <w:spacing w:val="0"/>
                  <w:kern w:val="2"/>
                  <w:sz w:val="28"/>
                  <w:szCs w:val="28"/>
                  <w:shd w:val="clear" w:fill="FFFFFF"/>
                  <w:lang w:val="en-US"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β</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2</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Sentiment_Mean</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ij</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β</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3</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Sentiment_Std</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ij</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r>
            <m:rPr>
              <m:sty m:val="bi"/>
            </m:rPr>
            <w:rPr>
              <w:rStyle w:val="8"/>
              <w:rFonts w:ascii="Cambria Math" w:hAnsi="Cambria Math" w:cs="宋体"/>
              <w:caps w:val="0"/>
              <w:color w:val="auto"/>
              <w:spacing w:val="0"/>
              <w:kern w:val="2"/>
              <w:sz w:val="28"/>
              <w:szCs w:val="28"/>
              <w:shd w:val="clear" w:fill="FFFFFF"/>
              <w:lang w:val="en-US" w:bidi="ar-SA"/>
            </w:rPr>
            <m:t>γ</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X</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r>
            <m:rPr>
              <m:sty m:val="bi"/>
            </m:rPr>
            <w:rPr>
              <w:rStyle w:val="8"/>
              <w:rFonts w:ascii="Cambria Math" w:hAnsi="Cambria Math" w:cs="宋体"/>
              <w:caps w:val="0"/>
              <w:color w:val="auto"/>
              <w:spacing w:val="0"/>
              <w:kern w:val="2"/>
              <w:sz w:val="28"/>
              <w:szCs w:val="28"/>
              <w:shd w:val="clear" w:fill="FFFFFF"/>
              <w:lang w:val="en-US" w:bidi="ar-SA"/>
            </w:rPr>
            <m:t>θ</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Y</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j</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r>
            <m:rPr>
              <m:sty m:val="bi"/>
            </m:rPr>
            <w:rPr>
              <w:rStyle w:val="8"/>
              <w:rFonts w:ascii="Cambria Math" w:hAnsi="Cambria Math" w:cs="宋体"/>
              <w:caps w:val="0"/>
              <w:color w:val="auto"/>
              <w:spacing w:val="0"/>
              <w:kern w:val="2"/>
              <w:sz w:val="28"/>
              <w:szCs w:val="28"/>
              <w:shd w:val="clear" w:fill="FFFFFF"/>
              <w:lang w:val="en-US" w:bidi="ar-SA"/>
            </w:rPr>
            <m:t>ϕ</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Relationship</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ij</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δ</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industry(j)</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γ</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quarter(i)</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r>
            <m:rPr/>
            <w:rPr>
              <w:rStyle w:val="8"/>
              <w:rFonts w:hint="default" w:ascii="Cambria Math" w:hAnsi="Cambria Math" w:cs="宋体"/>
              <w:caps w:val="0"/>
              <w:color w:val="auto"/>
              <w:spacing w:val="0"/>
              <w:kern w:val="2"/>
              <w:sz w:val="28"/>
              <w:szCs w:val="28"/>
              <w:shd w:val="clear" w:fill="FFFFFF"/>
              <w:lang w:val="en-US" w:eastAsia="zh-CN" w:bidi="ar-SA"/>
            </w:rPr>
            <m:t>+</m:t>
          </m:r>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ε</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ij</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oMath>
      </m:oMathPara>
    </w:p>
    <w:p w14:paraId="7289FC8D">
      <w:pPr>
        <w:pStyle w:val="5"/>
        <w:keepNext w:val="0"/>
        <w:keepLines w:val="0"/>
        <w:widowControl/>
        <w:numPr>
          <w:ilvl w:val="0"/>
          <w:numId w:val="1"/>
        </w:numPr>
        <w:suppressLineNumbers w:val="0"/>
        <w:spacing w:before="0" w:beforeAutospacing="0" w:after="0" w:afterAutospacing="0"/>
        <w:ind w:left="0" w:leftChars="0" w:right="0" w:rightChars="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被解释变量</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w:t>
      </w:r>
    </w:p>
    <w:p w14:paraId="32934115">
      <w:pPr>
        <w:pStyle w:val="5"/>
        <w:keepNext w:val="0"/>
        <w:keepLines w:val="0"/>
        <w:widowControl/>
        <w:numPr>
          <w:ilvl w:val="0"/>
          <w:numId w:val="0"/>
        </w:numPr>
        <w:suppressLineNumbers w:val="0"/>
        <w:spacing w:before="0" w:beforeAutospacing="0" w:after="0" w:afterAutospacing="0"/>
        <w:ind w:leftChars="200" w:right="0" w:rightChars="0" w:firstLine="281" w:firstLineChars="1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hAnsi="Cambria Math" w:cs="宋体"/>
          <w:bCs w:val="0"/>
          <w:i w:val="0"/>
          <w:iCs w:val="0"/>
          <w:caps w:val="0"/>
          <w:color w:val="auto"/>
          <w:spacing w:val="0"/>
          <w:kern w:val="2"/>
          <w:sz w:val="28"/>
          <w:szCs w:val="28"/>
          <w:shd w:val="clear" w:fill="FFFFFF"/>
          <w:lang w:val="en-US" w:eastAsia="zh-CN" w:bidi="ar-SA"/>
        </w:rPr>
        <w:t>·</w:t>
      </w:r>
      <m:oMath>
        <m:sSub>
          <m:sSubPr>
            <m:ctrlPr>
              <w:rPr>
                <w:rStyle w:val="8"/>
                <w:rFonts w:ascii="Cambria Math" w:hAnsi="Cambria Math" w:cs="宋体"/>
                <w:bCs w:val="0"/>
                <w:i/>
                <w:iCs w:val="0"/>
                <w:caps w:val="0"/>
                <w:color w:val="auto"/>
                <w:spacing w:val="0"/>
                <w:kern w:val="2"/>
                <w:sz w:val="28"/>
                <w:szCs w:val="28"/>
                <w:shd w:val="clear" w:fill="FFFFFF"/>
                <w:lang w:val="en-US"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CAR</m:t>
            </m:r>
            <m:ctrlPr>
              <w:rPr>
                <w:rStyle w:val="8"/>
                <w:rFonts w:ascii="Cambria Math" w:hAnsi="Cambria Math" w:cs="宋体"/>
                <w:bCs w:val="0"/>
                <w:i/>
                <w:iCs w:val="0"/>
                <w:caps w:val="0"/>
                <w:color w:val="auto"/>
                <w:spacing w:val="0"/>
                <w:kern w:val="2"/>
                <w:sz w:val="28"/>
                <w:szCs w:val="28"/>
                <w:shd w:val="clear" w:fill="FFFFFF"/>
                <w:lang w:val="en-US"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ij</m:t>
            </m:r>
            <m:ctrlPr>
              <w:rPr>
                <w:rStyle w:val="8"/>
                <w:rFonts w:ascii="Cambria Math" w:hAnsi="Cambria Math" w:cs="宋体"/>
                <w:bCs w:val="0"/>
                <w:i/>
                <w:iCs w:val="0"/>
                <w:caps w:val="0"/>
                <w:color w:val="auto"/>
                <w:spacing w:val="0"/>
                <w:kern w:val="2"/>
                <w:sz w:val="28"/>
                <w:szCs w:val="28"/>
                <w:shd w:val="clear" w:fill="FFFFFF"/>
                <w:lang w:val="en-US" w:bidi="ar-SA"/>
              </w:rPr>
            </m:ctrlPr>
          </m:sub>
        </m:sSub>
      </m:oMath>
      <w:r>
        <w:rPr>
          <w:rStyle w:val="8"/>
          <w:rFonts w:hint="eastAsia" w:hAnsi="Cambria Math" w:cs="宋体"/>
          <w:bCs w:val="0"/>
          <w:i w:val="0"/>
          <w:iCs w:val="0"/>
          <w:caps w:val="0"/>
          <w:color w:val="auto"/>
          <w:spacing w:val="0"/>
          <w:kern w:val="2"/>
          <w:sz w:val="28"/>
          <w:szCs w:val="28"/>
          <w:shd w:val="clear" w:fill="FFFFFF"/>
          <w:lang w:val="en-US" w:eastAsia="zh-CN" w:bidi="ar-SA"/>
        </w:rPr>
        <w:t xml:space="preserve">: </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事件i中公司j在[-1, +1]窗口的累计异常收益率。</w:t>
      </w:r>
    </w:p>
    <w:p w14:paraId="54EB202B">
      <w:pPr>
        <w:pStyle w:val="5"/>
        <w:keepNext w:val="0"/>
        <w:keepLines w:val="0"/>
        <w:widowControl/>
        <w:numPr>
          <w:ilvl w:val="0"/>
          <w:numId w:val="1"/>
        </w:numPr>
        <w:suppressLineNumbers w:val="0"/>
        <w:spacing w:before="0" w:beforeAutospacing="0" w:after="0" w:afterAutospacing="0"/>
        <w:ind w:left="0" w:leftChars="0" w:right="0" w:rightChars="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核心解释变量：</w:t>
      </w:r>
    </w:p>
    <w:p w14:paraId="061CB315">
      <w:pPr>
        <w:pStyle w:val="5"/>
        <w:keepNext w:val="0"/>
        <w:keepLines w:val="0"/>
        <w:widowControl/>
        <w:numPr>
          <w:ilvl w:val="0"/>
          <w:numId w:val="0"/>
        </w:numPr>
        <w:suppressLineNumbers w:val="0"/>
        <w:spacing w:before="0" w:beforeAutospacing="0" w:after="0" w:afterAutospacing="0"/>
        <w:ind w:left="0" w:leftChars="0" w:right="0" w:rightChars="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w:t>
      </w:r>
      <m:oMath>
        <m:sSub>
          <m:sSubPr>
            <m:ctrlPr>
              <w:rPr>
                <w:rStyle w:val="8"/>
                <w:rFonts w:ascii="Cambria Math" w:hAnsi="Cambria Math" w:cs="宋体"/>
                <w:bCs w:val="0"/>
                <w:i/>
                <w:iCs w:val="0"/>
                <w:caps w:val="0"/>
                <w:color w:val="auto"/>
                <w:spacing w:val="0"/>
                <w:kern w:val="2"/>
                <w:sz w:val="28"/>
                <w:szCs w:val="28"/>
                <w:shd w:val="clear" w:fill="FFFFFF"/>
                <w:lang w:val="en-US"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CARpre</m:t>
            </m:r>
            <m:ctrlPr>
              <w:rPr>
                <w:rStyle w:val="8"/>
                <w:rFonts w:ascii="Cambria Math" w:hAnsi="Cambria Math" w:cs="宋体"/>
                <w:bCs w:val="0"/>
                <w:i/>
                <w:iCs w:val="0"/>
                <w:caps w:val="0"/>
                <w:color w:val="auto"/>
                <w:spacing w:val="0"/>
                <w:kern w:val="2"/>
                <w:sz w:val="28"/>
                <w:szCs w:val="28"/>
                <w:shd w:val="clear" w:fill="FFFFFF"/>
                <w:lang w:val="en-US"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ij</m:t>
            </m:r>
            <m:ctrlPr>
              <w:rPr>
                <w:rStyle w:val="8"/>
                <w:rFonts w:ascii="Cambria Math" w:hAnsi="Cambria Math" w:cs="宋体"/>
                <w:bCs w:val="0"/>
                <w:i/>
                <w:iCs w:val="0"/>
                <w:caps w:val="0"/>
                <w:color w:val="auto"/>
                <w:spacing w:val="0"/>
                <w:kern w:val="2"/>
                <w:sz w:val="28"/>
                <w:szCs w:val="28"/>
                <w:shd w:val="clear" w:fill="FFFFFF"/>
                <w:lang w:val="en-US" w:bidi="ar-SA"/>
              </w:rPr>
            </m:ctrlPr>
          </m:sub>
        </m:sSub>
      </m:oMath>
      <w:r>
        <w:rPr>
          <w:rStyle w:val="8"/>
          <w:rFonts w:hint="eastAsia" w:hAnsi="Cambria Math" w:cs="宋体"/>
          <w:bCs w:val="0"/>
          <w:i w:val="0"/>
          <w:iCs w:val="0"/>
          <w:caps w:val="0"/>
          <w:color w:val="auto"/>
          <w:spacing w:val="0"/>
          <w:kern w:val="2"/>
          <w:sz w:val="28"/>
          <w:szCs w:val="28"/>
          <w:shd w:val="clear" w:fill="FFFFFF"/>
          <w:lang w:val="en-US" w:eastAsia="zh-CN" w:bidi="ar-SA"/>
        </w:rPr>
        <w:t>：</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事件前[-10, -2]窗口的累计异常收益率，用于控制事件前股价趋势。</w:t>
      </w:r>
    </w:p>
    <w:p w14:paraId="57665525">
      <w:pPr>
        <w:pStyle w:val="5"/>
        <w:keepNext w:val="0"/>
        <w:keepLines w:val="0"/>
        <w:widowControl/>
        <w:numPr>
          <w:ilvl w:val="0"/>
          <w:numId w:val="0"/>
        </w:numPr>
        <w:suppressLineNumbers w:val="0"/>
        <w:spacing w:before="0" w:beforeAutospacing="0" w:after="0" w:afterAutospacing="0"/>
        <w:ind w:left="0" w:leftChars="0" w:right="0" w:rightChars="0" w:firstLine="560" w:firstLineChars="200"/>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w:t>
      </w:r>
      <m:oMath>
        <m:sSub>
          <m:sSubP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SubPr>
          <m:e>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Sentiment_Mean</m:t>
            </m: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e>
          <m:sub>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ij</m:t>
            </m: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ub>
        </m:sSub>
      </m:oMath>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事件i窗口期内，针对公司j的所有新闻情感分数的平均值，衡量媒体对该公司在本次事件中的整体态度；</w:t>
      </w:r>
    </w:p>
    <w:p w14:paraId="74E6733A">
      <w:pPr>
        <w:pStyle w:val="5"/>
        <w:keepNext w:val="0"/>
        <w:keepLines w:val="0"/>
        <w:widowControl/>
        <w:numPr>
          <w:ilvl w:val="0"/>
          <w:numId w:val="0"/>
        </w:numPr>
        <w:suppressLineNumbers w:val="0"/>
        <w:spacing w:before="0" w:beforeAutospacing="0" w:after="0" w:afterAutospacing="0"/>
        <w:ind w:left="0" w:leftChars="0" w:right="0" w:rightChars="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w:t>
      </w:r>
      <m:oMath>
        <m:sSub>
          <m:sSubP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SubPr>
          <m:e>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Sentiment_Std</m:t>
            </m: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e>
          <m:sub>
            <m:r>
              <m:rPr>
                <m:sty m:val="b"/>
              </m:rPr>
              <w:rPr>
                <w:rStyle w:val="8"/>
                <w:rFonts w:hint="default" w:ascii="Cambria Math" w:hAnsi="Cambria Math" w:eastAsia="宋体" w:cs="宋体"/>
                <w:caps w:val="0"/>
                <w:color w:val="auto"/>
                <w:spacing w:val="0"/>
                <w:kern w:val="2"/>
                <w:sz w:val="28"/>
                <w:szCs w:val="28"/>
                <w:shd w:val="clear" w:fill="FFFFFF"/>
                <w:lang w:val="en-US" w:eastAsia="zh-CN" w:bidi="ar-SA"/>
              </w:rPr>
              <m:t>ij</m:t>
            </m:r>
            <m:ctrlPr>
              <w:rPr>
                <w:rStyle w:val="8"/>
                <w:rFonts w:hint="default" w:ascii="Cambria Math" w:hAnsi="Cambria Math" w:eastAsia="宋体" w:cs="宋体"/>
                <w:b/>
                <w:bCs/>
                <w:i w:val="0"/>
                <w:iCs w:val="0"/>
                <w:caps w:val="0"/>
                <w:color w:val="auto"/>
                <w:spacing w:val="0"/>
                <w:kern w:val="2"/>
                <w:sz w:val="28"/>
                <w:szCs w:val="28"/>
                <w:shd w:val="clear" w:fill="FFFFFF"/>
                <w:lang w:val="en-US" w:eastAsia="zh-CN" w:bidi="ar-SA"/>
              </w:rPr>
            </m:ctrlPr>
          </m:sub>
        </m:sSub>
      </m:oMath>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事件i窗口期内，针对公司j的所有新闻情感分数的标准差，衡量针对该公司的媒体意见分歧度。</w:t>
      </w:r>
    </w:p>
    <w:p w14:paraId="01DCF0EA">
      <w:pPr>
        <w:pStyle w:val="5"/>
        <w:keepNext w:val="0"/>
        <w:keepLines w:val="0"/>
        <w:widowControl/>
        <w:numPr>
          <w:ilvl w:val="0"/>
          <w:numId w:val="0"/>
        </w:numPr>
        <w:suppressLineNumbers w:val="0"/>
        <w:spacing w:before="0" w:beforeAutospacing="0" w:after="0" w:afterAutospacing="0"/>
        <w:ind w:left="0" w:leftChars="0" w:right="0" w:rightChars="0" w:firstLine="560" w:firstLineChars="200"/>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（3）控制变量：</w:t>
      </w:r>
    </w:p>
    <w:p w14:paraId="0CF468AD">
      <w:pPr>
        <w:pStyle w:val="5"/>
        <w:keepNext w:val="0"/>
        <w:keepLines w:val="0"/>
        <w:widowControl/>
        <w:suppressLineNumbers w:val="0"/>
        <w:spacing w:before="0" w:beforeAutospacing="0" w:after="0" w:afterAutospacing="0"/>
        <w:ind w:left="0" w:right="0" w:firstLine="562"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hAnsi="Cambria Math" w:cs="宋体"/>
          <w:bCs w:val="0"/>
          <w:i w:val="0"/>
          <w:iCs w:val="0"/>
          <w:caps w:val="0"/>
          <w:color w:val="auto"/>
          <w:spacing w:val="0"/>
          <w:kern w:val="2"/>
          <w:sz w:val="28"/>
          <w:szCs w:val="28"/>
          <w:shd w:val="clear" w:fill="FFFFFF"/>
          <w:lang w:val="en-US" w:eastAsia="zh-CN" w:bidi="ar-SA"/>
        </w:rPr>
        <w:t>·</w:t>
      </w:r>
      <m:oMath>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X</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oMath>
      <w:r>
        <w:rPr>
          <w:rStyle w:val="8"/>
          <w:rFonts w:hint="eastAsia" w:hAnsi="Cambria Math" w:cs="宋体"/>
          <w:bCs w:val="0"/>
          <w:i w:val="0"/>
          <w:iCs w:val="0"/>
          <w:caps w:val="0"/>
          <w:color w:val="auto"/>
          <w:spacing w:val="0"/>
          <w:kern w:val="2"/>
          <w:sz w:val="28"/>
          <w:szCs w:val="28"/>
          <w:shd w:val="clear" w:fill="FFFFFF"/>
          <w:lang w:val="en-US" w:eastAsia="zh-CN" w:bidi="ar-SA"/>
        </w:rPr>
        <w:t>：</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事件级特征向量。包括模型变体信息model_variants</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模型的模态model_modality、该事件包含的所有模态model_modalities、是否跨模态发布is_cross_modality_release、is_model_family、是否包含多模态模型is_multimodal、是否包含推理模型is_reasoning_model、是否包含代码模型is_coding_model、是否包含图像、视频等媒体生成模型is_media_generation_model、是否开源或开放权重is_open_weight_or_open_source、是否为中国发布者或中国模型体系is_chinese_model、候选事件重要性分层，Tier 1 最高candidate_tier、对美股 AI 相关公司的潜在相关性likely_us_market_relevance、潜在美股暴露类型，用于后续公司-事件关系映射potential_us_exposure_type、显而易见的潜在美股暴露 ticker possible_us_exposed_tickers、是否仍需构造公司needs_relationship_mapping、是否可进入 LLM 能力机制样本llm_capability_sample_flag、是否可进入 media 模型能力补充样本media_capability_sample_flag、代表模型在 Artificial Analysis 中的名称representative_aa_model_name、代表模型在 Artificial Analysis 中的发布者名称representative_aa_creator_name、模型来自 AA LLM 表还是 AA media 表representative_aa_source_table、模型选择规则说明representative_selection_rule、该事件中所有匹配到的 AA 模型 IDaa_model_ids、该事件中所有匹配到的 AA 模型名称aa_model_names、LLM 模型的 AA 指标aa_intelligence_index等</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w:t>
      </w:r>
    </w:p>
    <w:p w14:paraId="6C97BA9C">
      <w:pPr>
        <w:pStyle w:val="5"/>
        <w:keepNext w:val="0"/>
        <w:keepLines w:val="0"/>
        <w:widowControl/>
        <w:suppressLineNumbers w:val="0"/>
        <w:spacing w:before="0" w:beforeAutospacing="0" w:after="0" w:afterAutospacing="0"/>
        <w:ind w:left="0" w:right="0" w:firstLine="562"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hAnsi="Cambria Math" w:cs="宋体"/>
          <w:bCs w:val="0"/>
          <w:i w:val="0"/>
          <w:iCs w:val="0"/>
          <w:caps w:val="0"/>
          <w:color w:val="auto"/>
          <w:spacing w:val="0"/>
          <w:kern w:val="2"/>
          <w:sz w:val="28"/>
          <w:szCs w:val="28"/>
          <w:shd w:val="clear" w:fill="FFFFFF"/>
          <w:lang w:val="en-US" w:eastAsia="zh-CN" w:bidi="ar-SA"/>
        </w:rPr>
        <w:t>·</w:t>
      </w:r>
      <m:oMath>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Y</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j</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oMath>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：企业级特征向量。包括：企业规模（Size）、账面市值比（B/M）、事件前 volatility、事件前12个月动量（Momentum）。</w:t>
      </w:r>
    </w:p>
    <w:p w14:paraId="464639C2">
      <w:pPr>
        <w:pStyle w:val="5"/>
        <w:keepNext w:val="0"/>
        <w:keepLines w:val="0"/>
        <w:widowControl/>
        <w:suppressLineNumbers w:val="0"/>
        <w:spacing w:before="0" w:beforeAutospacing="0" w:after="0" w:afterAutospacing="0"/>
        <w:ind w:left="0" w:right="0" w:firstLine="562"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hAnsi="Cambria Math" w:cs="宋体"/>
          <w:bCs w:val="0"/>
          <w:i w:val="0"/>
          <w:iCs w:val="0"/>
          <w:caps w:val="0"/>
          <w:color w:val="auto"/>
          <w:spacing w:val="0"/>
          <w:kern w:val="2"/>
          <w:sz w:val="28"/>
          <w:szCs w:val="28"/>
          <w:shd w:val="clear" w:fill="FFFFFF"/>
          <w:lang w:val="en-US" w:eastAsia="zh-CN" w:bidi="ar-SA"/>
        </w:rPr>
        <w:t>·</w:t>
      </w:r>
      <m:oMath>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w:rPr>
                <w:rStyle w:val="8"/>
                <w:rFonts w:hint="default" w:ascii="Cambria Math" w:hAnsi="Cambria Math" w:cs="宋体"/>
                <w:caps w:val="0"/>
                <w:color w:val="auto"/>
                <w:spacing w:val="0"/>
                <w:kern w:val="2"/>
                <w:sz w:val="28"/>
                <w:szCs w:val="28"/>
                <w:shd w:val="clear" w:fill="FFFFFF"/>
                <w:lang w:val="en-US" w:eastAsia="zh-CN" w:bidi="ar-SA"/>
              </w:rPr>
              <m:t xml:space="preserve"> Relationship</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ij</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oMath>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：关系虚拟变量，表示该公司在该事件中是本研究根据目标公司在AI大模型产业链中的位置，定义其与特定发布模型的关系。具体分为</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七</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类：</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发布者本身；竞争对手，上游，准上游，下游，准下游，云服务商。</w:t>
      </w:r>
    </w:p>
    <w:p w14:paraId="33CD6644">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（4）</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固定效应</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与标准误</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w:t>
      </w:r>
    </w:p>
    <w:p w14:paraId="1B167DA5">
      <w:pPr>
        <w:pStyle w:val="5"/>
        <w:keepNext w:val="0"/>
        <w:keepLines w:val="0"/>
        <w:widowControl/>
        <w:suppressLineNumbers w:val="0"/>
        <w:spacing w:before="0" w:beforeAutospacing="0" w:after="0" w:afterAutospacing="0"/>
        <w:ind w:left="0" w:right="0" w:firstLine="562"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hAnsi="Cambria Math" w:cs="宋体"/>
          <w:bCs w:val="0"/>
          <w:i w:val="0"/>
          <w:iCs w:val="0"/>
          <w:caps w:val="0"/>
          <w:color w:val="auto"/>
          <w:spacing w:val="0"/>
          <w:kern w:val="2"/>
          <w:sz w:val="28"/>
          <w:szCs w:val="28"/>
          <w:shd w:val="clear" w:fill="FFFFFF"/>
          <w:lang w:val="en-US" w:eastAsia="zh-CN" w:bidi="ar-SA"/>
        </w:rPr>
        <w:t>·</w:t>
      </w:r>
      <m:oMath>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δ</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industry(j)</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oMath>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：行业固定效应。控制所有不随时间变化、但随行业变化的不可观测因素（如AI算力、芯片设计、电力设备等行业的固有差异）。</w:t>
      </w:r>
    </w:p>
    <w:p w14:paraId="2A098834">
      <w:pPr>
        <w:pStyle w:val="5"/>
        <w:keepNext w:val="0"/>
        <w:keepLines w:val="0"/>
        <w:widowControl/>
        <w:suppressLineNumbers w:val="0"/>
        <w:spacing w:before="0" w:beforeAutospacing="0" w:after="0" w:afterAutospacing="0"/>
        <w:ind w:left="0" w:right="0" w:firstLine="562"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hAnsi="Cambria Math" w:cs="宋体"/>
          <w:bCs w:val="0"/>
          <w:i w:val="0"/>
          <w:iCs w:val="0"/>
          <w:caps w:val="0"/>
          <w:color w:val="auto"/>
          <w:spacing w:val="0"/>
          <w:kern w:val="2"/>
          <w:sz w:val="28"/>
          <w:szCs w:val="28"/>
          <w:shd w:val="clear" w:fill="FFFFFF"/>
          <w:lang w:val="en-US" w:eastAsia="zh-CN" w:bidi="ar-SA"/>
        </w:rPr>
        <w:t>·</w:t>
      </w:r>
      <m:oMath>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γ</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quarter(i)</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oMath>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：季度固定效应。控制所有随宏观时间变化、但不随个体变化的冲击（如宏观政策变化、市场整体情绪周期等）。</w:t>
      </w:r>
    </w:p>
    <w:p w14:paraId="3B11B5C5">
      <w:pPr>
        <w:pStyle w:val="5"/>
        <w:keepNext w:val="0"/>
        <w:keepLines w:val="0"/>
        <w:widowControl/>
        <w:suppressLineNumbers w:val="0"/>
        <w:spacing w:before="0" w:beforeAutospacing="0" w:after="0" w:afterAutospacing="0"/>
        <w:ind w:left="0" w:right="0" w:firstLine="562"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hAnsi="Cambria Math" w:cs="宋体"/>
          <w:bCs w:val="0"/>
          <w:i w:val="0"/>
          <w:iCs w:val="0"/>
          <w:caps w:val="0"/>
          <w:color w:val="auto"/>
          <w:spacing w:val="0"/>
          <w:kern w:val="2"/>
          <w:sz w:val="28"/>
          <w:szCs w:val="28"/>
          <w:shd w:val="clear" w:fill="FFFFFF"/>
          <w:lang w:val="en-US" w:eastAsia="zh-CN" w:bidi="ar-SA"/>
        </w:rPr>
        <w:t>·</w:t>
      </w:r>
      <m:oMath>
        <m:sSub>
          <m:sSubP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SubPr>
          <m:e>
            <m:r>
              <m:rPr>
                <m:sty m:val="bi"/>
              </m:rPr>
              <w:rPr>
                <w:rStyle w:val="8"/>
                <w:rFonts w:ascii="Cambria Math" w:hAnsi="Cambria Math" w:cs="宋体"/>
                <w:caps w:val="0"/>
                <w:color w:val="auto"/>
                <w:spacing w:val="0"/>
                <w:kern w:val="2"/>
                <w:sz w:val="28"/>
                <w:szCs w:val="28"/>
                <w:shd w:val="clear" w:fill="FFFFFF"/>
                <w:lang w:val="en-US" w:bidi="ar-SA"/>
              </w:rPr>
              <m:t>ε</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e>
          <m:sub>
            <m:r>
              <m:rPr/>
              <w:rPr>
                <w:rStyle w:val="8"/>
                <w:rFonts w:hint="default" w:ascii="Cambria Math" w:hAnsi="Cambria Math" w:cs="宋体"/>
                <w:caps w:val="0"/>
                <w:color w:val="auto"/>
                <w:spacing w:val="0"/>
                <w:kern w:val="2"/>
                <w:sz w:val="28"/>
                <w:szCs w:val="28"/>
                <w:shd w:val="clear" w:fill="FFFFFF"/>
                <w:lang w:val="en-US" w:eastAsia="zh-CN" w:bidi="ar-SA"/>
              </w:rPr>
              <m:t>ij</m:t>
            </m:r>
            <m:ctrlPr>
              <w:rPr>
                <w:rStyle w:val="8"/>
                <w:rFonts w:hint="default" w:ascii="Cambria Math" w:hAnsi="Cambria Math" w:cs="宋体"/>
                <w:bCs w:val="0"/>
                <w:i/>
                <w:iCs w:val="0"/>
                <w:caps w:val="0"/>
                <w:color w:val="auto"/>
                <w:spacing w:val="0"/>
                <w:kern w:val="2"/>
                <w:sz w:val="28"/>
                <w:szCs w:val="28"/>
                <w:shd w:val="clear" w:fill="FFFFFF"/>
                <w:lang w:val="en-US" w:eastAsia="zh-CN" w:bidi="ar-SA"/>
              </w:rPr>
            </m:ctrlPr>
          </m:sub>
        </m:sSub>
      </m:oMath>
      <w:r>
        <w:rPr>
          <w:rStyle w:val="8"/>
          <w:rFonts w:hint="eastAsia" w:hAnsi="Cambria Math" w:cs="宋体"/>
          <w:bCs w:val="0"/>
          <w:i w:val="0"/>
          <w:iCs w:val="0"/>
          <w:caps w:val="0"/>
          <w:color w:val="auto"/>
          <w:spacing w:val="0"/>
          <w:kern w:val="2"/>
          <w:sz w:val="28"/>
          <w:szCs w:val="28"/>
          <w:shd w:val="clear" w:fill="FFFFFF"/>
          <w:lang w:val="en-US" w:eastAsia="zh-CN" w:bidi="ar-SA"/>
        </w:rPr>
        <w:t>：</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模型随机扰动项；</w:t>
      </w:r>
    </w:p>
    <w:p w14:paraId="63321B95">
      <w:pPr>
        <w:pStyle w:val="4"/>
        <w:keepNext w:val="0"/>
        <w:keepLines w:val="0"/>
        <w:widowControl/>
        <w:numPr>
          <w:ilvl w:val="0"/>
          <w:numId w:val="2"/>
        </w:numPr>
        <w:suppressLineNumbers w:val="0"/>
        <w:shd w:val="clear" w:fill="FFFFFF"/>
        <w:spacing w:before="192" w:beforeAutospacing="0" w:after="192" w:afterAutospacing="0" w:line="336" w:lineRule="atLeast"/>
        <w:ind w:left="0" w:right="0" w:firstLine="0"/>
        <w:rPr>
          <w:rStyle w:val="8"/>
          <w:rFonts w:hint="default" w:ascii="宋体" w:hAnsi="宋体" w:eastAsia="宋体" w:cs="宋体"/>
          <w:b/>
          <w:bCs/>
          <w:i w:val="0"/>
          <w:iCs w:val="0"/>
          <w:caps w:val="0"/>
          <w:color w:val="auto"/>
          <w:spacing w:val="0"/>
          <w:kern w:val="2"/>
          <w:sz w:val="28"/>
          <w:szCs w:val="28"/>
          <w:shd w:val="clear" w:fill="FFFFFF"/>
          <w:lang w:val="en-US" w:eastAsia="zh-CN" w:bidi="ar-SA"/>
        </w:rPr>
      </w:pPr>
      <w:r>
        <w:rPr>
          <w:rStyle w:val="8"/>
          <w:rFonts w:hint="default" w:ascii="宋体" w:hAnsi="宋体" w:eastAsia="宋体" w:cs="宋体"/>
          <w:b/>
          <w:bCs/>
          <w:i w:val="0"/>
          <w:iCs w:val="0"/>
          <w:caps w:val="0"/>
          <w:color w:val="auto"/>
          <w:spacing w:val="0"/>
          <w:kern w:val="2"/>
          <w:sz w:val="28"/>
          <w:szCs w:val="28"/>
          <w:shd w:val="clear" w:fill="FFFFFF"/>
          <w:lang w:val="en-US" w:eastAsia="zh-CN" w:bidi="ar-SA"/>
        </w:rPr>
        <w:t>实证结果与分析</w:t>
      </w:r>
    </w:p>
    <w:p w14:paraId="54B3EB5F">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（一）描</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 xml:space="preserve">述性统计与相关性分析：包含所有变量的均值、标准差、分位数，以及多重共线性 VIF 检验； </w:t>
      </w:r>
    </w:p>
    <w:p w14:paraId="628CFBCA">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（二）</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 xml:space="preserve">事件研究法基准结果：全样本 CAR 的显著性检验、分产业链角色的 CAR 对比与可视化； </w:t>
      </w:r>
    </w:p>
    <w:p w14:paraId="2C522429">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（三）</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 xml:space="preserve">基准面板回归结果：采用逐步回归法，展示控制变量、核心解释变量、交互项的系数变化，解读经济含义与统计显著性； </w:t>
      </w:r>
    </w:p>
    <w:p w14:paraId="49E24D99">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（四）</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异质性分析：基于事件特征、企业特征、产业链环节的分组回归结果； 按维度分组： 事件特征：按是否开源、是否刷新 SOTA、是否多模态分组，检验事件特征的异质性影响；产业链角色：</w:t>
      </w: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发布者本身；竞争对手，上游，准上游，下游，准下游，云服务商</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分组；</w:t>
      </w:r>
    </w:p>
    <w:p w14:paraId="7C9258EF">
      <w:pPr>
        <w:pStyle w:val="5"/>
        <w:keepNext w:val="0"/>
        <w:keepLines w:val="0"/>
        <w:widowControl/>
        <w:suppressLineNumbers w:val="0"/>
        <w:spacing w:before="0" w:beforeAutospacing="0" w:after="0" w:afterAutospacing="0"/>
        <w:ind w:left="0" w:right="0" w:firstLine="560" w:firstLineChars="200"/>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pPr>
      <w:r>
        <w:rPr>
          <w:rStyle w:val="8"/>
          <w:rFonts w:hint="eastAsia" w:ascii="宋体" w:hAnsi="宋体" w:eastAsia="宋体" w:cs="宋体"/>
          <w:b w:val="0"/>
          <w:bCs w:val="0"/>
          <w:i w:val="0"/>
          <w:iCs w:val="0"/>
          <w:caps w:val="0"/>
          <w:color w:val="auto"/>
          <w:spacing w:val="0"/>
          <w:kern w:val="2"/>
          <w:sz w:val="28"/>
          <w:szCs w:val="28"/>
          <w:shd w:val="clear" w:fill="FFFFFF"/>
          <w:lang w:val="en-US" w:eastAsia="zh-CN" w:bidi="ar-SA"/>
        </w:rPr>
        <w:t>（五）</w:t>
      </w:r>
      <w:r>
        <w:rPr>
          <w:rStyle w:val="8"/>
          <w:rFonts w:hint="default" w:ascii="宋体" w:hAnsi="宋体" w:eastAsia="宋体" w:cs="宋体"/>
          <w:b w:val="0"/>
          <w:bCs w:val="0"/>
          <w:i w:val="0"/>
          <w:iCs w:val="0"/>
          <w:caps w:val="0"/>
          <w:color w:val="auto"/>
          <w:spacing w:val="0"/>
          <w:kern w:val="2"/>
          <w:sz w:val="28"/>
          <w:szCs w:val="28"/>
          <w:shd w:val="clear" w:fill="FFFFFF"/>
          <w:lang w:val="en-US" w:eastAsia="zh-CN" w:bidi="ar-SA"/>
        </w:rPr>
        <w:t>稳健性检验：包含更换事件窗口、更换收益率估计模型、更换核心解释变量、剔除极端样本、PSM 检验等结果。</w:t>
      </w:r>
    </w:p>
    <w:p w14:paraId="4BDEF00B">
      <w:pPr>
        <w:spacing w:line="240" w:lineRule="auto"/>
        <w:jc w:val="left"/>
        <w:rPr>
          <w:rStyle w:val="8"/>
          <w:rFonts w:hint="eastAsia" w:ascii="宋体" w:hAnsi="宋体" w:eastAsia="宋体" w:cs="宋体"/>
          <w:b/>
          <w:bCs/>
          <w:i w:val="0"/>
          <w:iCs w:val="0"/>
          <w:caps w:val="0"/>
          <w:color w:val="auto"/>
          <w:spacing w:val="0"/>
          <w:sz w:val="28"/>
          <w:szCs w:val="28"/>
          <w:shd w:val="clear" w:fill="FFFFFF"/>
        </w:rPr>
      </w:pPr>
      <w:r>
        <w:rPr>
          <w:rStyle w:val="8"/>
          <w:rFonts w:hint="eastAsia" w:ascii="宋体" w:hAnsi="宋体" w:eastAsia="宋体" w:cs="宋体"/>
          <w:b/>
          <w:bCs/>
          <w:i w:val="0"/>
          <w:iCs w:val="0"/>
          <w:caps w:val="0"/>
          <w:color w:val="auto"/>
          <w:spacing w:val="0"/>
          <w:sz w:val="28"/>
          <w:szCs w:val="28"/>
          <w:shd w:val="clear" w:fill="FFFFFF"/>
          <w:lang w:val="en-US" w:eastAsia="zh-CN"/>
        </w:rPr>
        <w:t>六</w:t>
      </w:r>
      <w:r>
        <w:rPr>
          <w:rStyle w:val="8"/>
          <w:rFonts w:hint="eastAsia" w:ascii="宋体" w:hAnsi="宋体" w:eastAsia="宋体" w:cs="宋体"/>
          <w:b/>
          <w:bCs/>
          <w:i w:val="0"/>
          <w:iCs w:val="0"/>
          <w:caps w:val="0"/>
          <w:color w:val="auto"/>
          <w:spacing w:val="0"/>
          <w:sz w:val="28"/>
          <w:szCs w:val="28"/>
          <w:shd w:val="clear" w:fill="FFFFFF"/>
        </w:rPr>
        <w:t>、关键步骤与时间规划</w:t>
      </w:r>
    </w:p>
    <w:p w14:paraId="684FB7DC">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1. 阶段一（1-2月）：理论与数据准备</w:t>
      </w:r>
    </w:p>
    <w:p w14:paraId="13AE5948">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完成LLM发布事件清单的最终构建。</w:t>
      </w:r>
    </w:p>
    <w:p w14:paraId="50ED9FCA">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学习并测试情感分析工具。</w:t>
      </w:r>
    </w:p>
    <w:p w14:paraId="664293DD">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收集所有样本公司股价数据。</w:t>
      </w:r>
    </w:p>
    <w:p w14:paraId="15D90177">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爬取或调用API获取对应事件窗口的新闻报道。</w:t>
      </w:r>
    </w:p>
    <w:p w14:paraId="22A6D614">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运行情感分析模型，生成情感指标数据集。</w:t>
      </w:r>
    </w:p>
    <w:p w14:paraId="3093DEC2">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2.阶段二（3-4月）：数据收集与处理</w:t>
      </w:r>
    </w:p>
    <w:p w14:paraId="7D008531">
      <w:pPr>
        <w:spacing w:line="240" w:lineRule="auto"/>
        <w:ind w:firstLine="560" w:firstLineChars="200"/>
        <w:jc w:val="left"/>
        <w:rPr>
          <w:color w:val="auto"/>
        </w:rPr>
      </w:pPr>
      <w:r>
        <w:rPr>
          <w:rStyle w:val="8"/>
          <w:rFonts w:hint="eastAsia" w:ascii="宋体" w:hAnsi="宋体" w:eastAsia="宋体" w:cs="宋体"/>
          <w:b w:val="0"/>
          <w:bCs w:val="0"/>
          <w:i w:val="0"/>
          <w:iCs w:val="0"/>
          <w:caps w:val="0"/>
          <w:color w:val="auto"/>
          <w:spacing w:val="0"/>
          <w:sz w:val="28"/>
          <w:szCs w:val="28"/>
          <w:shd w:val="clear" w:fill="FFFFFF"/>
        </w:rPr>
        <w:t>使用 Python 执行事件研究</w:t>
      </w:r>
      <w:r>
        <w:rPr>
          <w:rStyle w:val="8"/>
          <w:rFonts w:hint="eastAsia" w:ascii="宋体" w:hAnsi="宋体" w:eastAsia="宋体" w:cs="宋体"/>
          <w:b w:val="0"/>
          <w:bCs w:val="0"/>
          <w:i w:val="0"/>
          <w:iCs w:val="0"/>
          <w:caps w:val="0"/>
          <w:color w:val="auto"/>
          <w:spacing w:val="0"/>
          <w:sz w:val="28"/>
          <w:szCs w:val="28"/>
          <w:shd w:val="clear" w:fill="FFFFFF"/>
          <w:lang w:val="en-US" w:eastAsia="zh-CN"/>
        </w:rPr>
        <w:t>计算CAR</w:t>
      </w:r>
      <w:r>
        <w:rPr>
          <w:rStyle w:val="8"/>
          <w:rFonts w:hint="eastAsia" w:ascii="宋体" w:hAnsi="宋体" w:eastAsia="宋体" w:cs="宋体"/>
          <w:b w:val="0"/>
          <w:bCs w:val="0"/>
          <w:i w:val="0"/>
          <w:iCs w:val="0"/>
          <w:caps w:val="0"/>
          <w:color w:val="auto"/>
          <w:spacing w:val="0"/>
          <w:sz w:val="28"/>
          <w:szCs w:val="28"/>
          <w:shd w:val="clear" w:fill="FFFFFF"/>
        </w:rPr>
        <w:t>。</w:t>
      </w:r>
    </w:p>
    <w:p w14:paraId="042E5F64">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运行双向固定效应面板回归，检验事件特征、企业特征对CAR的影响。</w:t>
      </w:r>
    </w:p>
    <w:p w14:paraId="0C3D25F8">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进行一系列稳健性检验（改变事件窗口、更换市场模型、使用不同情感分析工具、剔除特定样本）。</w:t>
      </w:r>
    </w:p>
    <w:p w14:paraId="4D63861F">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lang w:val="en-US" w:eastAsia="zh-CN"/>
        </w:rPr>
        <w:t>3</w:t>
      </w:r>
      <w:r>
        <w:rPr>
          <w:rStyle w:val="8"/>
          <w:rFonts w:hint="eastAsia" w:ascii="宋体" w:hAnsi="宋体" w:eastAsia="宋体" w:cs="宋体"/>
          <w:b w:val="0"/>
          <w:bCs w:val="0"/>
          <w:i w:val="0"/>
          <w:iCs w:val="0"/>
          <w:caps w:val="0"/>
          <w:color w:val="auto"/>
          <w:spacing w:val="0"/>
          <w:sz w:val="28"/>
          <w:szCs w:val="28"/>
          <w:shd w:val="clear" w:fill="FFFFFF"/>
        </w:rPr>
        <w:t>. 阶段</w:t>
      </w:r>
      <w:r>
        <w:rPr>
          <w:rStyle w:val="8"/>
          <w:rFonts w:hint="eastAsia" w:ascii="宋体" w:hAnsi="宋体" w:eastAsia="宋体" w:cs="宋体"/>
          <w:b w:val="0"/>
          <w:bCs w:val="0"/>
          <w:i w:val="0"/>
          <w:iCs w:val="0"/>
          <w:caps w:val="0"/>
          <w:color w:val="auto"/>
          <w:spacing w:val="0"/>
          <w:sz w:val="28"/>
          <w:szCs w:val="28"/>
          <w:shd w:val="clear" w:fill="FFFFFF"/>
          <w:lang w:val="en-US" w:eastAsia="zh-CN"/>
        </w:rPr>
        <w:t>三</w:t>
      </w:r>
      <w:r>
        <w:rPr>
          <w:rStyle w:val="8"/>
          <w:rFonts w:hint="eastAsia" w:ascii="宋体" w:hAnsi="宋体" w:eastAsia="宋体" w:cs="宋体"/>
          <w:b w:val="0"/>
          <w:bCs w:val="0"/>
          <w:i w:val="0"/>
          <w:iCs w:val="0"/>
          <w:caps w:val="0"/>
          <w:color w:val="auto"/>
          <w:spacing w:val="0"/>
          <w:sz w:val="28"/>
          <w:szCs w:val="28"/>
          <w:shd w:val="clear" w:fill="FFFFFF"/>
        </w:rPr>
        <w:t>（</w:t>
      </w:r>
      <w:r>
        <w:rPr>
          <w:rStyle w:val="8"/>
          <w:rFonts w:hint="eastAsia" w:ascii="宋体" w:hAnsi="宋体" w:eastAsia="宋体" w:cs="宋体"/>
          <w:b w:val="0"/>
          <w:bCs w:val="0"/>
          <w:i w:val="0"/>
          <w:iCs w:val="0"/>
          <w:caps w:val="0"/>
          <w:color w:val="auto"/>
          <w:spacing w:val="0"/>
          <w:sz w:val="28"/>
          <w:szCs w:val="28"/>
          <w:shd w:val="clear" w:fill="FFFFFF"/>
          <w:lang w:val="en-US" w:eastAsia="zh-CN"/>
        </w:rPr>
        <w:t>5</w:t>
      </w:r>
      <w:r>
        <w:rPr>
          <w:rStyle w:val="8"/>
          <w:rFonts w:hint="eastAsia" w:ascii="宋体" w:hAnsi="宋体" w:eastAsia="宋体" w:cs="宋体"/>
          <w:b w:val="0"/>
          <w:bCs w:val="0"/>
          <w:i w:val="0"/>
          <w:iCs w:val="0"/>
          <w:caps w:val="0"/>
          <w:color w:val="auto"/>
          <w:spacing w:val="0"/>
          <w:sz w:val="28"/>
          <w:szCs w:val="28"/>
          <w:shd w:val="clear" w:fill="FFFFFF"/>
        </w:rPr>
        <w:t>-</w:t>
      </w:r>
      <w:r>
        <w:rPr>
          <w:rStyle w:val="8"/>
          <w:rFonts w:hint="eastAsia" w:ascii="宋体" w:hAnsi="宋体" w:eastAsia="宋体" w:cs="宋体"/>
          <w:b w:val="0"/>
          <w:bCs w:val="0"/>
          <w:i w:val="0"/>
          <w:iCs w:val="0"/>
          <w:caps w:val="0"/>
          <w:color w:val="auto"/>
          <w:spacing w:val="0"/>
          <w:sz w:val="28"/>
          <w:szCs w:val="28"/>
          <w:shd w:val="clear" w:fill="FFFFFF"/>
          <w:lang w:val="en-US" w:eastAsia="zh-CN"/>
        </w:rPr>
        <w:t>6</w:t>
      </w:r>
      <w:r>
        <w:rPr>
          <w:rStyle w:val="8"/>
          <w:rFonts w:hint="eastAsia" w:ascii="宋体" w:hAnsi="宋体" w:eastAsia="宋体" w:cs="宋体"/>
          <w:b w:val="0"/>
          <w:bCs w:val="0"/>
          <w:i w:val="0"/>
          <w:iCs w:val="0"/>
          <w:caps w:val="0"/>
          <w:color w:val="auto"/>
          <w:spacing w:val="0"/>
          <w:sz w:val="28"/>
          <w:szCs w:val="28"/>
          <w:shd w:val="clear" w:fill="FFFFFF"/>
        </w:rPr>
        <w:t>月）：论文撰写与修改</w:t>
      </w:r>
    </w:p>
    <w:p w14:paraId="64D850FE">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整合结果，撰写完整论文。</w:t>
      </w:r>
    </w:p>
    <w:p w14:paraId="2472A5FD">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解释研究发现，讨论学术与实践含义，指出局限与未来方向。</w:t>
      </w:r>
    </w:p>
    <w:p w14:paraId="48EC6B07">
      <w:pPr>
        <w:spacing w:line="240" w:lineRule="auto"/>
        <w:jc w:val="left"/>
        <w:rPr>
          <w:color w:val="auto"/>
        </w:rPr>
      </w:pPr>
      <w:r>
        <w:rPr>
          <w:rStyle w:val="8"/>
          <w:rFonts w:hint="eastAsia" w:ascii="宋体" w:hAnsi="宋体" w:eastAsia="宋体" w:cs="宋体"/>
          <w:b/>
          <w:bCs/>
          <w:i w:val="0"/>
          <w:iCs w:val="0"/>
          <w:caps w:val="0"/>
          <w:color w:val="auto"/>
          <w:spacing w:val="0"/>
          <w:sz w:val="28"/>
          <w:szCs w:val="28"/>
          <w:shd w:val="clear" w:fill="FFFFFF"/>
          <w:lang w:val="en-US" w:eastAsia="zh-CN"/>
        </w:rPr>
        <w:t>七</w:t>
      </w:r>
      <w:r>
        <w:rPr>
          <w:rStyle w:val="8"/>
          <w:rFonts w:hint="eastAsia" w:ascii="宋体" w:hAnsi="宋体" w:eastAsia="宋体" w:cs="宋体"/>
          <w:b/>
          <w:bCs/>
          <w:i w:val="0"/>
          <w:iCs w:val="0"/>
          <w:caps w:val="0"/>
          <w:color w:val="auto"/>
          <w:spacing w:val="0"/>
          <w:sz w:val="28"/>
          <w:szCs w:val="28"/>
          <w:shd w:val="clear" w:fill="FFFFFF"/>
        </w:rPr>
        <w:t>、 预期的学术贡献与创新点</w:t>
      </w:r>
    </w:p>
    <w:p w14:paraId="4420728D">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lang w:val="en-US" w:eastAsia="zh-CN"/>
        </w:rPr>
        <w:t>本研究基于 2024-2026 年覆盖全球主要 LLM 发布主体的全维度事件级数据，系统探究 LLM 发布事件对资本市场的影响机制，核心学术贡献与创新点如下：</w:t>
      </w:r>
    </w:p>
    <w:p w14:paraId="73F9AB12">
      <w:pPr>
        <w:spacing w:line="240" w:lineRule="auto"/>
        <w:ind w:firstLine="560" w:firstLineChars="200"/>
        <w:jc w:val="left"/>
        <w:rPr>
          <w:rStyle w:val="8"/>
          <w:rFonts w:hint="default" w:ascii="宋体" w:hAnsi="宋体" w:eastAsia="宋体" w:cs="宋体"/>
          <w:b w:val="0"/>
          <w:bCs w:val="0"/>
          <w:i w:val="0"/>
          <w:iCs w:val="0"/>
          <w:caps w:val="0"/>
          <w:color w:val="auto"/>
          <w:spacing w:val="0"/>
          <w:sz w:val="28"/>
          <w:szCs w:val="28"/>
          <w:shd w:val="clear" w:fill="FFFFFF"/>
          <w:lang w:val="en-US" w:eastAsia="zh-CN"/>
        </w:rPr>
      </w:pPr>
      <w:r>
        <w:rPr>
          <w:rStyle w:val="8"/>
          <w:rFonts w:hint="default" w:ascii="宋体" w:hAnsi="宋体" w:eastAsia="宋体" w:cs="宋体"/>
          <w:b w:val="0"/>
          <w:bCs w:val="0"/>
          <w:i w:val="0"/>
          <w:iCs w:val="0"/>
          <w:caps w:val="0"/>
          <w:color w:val="auto"/>
          <w:spacing w:val="0"/>
          <w:sz w:val="28"/>
          <w:szCs w:val="28"/>
          <w:shd w:val="clear" w:fill="FFFFFF"/>
          <w:lang w:val="en-US" w:eastAsia="zh-CN"/>
        </w:rPr>
        <w:t>第一，本文把 AI 模型发布事件与美股上市公司暴露关系分开编码，避免把模型发布者误当作股票标的。事件层记录真实模型发布者、模型名称、发布日期、模态、开源状态和能力指标；公司层记录美股公司与事件之间的经济关系，例如战略伙伴、云服务方、算力供应商、直接竞争者或弱关联实体。该设计更符合当代 AI 产业组织结构，也能处理 OpenAI、Anthropic、xAI、DeepSeek 等非美股上市发布者对美股公司的溢出影响。</w:t>
      </w:r>
    </w:p>
    <w:p w14:paraId="7A5C4003">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lang w:val="en-US" w:eastAsia="zh-CN"/>
        </w:rPr>
      </w:pPr>
      <w:r>
        <w:rPr>
          <w:rStyle w:val="8"/>
          <w:rFonts w:hint="default" w:ascii="宋体" w:hAnsi="宋体" w:eastAsia="宋体" w:cs="宋体"/>
          <w:b w:val="0"/>
          <w:bCs w:val="0"/>
          <w:i w:val="0"/>
          <w:iCs w:val="0"/>
          <w:caps w:val="0"/>
          <w:color w:val="auto"/>
          <w:spacing w:val="0"/>
          <w:sz w:val="28"/>
          <w:szCs w:val="28"/>
          <w:shd w:val="clear" w:fill="FFFFFF"/>
          <w:lang w:val="en-US" w:eastAsia="zh-CN"/>
        </w:rPr>
        <w:t>第二，本文引入 Artificial Analysis 官方 API 数据构建模型能力数据库https://artificialanalysis.ai/。当前项目已形成本地 master database，包括 `aa_llm_models.csv`、`aa_media_models.csv` 和 `aa_media_categories.csv`。其中 LLM 表含 496 条模型记录，media 表含 401 条任务级模型记录，media category 表含 5962 条类别级记录。该数据库使事件研究不再只依赖人工 SOTA 标记，而能纳入模型能力、代码能力、数学能力、价格、速度和媒体模型 Elo/rank 等结构化指标。</w:t>
      </w:r>
    </w:p>
    <w:p w14:paraId="1AC606A4">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lang w:val="en-US" w:eastAsia="zh-CN"/>
        </w:rPr>
      </w:pPr>
      <w:r>
        <w:rPr>
          <w:rStyle w:val="8"/>
          <w:rFonts w:hint="default" w:ascii="宋体" w:hAnsi="宋体" w:eastAsia="宋体" w:cs="宋体"/>
          <w:b w:val="0"/>
          <w:bCs w:val="0"/>
          <w:i w:val="0"/>
          <w:iCs w:val="0"/>
          <w:caps w:val="0"/>
          <w:color w:val="auto"/>
          <w:spacing w:val="0"/>
          <w:sz w:val="28"/>
          <w:szCs w:val="28"/>
          <w:shd w:val="clear" w:fill="FFFFFF"/>
          <w:lang w:val="en-US" w:eastAsia="zh-CN"/>
        </w:rPr>
        <w:t>第三，本文在事件研究框架中加入投资者关注、媒体情感和时间演变机制。媒体情感用于捕捉市场如何理解事件，时间趋势和分阶段分析用于检验资本市场是否从早期情绪定价逐渐转向能力、成本效率和商业化潜力定价。</w:t>
      </w:r>
    </w:p>
    <w:p w14:paraId="42915C8D">
      <w:pPr>
        <w:spacing w:line="240" w:lineRule="auto"/>
        <w:ind w:firstLine="560" w:firstLineChars="200"/>
        <w:jc w:val="left"/>
        <w:rPr>
          <w:rStyle w:val="8"/>
          <w:rFonts w:hint="default" w:ascii="宋体" w:hAnsi="宋体" w:eastAsia="宋体" w:cs="宋体"/>
          <w:b w:val="0"/>
          <w:bCs w:val="0"/>
          <w:i w:val="0"/>
          <w:iCs w:val="0"/>
          <w:caps w:val="0"/>
          <w:color w:val="auto"/>
          <w:spacing w:val="0"/>
          <w:sz w:val="28"/>
          <w:szCs w:val="28"/>
          <w:shd w:val="clear" w:fill="FFFFFF"/>
          <w:lang w:val="en-US" w:eastAsia="zh-CN"/>
        </w:rPr>
      </w:pPr>
      <w:r>
        <w:rPr>
          <w:rStyle w:val="8"/>
          <w:rFonts w:hint="default" w:ascii="宋体" w:hAnsi="宋体" w:eastAsia="宋体" w:cs="宋体"/>
          <w:b w:val="0"/>
          <w:bCs w:val="0"/>
          <w:i w:val="0"/>
          <w:iCs w:val="0"/>
          <w:caps w:val="0"/>
          <w:color w:val="auto"/>
          <w:spacing w:val="0"/>
          <w:sz w:val="28"/>
          <w:szCs w:val="28"/>
          <w:shd w:val="clear" w:fill="FFFFFF"/>
          <w:lang w:val="en-US" w:eastAsia="zh-CN"/>
        </w:rPr>
        <w:t>本文的研究边界也较为明确。第一，本文研究短期资本市场反应，不直接声称模型发布会导致公司长期基本面变化。长期收入、利润率、市场份额和研发效率属于后续研究问题。第二，本文不把所有 AI 相关新闻都视为技术冲击，只研究能够定位到具体模型或模型家族的发布事件。第三，本文不把“模型发布者是否上市”作为事件纳入条件。上市状态只影响是否能构造 `publisher` CAR，不影响事件是否可能对AI 暴露公司产生冲击。第四，本文对“重大”的定义采取可审计标准：官方发布、媒体覆盖、leaderboard 收录、可访问性或 flagship/frontier 定位至少需要形成可验证证据链。</w:t>
      </w:r>
    </w:p>
    <w:p w14:paraId="62999F1B">
      <w:pPr>
        <w:spacing w:line="240" w:lineRule="auto"/>
        <w:jc w:val="left"/>
        <w:rPr>
          <w:rStyle w:val="8"/>
          <w:rFonts w:hint="eastAsia" w:ascii="宋体" w:hAnsi="宋体" w:eastAsia="宋体" w:cs="宋体"/>
          <w:b/>
          <w:bCs/>
          <w:i w:val="0"/>
          <w:iCs w:val="0"/>
          <w:caps w:val="0"/>
          <w:color w:val="auto"/>
          <w:spacing w:val="0"/>
          <w:sz w:val="28"/>
          <w:szCs w:val="28"/>
          <w:shd w:val="clear" w:fill="FFFFFF"/>
        </w:rPr>
      </w:pPr>
      <w:r>
        <w:rPr>
          <w:rStyle w:val="8"/>
          <w:rFonts w:hint="eastAsia" w:ascii="宋体" w:hAnsi="宋体" w:eastAsia="宋体" w:cs="宋体"/>
          <w:b/>
          <w:bCs/>
          <w:i w:val="0"/>
          <w:iCs w:val="0"/>
          <w:caps w:val="0"/>
          <w:color w:val="auto"/>
          <w:spacing w:val="0"/>
          <w:sz w:val="28"/>
          <w:szCs w:val="28"/>
          <w:shd w:val="clear" w:fill="FFFFFF"/>
          <w:lang w:val="en-US" w:eastAsia="zh-CN"/>
        </w:rPr>
        <w:t>八</w:t>
      </w:r>
      <w:r>
        <w:rPr>
          <w:rStyle w:val="8"/>
          <w:rFonts w:hint="eastAsia" w:ascii="宋体" w:hAnsi="宋体" w:eastAsia="宋体" w:cs="宋体"/>
          <w:b/>
          <w:bCs/>
          <w:i w:val="0"/>
          <w:iCs w:val="0"/>
          <w:caps w:val="0"/>
          <w:color w:val="auto"/>
          <w:spacing w:val="0"/>
          <w:sz w:val="28"/>
          <w:szCs w:val="28"/>
          <w:shd w:val="clear" w:fill="FFFFFF"/>
        </w:rPr>
        <w:t>、 潜在挑战与应对</w:t>
      </w:r>
    </w:p>
    <w:p w14:paraId="7C957A60">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1.事件日确定：部分模型发布存在多日预热或模糊发布。应对：以首个引起广泛关注的权威媒体报道日为准，并进行敏感性分析。</w:t>
      </w:r>
    </w:p>
    <w:p w14:paraId="29573FA7">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2.情感分析准确性：虽然FinBERT针对金融领域优化，但对纯技术性描述的理解可能存在偏差。应对：考虑人工抽检小样本验证，并与传统方法（如VADER）的结果进行对比分析。</w:t>
      </w:r>
    </w:p>
    <w:p w14:paraId="69C9B139">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3.混淆因素：尽管有筛选，但无法完全排除所有混杂信息。应对：在稳健性检验中剔除高度疑似混杂的样本，并在讨论中承认此局限性。</w:t>
      </w:r>
    </w:p>
    <w:p w14:paraId="5E7463E1">
      <w:pPr>
        <w:spacing w:line="240" w:lineRule="auto"/>
        <w:jc w:val="left"/>
        <w:rPr>
          <w:rStyle w:val="8"/>
          <w:rFonts w:hint="eastAsia" w:ascii="宋体" w:hAnsi="宋体" w:eastAsia="宋体" w:cs="宋体"/>
          <w:b/>
          <w:bCs/>
          <w:i w:val="0"/>
          <w:iCs w:val="0"/>
          <w:caps w:val="0"/>
          <w:color w:val="auto"/>
          <w:spacing w:val="0"/>
          <w:sz w:val="28"/>
          <w:szCs w:val="28"/>
          <w:shd w:val="clear" w:fill="FFFFFF"/>
          <w:lang w:val="en-US" w:eastAsia="zh-CN"/>
        </w:rPr>
      </w:pPr>
      <w:r>
        <w:rPr>
          <w:rStyle w:val="8"/>
          <w:rFonts w:hint="eastAsia" w:ascii="宋体" w:hAnsi="宋体" w:eastAsia="宋体" w:cs="宋体"/>
          <w:b/>
          <w:bCs/>
          <w:i w:val="0"/>
          <w:iCs w:val="0"/>
          <w:caps w:val="0"/>
          <w:color w:val="auto"/>
          <w:spacing w:val="0"/>
          <w:sz w:val="28"/>
          <w:szCs w:val="28"/>
          <w:shd w:val="clear" w:fill="FFFFFF"/>
          <w:lang w:val="en-US" w:eastAsia="zh-CN"/>
        </w:rPr>
        <w:t>九、研究局限与未来展望</w:t>
      </w:r>
    </w:p>
    <w:p w14:paraId="6FBE0805">
      <w:pPr>
        <w:spacing w:line="240" w:lineRule="auto"/>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（一）研究局限</w:t>
      </w:r>
    </w:p>
    <w:p w14:paraId="69886D31">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样本范围局限：本研究的样本仅覆盖美股上市公司发布的 LLM 事件，未纳入中国、欧洲等其他市场的 AI 企业，研究结论在新兴市场的适用性有待进一步检验；</w:t>
      </w:r>
    </w:p>
    <w:p w14:paraId="275901F7">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时间维度局限：本研究仅聚焦 LLM 发布事件的短期市场反应，未深入检验技术事件对企业长期经营绩效、基本面变化的影响，长期价值效应有待后续研究；</w:t>
      </w:r>
    </w:p>
    <w:p w14:paraId="1E5679BE">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机制检验的局限：本研究未深入拆解机构投资者与散户投资者的交易行为差异，对市场反应的微观主体行为机制挖掘有待深化。</w:t>
      </w:r>
    </w:p>
    <w:p w14:paraId="686FAFDF">
      <w:pPr>
        <w:spacing w:line="240" w:lineRule="auto"/>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（二）未来研究方向</w:t>
      </w:r>
    </w:p>
    <w:p w14:paraId="63AC4691">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拓展样本范围，纳入全球主要市场的 LLM 发布事件，对比不同资本市场对 AI 技术冲击的反应差异；</w:t>
      </w:r>
    </w:p>
    <w:p w14:paraId="77C03153">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拓展研究时间维度，检验 LLM 发布事件对企业长期营收、研发投入、市场份额的影响，厘清技术创新的长期价值效应；</w:t>
      </w:r>
    </w:p>
    <w:p w14:paraId="7FEC20CE">
      <w:pPr>
        <w:spacing w:line="240" w:lineRule="auto"/>
        <w:ind w:firstLine="560" w:firstLineChars="200"/>
        <w:jc w:val="left"/>
        <w:rPr>
          <w:rStyle w:val="8"/>
          <w:rFonts w:hint="eastAsia" w:ascii="宋体" w:hAnsi="宋体" w:eastAsia="宋体" w:cs="宋体"/>
          <w:b w:val="0"/>
          <w:bCs w:val="0"/>
          <w:i w:val="0"/>
          <w:iCs w:val="0"/>
          <w:caps w:val="0"/>
          <w:color w:val="auto"/>
          <w:spacing w:val="0"/>
          <w:sz w:val="28"/>
          <w:szCs w:val="28"/>
          <w:shd w:val="clear" w:fill="FFFFFF"/>
        </w:rPr>
      </w:pPr>
      <w:r>
        <w:rPr>
          <w:rStyle w:val="8"/>
          <w:rFonts w:hint="eastAsia" w:ascii="宋体" w:hAnsi="宋体" w:eastAsia="宋体" w:cs="宋体"/>
          <w:b w:val="0"/>
          <w:bCs w:val="0"/>
          <w:i w:val="0"/>
          <w:iCs w:val="0"/>
          <w:caps w:val="0"/>
          <w:color w:val="auto"/>
          <w:spacing w:val="0"/>
          <w:sz w:val="28"/>
          <w:szCs w:val="28"/>
          <w:shd w:val="clear" w:fill="FFFFFF"/>
        </w:rPr>
        <w:t>利用高频交易数据，拆解不同类型投资者在事件窗口期内的交易行为差异，进一步打开技术事件冲击下资本市场反应的微观黑箱。</w:t>
      </w:r>
    </w:p>
    <w:p w14:paraId="585F0AA9">
      <w:pPr>
        <w:numPr>
          <w:ilvl w:val="0"/>
          <w:numId w:val="0"/>
        </w:numPr>
        <w:spacing w:line="240" w:lineRule="auto"/>
        <w:jc w:val="left"/>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Georgia">
    <w:panose1 w:val="02040502050405020303"/>
    <w:charset w:val="00"/>
    <w:family w:val="auto"/>
    <w:pitch w:val="default"/>
    <w:sig w:usb0="000002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6B58A4"/>
    <w:multiLevelType w:val="singleLevel"/>
    <w:tmpl w:val="B36B58A4"/>
    <w:lvl w:ilvl="0" w:tentative="0">
      <w:start w:val="1"/>
      <w:numFmt w:val="decimal"/>
      <w:suff w:val="nothing"/>
      <w:lvlText w:val="（%1）"/>
      <w:lvlJc w:val="left"/>
    </w:lvl>
  </w:abstractNum>
  <w:abstractNum w:abstractNumId="1">
    <w:nsid w:val="E74BBBF6"/>
    <w:multiLevelType w:val="singleLevel"/>
    <w:tmpl w:val="E74BBBF6"/>
    <w:lvl w:ilvl="0" w:tentative="0">
      <w:start w:val="5"/>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72B04"/>
    <w:rsid w:val="0333594B"/>
    <w:rsid w:val="08500BB1"/>
    <w:rsid w:val="0873728E"/>
    <w:rsid w:val="0EA53794"/>
    <w:rsid w:val="1332191F"/>
    <w:rsid w:val="15FD7FC2"/>
    <w:rsid w:val="19162CDC"/>
    <w:rsid w:val="1B165C7C"/>
    <w:rsid w:val="1C434C70"/>
    <w:rsid w:val="20986689"/>
    <w:rsid w:val="274D1D87"/>
    <w:rsid w:val="2C703E76"/>
    <w:rsid w:val="2DC135B3"/>
    <w:rsid w:val="31E35415"/>
    <w:rsid w:val="33F702EF"/>
    <w:rsid w:val="3EE97785"/>
    <w:rsid w:val="44FF683E"/>
    <w:rsid w:val="45146D44"/>
    <w:rsid w:val="46ED3E6B"/>
    <w:rsid w:val="4CFA324A"/>
    <w:rsid w:val="5ADE0A23"/>
    <w:rsid w:val="5D531525"/>
    <w:rsid w:val="5E7B4EEC"/>
    <w:rsid w:val="611A6C93"/>
    <w:rsid w:val="620E45EE"/>
    <w:rsid w:val="62485641"/>
    <w:rsid w:val="67236729"/>
    <w:rsid w:val="672901E4"/>
    <w:rsid w:val="67791B52"/>
    <w:rsid w:val="6B2A4589"/>
    <w:rsid w:val="6B586951"/>
    <w:rsid w:val="6E997680"/>
    <w:rsid w:val="71386CCF"/>
    <w:rsid w:val="73503FE2"/>
    <w:rsid w:val="74054864"/>
    <w:rsid w:val="76415493"/>
    <w:rsid w:val="792E29E4"/>
    <w:rsid w:val="7C8B67E2"/>
    <w:rsid w:val="7DF2725A"/>
    <w:rsid w:val="7FE068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5924</Words>
  <Characters>6648</Characters>
  <Lines>0</Lines>
  <Paragraphs>0</Paragraphs>
  <TotalTime>75</TotalTime>
  <ScaleCrop>false</ScaleCrop>
  <LinksUpToDate>false</LinksUpToDate>
  <CharactersWithSpaces>6920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2026-01-20T07:11:00Z</dcterms:created>
  <dc:creator>86176</dc:creator>
  <cp:lastModifiedBy>鲁睿爽</cp:lastModifiedBy>
  <dcterms:modified xsi:type="dcterms:W3CDTF">2026-06-21T17:25:18Z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eyJoZGlkIjoiYmQ3NjQxYmZmN2ZkODIxYWNiNTEzMzQyMTZmNzQ1MmMiLCJ1c2VySWQiOiIxNzM5NzY2MDQ0In0=</vt:lpwstr>
  </property>
  <property fmtid="{D5CDD505-2E9C-101B-9397-08002B2CF9AE}" pid="4" name="ICV">
    <vt:lpwstr>AFCEF329EF5E433FA124F3432B92F90C_13</vt:lpwstr>
  </property>
</Properties>
</file>