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D8AC9">
      <w:pPr>
        <w:jc w:val="left"/>
        <w:rPr>
          <w:rFonts w:hint="eastAsia"/>
          <w:b/>
          <w:bCs/>
          <w:sz w:val="30"/>
          <w:szCs w:val="30"/>
          <w:lang w:val="en-US" w:eastAsia="zh-CN"/>
        </w:rPr>
      </w:pPr>
      <w:r>
        <w:rPr>
          <w:rFonts w:hint="eastAsia"/>
          <w:b/>
          <w:bCs/>
          <w:sz w:val="30"/>
          <w:szCs w:val="30"/>
          <w:lang w:val="en-US" w:eastAsia="zh-CN"/>
        </w:rPr>
        <w:t>第三节第一小节</w:t>
      </w:r>
    </w:p>
    <w:p w14:paraId="4C03FEAF">
      <w:pPr>
        <w:rPr>
          <w:rFonts w:hint="eastAsia"/>
        </w:rPr>
      </w:pPr>
      <w:r>
        <w:rPr>
          <w:rFonts w:hint="eastAsia"/>
        </w:rPr>
        <w:t>（一） 样本选择与数据来源</w:t>
      </w:r>
    </w:p>
    <w:p w14:paraId="376D9A9A">
      <w:pPr>
        <w:ind w:firstLine="420" w:firstLineChars="200"/>
        <w:rPr>
          <w:rFonts w:hint="default" w:ascii="Times New Roman" w:hAnsi="Times New Roman" w:eastAsia="宋体" w:cs="Times New Roman"/>
        </w:rPr>
      </w:pPr>
      <w:r>
        <w:rPr>
          <w:rFonts w:hint="default" w:ascii="Times New Roman" w:hAnsi="Times New Roman" w:eastAsia="宋体" w:cs="Times New Roman"/>
        </w:rPr>
        <w:t>本文的事件样本包含 2022年11月至202</w:t>
      </w:r>
      <w:r>
        <w:rPr>
          <w:rFonts w:hint="default" w:ascii="Times New Roman" w:hAnsi="Times New Roman" w:eastAsia="宋体" w:cs="Times New Roman"/>
          <w:lang w:val="en-US" w:eastAsia="zh-CN"/>
        </w:rPr>
        <w:t>6</w:t>
      </w:r>
      <w:r>
        <w:rPr>
          <w:rFonts w:hint="default" w:ascii="Times New Roman" w:hAnsi="Times New Roman" w:eastAsia="宋体" w:cs="Times New Roman"/>
        </w:rPr>
        <w:t>年3月间60次重大AI模型发布事件，涵盖OpenAI、Google、Meta、Anthropic、Mistral AI等14家主要模型发布方。事件筛选标准为：（1）发布的模型属于 frontier 级别或在发布时被广泛认为是其发布方的重要能力升级；（2）发布日期可以精确定位到交易日；（3）排除仅为模型更新或小版本迭代的事件。</w:t>
      </w:r>
    </w:p>
    <w:p w14:paraId="2FFC2D11">
      <w:pPr>
        <w:pStyle w:val="2"/>
        <w:keepNext w:val="0"/>
        <w:keepLines w:val="0"/>
        <w:widowControl/>
        <w:numPr>
          <w:ilvl w:val="0"/>
          <w:numId w:val="0"/>
        </w:numPr>
        <w:suppressLineNumbers w:val="0"/>
        <w:spacing w:before="0" w:beforeAutospacing="0" w:after="0" w:afterAutospacing="0"/>
        <w:ind w:right="0" w:rightChars="0" w:firstLine="420" w:firstLineChars="20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公司样本包含Artificial Intelligence &amp; Technology ETF中的全部86家上市的 AI 相关企业，使用全球行业分类标准(GICS)，按照板块（11个）及行业组（24个），将样本公司分为AI基础模型、算力、电力、数据、应用等产业链环节，并标注其与发布者的关系。公司覆盖半导体/芯片（NVIDIA、AMD、台积电等）、云计算平台（Amazon、Microsoft、Google 等）、AI 原生软件（Palantir、C3.ai 等）、企业软件（Salesforce、Adobe 等）、IT 服务/咨询（Accenture、IBM 等）以及终端应用/部署企业。公司级特征向量包括：企业规模（Size）、账面市值比（B/M）、事件前 volatility、事件前12个月动量（Momentum）使用固定公式进行计算。事件与公司的交叉组合形成5</w:t>
      </w:r>
      <w:r>
        <w:rPr>
          <w:rFonts w:hint="eastAsia"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160条事件–公司层面观测。</w:t>
      </w:r>
      <w:bookmarkStart w:id="0" w:name="_GoBack"/>
      <w:bookmarkEnd w:id="0"/>
    </w:p>
    <w:p w14:paraId="61335A35">
      <w:pPr>
        <w:ind w:firstLine="420" w:firstLineChars="200"/>
        <w:rPr>
          <w:rFonts w:hint="default" w:ascii="Times New Roman" w:hAnsi="Times New Roman" w:eastAsia="宋体" w:cs="Times New Roman"/>
        </w:rPr>
      </w:pPr>
      <w:r>
        <w:rPr>
          <w:rFonts w:hint="default" w:ascii="Times New Roman" w:hAnsi="Times New Roman" w:eastAsia="宋体" w:cs="Times New Roman"/>
          <w:kern w:val="2"/>
          <w:sz w:val="21"/>
          <w:szCs w:val="24"/>
          <w:lang w:val="en-US" w:eastAsia="zh-CN" w:bidi="ar-SA"/>
        </w:rPr>
        <w:t>本文以市场模型作为累计异常收益率（CAR）计算的基准估计模型，同时采用Fama-French 三因子模型开展稳健性检验。股票价格、市场指数来自 Yahoo Finance、CRSP、Compustat、Wind等可获得的金融数据库。以事件日前 [−200, −10] 的190个交易日作为估计窗口</w:t>
      </w:r>
      <w:r>
        <w:rPr>
          <w:rFonts w:hint="default"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计算事件日后 [0, +w] 窗口（w = 1, 2, 3, 5, 10, 15, 20 个交易日）的累计异常收益，</w:t>
      </w:r>
      <w:r>
        <w:rPr>
          <w:rFonts w:hint="default" w:ascii="Times New Roman" w:hAnsi="Times New Roman" w:eastAsia="宋体" w:cs="Times New Roman"/>
          <w:kern w:val="2"/>
          <w:sz w:val="21"/>
          <w:szCs w:val="24"/>
          <w:lang w:val="en-US" w:eastAsia="zh-CN" w:bidi="ar-SA"/>
        </w:rPr>
        <w:t>同时为控制事件前可能存在的股价趋势或信息泄露导致的内生性问题，计算事件前[-10, -2]窗口期的累计超额收益率（CAR_pre），作为后续回归模型的重要控制变量</w:t>
      </w:r>
      <w:r>
        <w:rPr>
          <w:rFonts w:hint="default" w:ascii="Times New Roman" w:hAnsi="Times New Roman" w:eastAsia="宋体" w:cs="Times New Roman"/>
          <w:kern w:val="2"/>
          <w:sz w:val="21"/>
          <w:szCs w:val="24"/>
          <w:lang w:val="en-US" w:eastAsia="zh-CN" w:bidi="ar-SA"/>
        </w:rPr>
        <w:t>。主要报告 CAR[0, +10]、CAR[0, +15]和 CAR[0, +20] 三个窗口的结果，稳健</w:t>
      </w:r>
      <w:r>
        <w:rPr>
          <w:rFonts w:hint="default" w:ascii="Times New Roman" w:hAnsi="Times New Roman" w:eastAsia="宋体" w:cs="Times New Roman"/>
        </w:rPr>
        <w:t>性检验中补充报告全部7个窗口。</w:t>
      </w:r>
    </w:p>
    <w:p w14:paraId="78A092CA">
      <w:pPr>
        <w:pStyle w:val="2"/>
        <w:keepNext w:val="0"/>
        <w:keepLines w:val="0"/>
        <w:widowControl/>
        <w:numPr>
          <w:ilvl w:val="0"/>
          <w:numId w:val="0"/>
        </w:numPr>
        <w:suppressLineNumbers w:val="0"/>
        <w:spacing w:before="0" w:beforeAutospacing="0" w:after="0" w:afterAutospacing="0"/>
        <w:ind w:right="0" w:rightChars="0" w:firstLine="420" w:firstLineChars="20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本文采用金融领域预训练模型（FinBERT）进行媒体情感打分，输出在-1（负面）到+1（正面）之间的媒体情感得分、0到</w:t>
      </w:r>
      <w:r>
        <w:rPr>
          <w:rFonts w:hint="default" w:ascii="Times New Roman" w:hAnsi="Times New Roman" w:eastAsia="宋体" w:cs="Times New Roman"/>
          <w:kern w:val="2"/>
          <w:sz w:val="21"/>
          <w:szCs w:val="24"/>
          <w:lang w:val="en-US" w:eastAsia="zh-CN" w:bidi="ar-SA"/>
        </w:rPr>
        <w:t>+1之间的媒体情感标准差以及以新闻数衡量的媒体情感关注度</w:t>
      </w:r>
      <w:r>
        <w:rPr>
          <w:rFonts w:hint="default" w:ascii="Times New Roman" w:hAnsi="Times New Roman" w:eastAsia="宋体" w:cs="Times New Roman"/>
          <w:kern w:val="2"/>
          <w:sz w:val="21"/>
          <w:szCs w:val="24"/>
          <w:lang w:val="en-US" w:eastAsia="zh-CN" w:bidi="ar-SA"/>
        </w:rPr>
        <w:t>。事件新闻来自GDELT（Global Database of Events, Language, and Tone，全球事件、语言和语调数据库），事件窗口和</w:t>
      </w:r>
      <w:r>
        <w:rPr>
          <w:rFonts w:hint="default" w:ascii="Times New Roman" w:hAnsi="Times New Roman" w:eastAsia="宋体" w:cs="Times New Roman"/>
          <w:kern w:val="2"/>
          <w:sz w:val="21"/>
          <w:szCs w:val="24"/>
          <w:lang w:val="en-US" w:eastAsia="zh-CN" w:bidi="ar-SA"/>
        </w:rPr>
        <w:t>累计异常收益窗口对齐</w:t>
      </w:r>
      <w:r>
        <w:rPr>
          <w:rFonts w:hint="default" w:ascii="Times New Roman" w:hAnsi="Times New Roman" w:eastAsia="宋体" w:cs="Times New Roman"/>
          <w:kern w:val="2"/>
          <w:sz w:val="21"/>
          <w:szCs w:val="24"/>
          <w:lang w:val="en-US" w:eastAsia="zh-CN" w:bidi="ar-SA"/>
        </w:rPr>
        <w:t>。</w:t>
      </w:r>
    </w:p>
    <w:p w14:paraId="61B66ECC">
      <w:pPr>
        <w:pStyle w:val="2"/>
        <w:keepNext w:val="0"/>
        <w:keepLines w:val="0"/>
        <w:widowControl/>
        <w:numPr>
          <w:ilvl w:val="0"/>
          <w:numId w:val="0"/>
        </w:numPr>
        <w:suppressLineNumbers w:val="0"/>
        <w:spacing w:before="0" w:beforeAutospacing="0" w:after="0" w:afterAutospacing="0"/>
        <w:ind w:right="0" w:rightChars="0" w:firstLine="420" w:firstLineChars="200"/>
        <w:rPr>
          <w:rFonts w:hint="default" w:ascii="Times New Roman" w:hAnsi="Times New Roman" w:eastAsia="宋体" w:cs="Times New Roman"/>
          <w:kern w:val="2"/>
          <w:sz w:val="21"/>
          <w:szCs w:val="24"/>
          <w:lang w:val="en-US" w:eastAsia="zh-CN" w:bidi="ar-SA"/>
        </w:rPr>
      </w:pPr>
    </w:p>
    <w:p w14:paraId="6BF8301C">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dolSong-Bold-Identity-H">
    <w:altName w:val="ESRI AMFM Electric"/>
    <w:panose1 w:val="00000000000000000000"/>
    <w:charset w:val="00"/>
    <w:family w:val="auto"/>
    <w:pitch w:val="default"/>
    <w:sig w:usb0="00000000" w:usb1="00000000" w:usb2="00000000" w:usb3="00000000" w:csb0="00000000" w:csb1="00000000"/>
  </w:font>
  <w:font w:name="FandolSong-Regular-Identity-H">
    <w:altName w:val="ESRI AMFM Electric"/>
    <w:panose1 w:val="00000000000000000000"/>
    <w:charset w:val="00"/>
    <w:family w:val="auto"/>
    <w:pitch w:val="default"/>
    <w:sig w:usb0="00000000" w:usb1="00000000" w:usb2="00000000" w:usb3="00000000" w:csb0="00000000" w:csb1="00000000"/>
  </w:font>
  <w:font w:name="LMRoman10-Regular-Identity-H">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MR10">
    <w:altName w:val="ESRI AMFM Electric"/>
    <w:panose1 w:val="00000000000000000000"/>
    <w:charset w:val="00"/>
    <w:family w:val="auto"/>
    <w:pitch w:val="default"/>
    <w:sig w:usb0="00000000" w:usb1="00000000" w:usb2="00000000" w:usb3="00000000" w:csb0="00000000" w:csb1="00000000"/>
  </w:font>
  <w:font w:name="CMSY10">
    <w:altName w:val="ESRI AMFM Electric"/>
    <w:panose1 w:val="00000000000000000000"/>
    <w:charset w:val="00"/>
    <w:family w:val="auto"/>
    <w:pitch w:val="default"/>
    <w:sig w:usb0="00000000" w:usb1="00000000" w:usb2="00000000" w:usb3="00000000" w:csb0="00000000" w:csb1="00000000"/>
  </w:font>
  <w:font w:name="CMMI10">
    <w:altName w:val="ESRI AMFM Electric"/>
    <w:panose1 w:val="00000000000000000000"/>
    <w:charset w:val="00"/>
    <w:family w:val="auto"/>
    <w:pitch w:val="default"/>
    <w:sig w:usb0="00000000" w:usb1="00000000" w:usb2="00000000" w:usb3="00000000" w:csb0="00000000" w:csb1="00000000"/>
  </w:font>
  <w:font w:name="LMRoman8-Regular-Identity-H">
    <w:altName w:val="ESRI AMFM Electric"/>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DF777C"/>
    <w:rsid w:val="01D07389"/>
    <w:rsid w:val="2BDF77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2026-06-26T02:20:00Z</dcterms:created>
  <dc:creator>鲁睿爽</dc:creator>
  <cp:lastModifiedBy>鲁睿爽</cp:lastModifiedBy>
  <dcterms:modified xsi:type="dcterms:W3CDTF">2026-06-26T10:28:51Z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988DF0ECF2894E449F4E291BC2BB3996_11</vt:lpwstr>
  </property>
  <property fmtid="{D5CDD505-2E9C-101B-9397-08002B2CF9AE}" pid="4" name="KSOTemplateDocerSaveRecord">
    <vt:lpwstr>eyJoZGlkIjoiYmQ3NjQxYmZmN2ZkODIxYWNiNTEzMzQyMTZmNzQ1MmMiLCJ1c2VySWQiOiIxNzM5NzY2MDQ0In0=</vt:lpwstr>
  </property>
</Properties>
</file>