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C5E35">
      <w:pPr>
        <w:spacing w:after="60"/>
        <w:jc w:val="center"/>
        <w:rPr>
          <w:color w:val="auto"/>
        </w:rPr>
      </w:pPr>
      <w:r>
        <w:rPr>
          <w:b/>
          <w:bCs/>
          <w:color w:val="auto"/>
          <w:sz w:val="32"/>
          <w:szCs w:val="32"/>
        </w:rPr>
        <w:t>ANALYSTLAB</w:t>
      </w:r>
      <w:bookmarkStart w:id="0" w:name="_GoBack"/>
      <w:bookmarkEnd w:id="0"/>
      <w:r>
        <w:rPr>
          <w:b/>
          <w:bCs/>
          <w:color w:val="auto"/>
          <w:sz w:val="32"/>
          <w:szCs w:val="32"/>
        </w:rPr>
        <w:t xml:space="preserve"> AFRICA</w:t>
      </w:r>
    </w:p>
    <w:p w14:paraId="3A426B68">
      <w:pPr>
        <w:spacing w:after="40"/>
        <w:jc w:val="center"/>
        <w:rPr>
          <w:color w:val="auto"/>
        </w:rPr>
      </w:pPr>
      <w:r>
        <w:rPr>
          <w:b/>
          <w:bCs/>
          <w:color w:val="auto"/>
          <w:sz w:val="24"/>
          <w:szCs w:val="24"/>
        </w:rPr>
        <w:t>Data Analytics Internship Programme</w:t>
      </w:r>
    </w:p>
    <w:p w14:paraId="0D083F3B">
      <w:pPr>
        <w:spacing w:after="40"/>
        <w:jc w:val="center"/>
        <w:rPr>
          <w:color w:val="auto"/>
        </w:rPr>
      </w:pPr>
      <w:r>
        <w:rPr>
          <w:b/>
          <w:bCs/>
          <w:color w:val="auto"/>
          <w:sz w:val="24"/>
          <w:szCs w:val="24"/>
        </w:rPr>
        <w:t>Week 3: Advanced Data Analysis</w:t>
      </w:r>
    </w:p>
    <w:p w14:paraId="21EE35DC">
      <w:pPr>
        <w:spacing w:after="20"/>
        <w:jc w:val="center"/>
        <w:rPr>
          <w:color w:val="auto"/>
        </w:rPr>
      </w:pPr>
      <w:r>
        <w:rPr>
          <w:i/>
          <w:iCs/>
          <w:color w:val="auto"/>
          <w:sz w:val="22"/>
          <w:szCs w:val="22"/>
        </w:rPr>
        <w:t>Superstore Sales Dataset — Deeper Analysis Building on Week 2</w:t>
      </w:r>
    </w:p>
    <w:p w14:paraId="54365DC2">
      <w:pPr>
        <w:spacing w:after="300"/>
        <w:jc w:val="center"/>
        <w:rPr>
          <w:color w:val="auto"/>
        </w:rPr>
      </w:pPr>
      <w:r>
        <w:rPr>
          <w:color w:val="auto"/>
          <w:sz w:val="22"/>
          <w:szCs w:val="22"/>
        </w:rPr>
        <w:t>Prepared by: Lusani</w:t>
      </w:r>
    </w:p>
    <w:p w14:paraId="2324907D">
      <w:pPr>
        <w:pStyle w:val="2"/>
        <w:spacing w:before="300" w:after="150" w:line="360" w:lineRule="auto"/>
        <w:jc w:val="both"/>
        <w:rPr>
          <w:rFonts w:hint="default" w:ascii="Arial" w:hAnsi="Arial" w:cs="Arial"/>
          <w:color w:val="auto"/>
          <w:sz w:val="24"/>
          <w:szCs w:val="24"/>
        </w:rPr>
      </w:pPr>
      <w:r>
        <w:rPr>
          <w:rFonts w:hint="default" w:ascii="Arial" w:hAnsi="Arial" w:cs="Arial"/>
          <w:color w:val="auto"/>
          <w:sz w:val="24"/>
          <w:szCs w:val="24"/>
        </w:rPr>
        <w:t>1. Project Continuity Summary</w:t>
      </w:r>
    </w:p>
    <w:p w14:paraId="3DC2AC42">
      <w:pPr>
        <w:spacing w:after="100" w:line="360" w:lineRule="auto"/>
        <w:jc w:val="both"/>
        <w:rPr>
          <w:rFonts w:hint="default" w:ascii="Arial" w:hAnsi="Arial" w:cs="Arial"/>
          <w:color w:val="auto"/>
          <w:sz w:val="24"/>
          <w:szCs w:val="24"/>
        </w:rPr>
      </w:pPr>
      <w:r>
        <w:rPr>
          <w:rFonts w:hint="default" w:ascii="Arial" w:hAnsi="Arial" w:cs="Arial"/>
          <w:b/>
          <w:bCs/>
          <w:color w:val="auto"/>
          <w:sz w:val="24"/>
          <w:szCs w:val="24"/>
        </w:rPr>
        <w:t xml:space="preserve">Dataset: </w:t>
      </w:r>
      <w:r>
        <w:rPr>
          <w:rFonts w:hint="default" w:ascii="Arial" w:hAnsi="Arial" w:cs="Arial"/>
          <w:color w:val="auto"/>
          <w:sz w:val="24"/>
          <w:szCs w:val="24"/>
        </w:rPr>
        <w:t>Sample - Superstore dataset (Superstore Sales Dataset), continued from Week 2. 9,994 line items, 5,009 orders, 793 customers, covering 3 January 2014 to 30 December 2017.</w:t>
      </w:r>
    </w:p>
    <w:p w14:paraId="75EAE95F">
      <w:pPr>
        <w:spacing w:after="100" w:line="360" w:lineRule="auto"/>
        <w:jc w:val="both"/>
        <w:rPr>
          <w:rFonts w:hint="default" w:ascii="Arial" w:hAnsi="Arial" w:cs="Arial"/>
          <w:color w:val="auto"/>
          <w:sz w:val="24"/>
          <w:szCs w:val="24"/>
        </w:rPr>
      </w:pPr>
      <w:r>
        <w:rPr>
          <w:rFonts w:hint="default" w:ascii="Arial" w:hAnsi="Arial" w:cs="Arial"/>
          <w:b/>
          <w:bCs/>
          <w:color w:val="auto"/>
          <w:sz w:val="24"/>
          <w:szCs w:val="24"/>
        </w:rPr>
        <w:t xml:space="preserve">Business Problem: </w:t>
      </w:r>
      <w:r>
        <w:rPr>
          <w:rFonts w:hint="default" w:ascii="Arial" w:hAnsi="Arial" w:cs="Arial"/>
          <w:color w:val="auto"/>
          <w:sz w:val="24"/>
          <w:szCs w:val="24"/>
        </w:rPr>
        <w:t>Superstore Consulting needs an executive-facing view of sales and profitability performance across regions, product categories and customer segments, so management can identify where the business is performing well, where it is losing money, and what to do about it.</w:t>
      </w:r>
    </w:p>
    <w:p w14:paraId="24A1CC67">
      <w:pPr>
        <w:pStyle w:val="3"/>
        <w:spacing w:before="220" w:after="100" w:line="360" w:lineRule="auto"/>
        <w:jc w:val="both"/>
        <w:rPr>
          <w:rFonts w:hint="default" w:ascii="Arial" w:hAnsi="Arial" w:cs="Arial"/>
          <w:color w:val="auto"/>
          <w:sz w:val="24"/>
          <w:szCs w:val="24"/>
        </w:rPr>
      </w:pPr>
      <w:r>
        <w:rPr>
          <w:rFonts w:hint="default" w:ascii="Arial" w:hAnsi="Arial" w:cs="Arial"/>
          <w:color w:val="auto"/>
          <w:sz w:val="24"/>
          <w:szCs w:val="24"/>
        </w:rPr>
        <w:t>Key Findings from Week 2</w:t>
      </w:r>
    </w:p>
    <w:p w14:paraId="75B7D980">
      <w:pPr>
        <w:pStyle w:val="16"/>
        <w:numPr>
          <w:ilvl w:val="0"/>
          <w:numId w:val="1"/>
        </w:numPr>
        <w:spacing w:after="70" w:line="360" w:lineRule="auto"/>
        <w:jc w:val="both"/>
        <w:rPr>
          <w:rFonts w:hint="default" w:ascii="Arial" w:hAnsi="Arial" w:cs="Arial"/>
          <w:color w:val="auto"/>
          <w:sz w:val="24"/>
          <w:szCs w:val="24"/>
        </w:rPr>
      </w:pPr>
      <w:r>
        <w:rPr>
          <w:rFonts w:hint="default" w:ascii="Arial" w:hAnsi="Arial" w:cs="Arial"/>
          <w:color w:val="auto"/>
          <w:sz w:val="24"/>
          <w:szCs w:val="24"/>
        </w:rPr>
        <w:t>Total sales of $2.30M and total profit of $286.40K across ~5K orders, a 12.5% overall profit margin.</w:t>
      </w:r>
    </w:p>
    <w:p w14:paraId="6CC20723">
      <w:pPr>
        <w:pStyle w:val="16"/>
        <w:numPr>
          <w:ilvl w:val="0"/>
          <w:numId w:val="1"/>
        </w:numPr>
        <w:spacing w:after="70" w:line="360" w:lineRule="auto"/>
        <w:jc w:val="both"/>
        <w:rPr>
          <w:rFonts w:hint="default" w:ascii="Arial" w:hAnsi="Arial" w:cs="Arial"/>
          <w:color w:val="auto"/>
          <w:sz w:val="24"/>
          <w:szCs w:val="24"/>
        </w:rPr>
      </w:pPr>
      <w:r>
        <w:rPr>
          <w:rFonts w:hint="default" w:ascii="Arial" w:hAnsi="Arial" w:cs="Arial"/>
          <w:color w:val="auto"/>
          <w:sz w:val="24"/>
          <w:szCs w:val="24"/>
        </w:rPr>
        <w:t>The West region was the strongest region ($0.73M sales / $0.11M profit); the South region was the weakest ($0.39M sales).</w:t>
      </w:r>
    </w:p>
    <w:p w14:paraId="5A042460">
      <w:pPr>
        <w:pStyle w:val="16"/>
        <w:numPr>
          <w:ilvl w:val="0"/>
          <w:numId w:val="1"/>
        </w:numPr>
        <w:spacing w:after="70" w:line="360" w:lineRule="auto"/>
        <w:jc w:val="both"/>
        <w:rPr>
          <w:rFonts w:hint="default" w:ascii="Arial" w:hAnsi="Arial" w:cs="Arial"/>
          <w:color w:val="auto"/>
          <w:sz w:val="24"/>
          <w:szCs w:val="24"/>
        </w:rPr>
      </w:pPr>
      <w:r>
        <w:rPr>
          <w:rFonts w:hint="default" w:ascii="Arial" w:hAnsi="Arial" w:cs="Arial"/>
          <w:color w:val="auto"/>
          <w:sz w:val="24"/>
          <w:szCs w:val="24"/>
        </w:rPr>
        <w:t>The Consumer segment drove 50.56% of sales ($1.16M).</w:t>
      </w:r>
    </w:p>
    <w:p w14:paraId="0F35B330">
      <w:pPr>
        <w:pStyle w:val="16"/>
        <w:numPr>
          <w:ilvl w:val="0"/>
          <w:numId w:val="1"/>
        </w:numPr>
        <w:spacing w:after="70" w:line="360" w:lineRule="auto"/>
        <w:jc w:val="both"/>
        <w:rPr>
          <w:rFonts w:hint="default" w:ascii="Arial" w:hAnsi="Arial" w:cs="Arial"/>
          <w:color w:val="auto"/>
          <w:sz w:val="24"/>
          <w:szCs w:val="24"/>
        </w:rPr>
      </w:pPr>
      <w:r>
        <w:rPr>
          <w:rFonts w:hint="default" w:ascii="Arial" w:hAnsi="Arial" w:cs="Arial"/>
          <w:color w:val="auto"/>
          <w:sz w:val="24"/>
          <w:szCs w:val="24"/>
        </w:rPr>
        <w:t>Technology was the strongest category ($836.15K sales / $145.45K profit); Furniture had strong sales ($742K) but a weak 2.5% margin.</w:t>
      </w:r>
    </w:p>
    <w:p w14:paraId="44F41501">
      <w:pPr>
        <w:pStyle w:val="16"/>
        <w:numPr>
          <w:ilvl w:val="0"/>
          <w:numId w:val="1"/>
        </w:numPr>
        <w:spacing w:after="70" w:line="360" w:lineRule="auto"/>
        <w:jc w:val="both"/>
        <w:rPr>
          <w:rFonts w:hint="default" w:ascii="Arial" w:hAnsi="Arial" w:cs="Arial"/>
          <w:color w:val="auto"/>
          <w:sz w:val="24"/>
          <w:szCs w:val="24"/>
        </w:rPr>
      </w:pPr>
      <w:r>
        <w:rPr>
          <w:rFonts w:hint="default" w:ascii="Arial" w:hAnsi="Arial" w:cs="Arial"/>
          <w:color w:val="auto"/>
          <w:sz w:val="24"/>
          <w:szCs w:val="24"/>
        </w:rPr>
        <w:t>Several individual products recorded negative profit, including one losing close to $9K.</w:t>
      </w:r>
    </w:p>
    <w:p w14:paraId="584161F7">
      <w:pPr>
        <w:pStyle w:val="3"/>
        <w:spacing w:before="220" w:after="100" w:line="360" w:lineRule="auto"/>
        <w:jc w:val="both"/>
        <w:rPr>
          <w:rFonts w:hint="default" w:ascii="Arial" w:hAnsi="Arial" w:cs="Arial"/>
          <w:color w:val="auto"/>
          <w:sz w:val="24"/>
          <w:szCs w:val="24"/>
        </w:rPr>
      </w:pPr>
      <w:r>
        <w:rPr>
          <w:rFonts w:hint="default" w:ascii="Arial" w:hAnsi="Arial" w:cs="Arial"/>
          <w:color w:val="auto"/>
          <w:sz w:val="24"/>
          <w:szCs w:val="24"/>
        </w:rPr>
        <w:t>Areas for Deeper Investigation This Week</w:t>
      </w:r>
    </w:p>
    <w:p w14:paraId="7BC101CA">
      <w:pPr>
        <w:pStyle w:val="16"/>
        <w:numPr>
          <w:ilvl w:val="0"/>
          <w:numId w:val="1"/>
        </w:numPr>
        <w:spacing w:after="70" w:line="360" w:lineRule="auto"/>
        <w:jc w:val="both"/>
        <w:rPr>
          <w:rFonts w:hint="default" w:ascii="Arial" w:hAnsi="Arial" w:cs="Arial"/>
          <w:color w:val="auto"/>
          <w:sz w:val="24"/>
          <w:szCs w:val="24"/>
        </w:rPr>
      </w:pPr>
      <w:r>
        <w:rPr>
          <w:rFonts w:hint="default" w:ascii="Arial" w:hAnsi="Arial" w:cs="Arial"/>
          <w:color w:val="auto"/>
          <w:sz w:val="24"/>
          <w:szCs w:val="24"/>
        </w:rPr>
        <w:t>Why Furniture's margin is so much lower than Office Supplies and Technology — which sub-categories are actually driving the loss.</w:t>
      </w:r>
    </w:p>
    <w:p w14:paraId="4FD0770A">
      <w:pPr>
        <w:pStyle w:val="16"/>
        <w:numPr>
          <w:ilvl w:val="0"/>
          <w:numId w:val="1"/>
        </w:numPr>
        <w:spacing w:after="70" w:line="360" w:lineRule="auto"/>
        <w:jc w:val="both"/>
        <w:rPr>
          <w:rFonts w:hint="default" w:ascii="Arial" w:hAnsi="Arial" w:cs="Arial"/>
          <w:color w:val="auto"/>
          <w:sz w:val="24"/>
          <w:szCs w:val="24"/>
        </w:rPr>
      </w:pPr>
      <w:r>
        <w:rPr>
          <w:rFonts w:hint="default" w:ascii="Arial" w:hAnsi="Arial" w:cs="Arial"/>
          <w:color w:val="auto"/>
          <w:sz w:val="24"/>
          <w:szCs w:val="24"/>
        </w:rPr>
        <w:t>Whether high discounting is the real cause of unprofitable orders, and at what discount level profit turns negative.</w:t>
      </w:r>
    </w:p>
    <w:p w14:paraId="73EC8393">
      <w:pPr>
        <w:pStyle w:val="16"/>
        <w:numPr>
          <w:ilvl w:val="0"/>
          <w:numId w:val="1"/>
        </w:numPr>
        <w:spacing w:after="70" w:line="360" w:lineRule="auto"/>
        <w:jc w:val="both"/>
        <w:rPr>
          <w:rFonts w:hint="default" w:ascii="Arial" w:hAnsi="Arial" w:cs="Arial"/>
          <w:color w:val="auto"/>
          <w:sz w:val="24"/>
          <w:szCs w:val="24"/>
        </w:rPr>
      </w:pPr>
      <w:r>
        <w:rPr>
          <w:rFonts w:hint="default" w:ascii="Arial" w:hAnsi="Arial" w:cs="Arial"/>
          <w:color w:val="auto"/>
          <w:sz w:val="24"/>
          <w:szCs w:val="24"/>
        </w:rPr>
        <w:t>Which states (not just regions) are the biggest drag on profit — Week 2 only went down to region level.</w:t>
      </w:r>
    </w:p>
    <w:p w14:paraId="5FDE832C">
      <w:pPr>
        <w:pStyle w:val="16"/>
        <w:numPr>
          <w:ilvl w:val="0"/>
          <w:numId w:val="1"/>
        </w:numPr>
        <w:spacing w:after="70" w:line="360" w:lineRule="auto"/>
        <w:jc w:val="both"/>
        <w:rPr>
          <w:rFonts w:hint="default" w:ascii="Arial" w:hAnsi="Arial" w:cs="Arial"/>
          <w:color w:val="auto"/>
          <w:sz w:val="24"/>
          <w:szCs w:val="24"/>
        </w:rPr>
      </w:pPr>
      <w:r>
        <w:rPr>
          <w:rFonts w:hint="default" w:ascii="Arial" w:hAnsi="Arial" w:cs="Arial"/>
          <w:color w:val="auto"/>
          <w:sz w:val="24"/>
          <w:szCs w:val="24"/>
        </w:rPr>
        <w:t>Seasonality — which months consistently over- and under-perform, to support inventory and staffing decisions.</w:t>
      </w:r>
    </w:p>
    <w:p w14:paraId="5EF0DFBD">
      <w:pPr>
        <w:pStyle w:val="16"/>
        <w:numPr>
          <w:ilvl w:val="0"/>
          <w:numId w:val="1"/>
        </w:numPr>
        <w:spacing w:after="70" w:line="360" w:lineRule="auto"/>
        <w:jc w:val="both"/>
        <w:rPr>
          <w:rFonts w:hint="default" w:ascii="Arial" w:hAnsi="Arial" w:cs="Arial"/>
          <w:color w:val="auto"/>
          <w:sz w:val="24"/>
          <w:szCs w:val="24"/>
        </w:rPr>
      </w:pPr>
      <w:r>
        <w:rPr>
          <w:rFonts w:hint="default" w:ascii="Arial" w:hAnsi="Arial" w:cs="Arial"/>
          <w:color w:val="auto"/>
          <w:sz w:val="24"/>
          <w:szCs w:val="24"/>
        </w:rPr>
        <w:t>Year-over-year growth in sales and profit, to check whether the business is actually improving or just getting bigger.</w:t>
      </w:r>
    </w:p>
    <w:p w14:paraId="5D7E11FA">
      <w:pPr>
        <w:pStyle w:val="2"/>
        <w:spacing w:before="300" w:after="150" w:line="360" w:lineRule="auto"/>
        <w:jc w:val="both"/>
        <w:rPr>
          <w:rFonts w:hint="default" w:ascii="Arial" w:hAnsi="Arial" w:cs="Arial"/>
          <w:color w:val="auto"/>
          <w:sz w:val="24"/>
          <w:szCs w:val="24"/>
        </w:rPr>
      </w:pPr>
      <w:r>
        <w:rPr>
          <w:rFonts w:hint="default" w:ascii="Arial" w:hAnsi="Arial" w:cs="Arial"/>
          <w:color w:val="auto"/>
          <w:sz w:val="24"/>
          <w:szCs w:val="24"/>
        </w:rPr>
        <w:t>2. Advanced Business Analysis</w:t>
      </w:r>
    </w:p>
    <w:p w14:paraId="74473E89">
      <w:pPr>
        <w:pStyle w:val="3"/>
        <w:spacing w:before="220" w:after="100" w:line="360" w:lineRule="auto"/>
        <w:jc w:val="both"/>
        <w:rPr>
          <w:rFonts w:hint="default" w:ascii="Arial" w:hAnsi="Arial" w:cs="Arial"/>
          <w:color w:val="auto"/>
          <w:sz w:val="24"/>
          <w:szCs w:val="24"/>
        </w:rPr>
      </w:pPr>
      <w:r>
        <w:rPr>
          <w:rFonts w:hint="default" w:ascii="Arial" w:hAnsi="Arial" w:cs="Arial"/>
          <w:color w:val="auto"/>
          <w:sz w:val="24"/>
          <w:szCs w:val="24"/>
        </w:rPr>
        <w:t>2.1 Sales &amp; Profit Overview</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50"/>
        <w:gridCol w:w="4750"/>
      </w:tblGrid>
      <w:tr w14:paraId="79E5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750" w:type="dxa"/>
            <w:shd w:val="clear" w:color="auto" w:fill="000000" w:themeFill="text1"/>
          </w:tcPr>
          <w:p w14:paraId="35E80141">
            <w:pPr>
              <w:spacing w:line="360" w:lineRule="auto"/>
              <w:jc w:val="both"/>
              <w:rPr>
                <w:rFonts w:hint="default" w:ascii="Arial" w:hAnsi="Arial" w:cs="Arial"/>
                <w:color w:val="auto"/>
                <w:sz w:val="24"/>
                <w:szCs w:val="24"/>
              </w:rPr>
            </w:pPr>
            <w:r>
              <w:rPr>
                <w:rFonts w:hint="default" w:ascii="Arial" w:hAnsi="Arial" w:cs="Arial"/>
                <w:b/>
                <w:bCs/>
                <w:color w:val="auto"/>
                <w:sz w:val="24"/>
                <w:szCs w:val="24"/>
              </w:rPr>
              <w:t>Metric</w:t>
            </w:r>
          </w:p>
        </w:tc>
        <w:tc>
          <w:tcPr>
            <w:tcW w:w="4750" w:type="dxa"/>
            <w:shd w:val="clear" w:color="auto" w:fill="000000" w:themeFill="text1"/>
          </w:tcPr>
          <w:p w14:paraId="347AE422">
            <w:pPr>
              <w:spacing w:line="360" w:lineRule="auto"/>
              <w:jc w:val="both"/>
              <w:rPr>
                <w:rFonts w:hint="default" w:ascii="Arial" w:hAnsi="Arial" w:cs="Arial"/>
                <w:color w:val="auto"/>
                <w:sz w:val="24"/>
                <w:szCs w:val="24"/>
              </w:rPr>
            </w:pPr>
            <w:r>
              <w:rPr>
                <w:rFonts w:hint="default" w:ascii="Arial" w:hAnsi="Arial" w:cs="Arial"/>
                <w:b/>
                <w:bCs/>
                <w:color w:val="auto"/>
                <w:sz w:val="24"/>
                <w:szCs w:val="24"/>
              </w:rPr>
              <w:t>Value</w:t>
            </w:r>
          </w:p>
        </w:tc>
      </w:tr>
      <w:tr w14:paraId="5764B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50" w:type="dxa"/>
          </w:tcPr>
          <w:p w14:paraId="7A542E08">
            <w:pPr>
              <w:spacing w:line="360" w:lineRule="auto"/>
              <w:jc w:val="both"/>
              <w:rPr>
                <w:rFonts w:hint="default" w:ascii="Arial" w:hAnsi="Arial" w:cs="Arial"/>
                <w:color w:val="auto"/>
                <w:sz w:val="24"/>
                <w:szCs w:val="24"/>
              </w:rPr>
            </w:pPr>
            <w:r>
              <w:rPr>
                <w:rFonts w:hint="default" w:ascii="Arial" w:hAnsi="Arial" w:cs="Arial"/>
                <w:color w:val="auto"/>
                <w:sz w:val="24"/>
                <w:szCs w:val="24"/>
              </w:rPr>
              <w:t>Total Sales</w:t>
            </w:r>
          </w:p>
        </w:tc>
        <w:tc>
          <w:tcPr>
            <w:tcW w:w="4750" w:type="dxa"/>
          </w:tcPr>
          <w:p w14:paraId="2F2AA2C9">
            <w:pPr>
              <w:spacing w:line="360" w:lineRule="auto"/>
              <w:jc w:val="both"/>
              <w:rPr>
                <w:rFonts w:hint="default" w:ascii="Arial" w:hAnsi="Arial" w:cs="Arial"/>
                <w:color w:val="auto"/>
                <w:sz w:val="24"/>
                <w:szCs w:val="24"/>
              </w:rPr>
            </w:pPr>
            <w:r>
              <w:rPr>
                <w:rFonts w:hint="default" w:ascii="Arial" w:hAnsi="Arial" w:cs="Arial"/>
                <w:color w:val="auto"/>
                <w:sz w:val="24"/>
                <w:szCs w:val="24"/>
              </w:rPr>
              <w:t>$2,297,200.86</w:t>
            </w:r>
          </w:p>
        </w:tc>
      </w:tr>
      <w:tr w14:paraId="074CF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50" w:type="dxa"/>
          </w:tcPr>
          <w:p w14:paraId="22EB1A34">
            <w:pPr>
              <w:spacing w:line="360" w:lineRule="auto"/>
              <w:jc w:val="both"/>
              <w:rPr>
                <w:rFonts w:hint="default" w:ascii="Arial" w:hAnsi="Arial" w:cs="Arial"/>
                <w:color w:val="auto"/>
                <w:sz w:val="24"/>
                <w:szCs w:val="24"/>
              </w:rPr>
            </w:pPr>
            <w:r>
              <w:rPr>
                <w:rFonts w:hint="default" w:ascii="Arial" w:hAnsi="Arial" w:cs="Arial"/>
                <w:color w:val="auto"/>
                <w:sz w:val="24"/>
                <w:szCs w:val="24"/>
              </w:rPr>
              <w:t>Total Profit</w:t>
            </w:r>
          </w:p>
        </w:tc>
        <w:tc>
          <w:tcPr>
            <w:tcW w:w="4750" w:type="dxa"/>
          </w:tcPr>
          <w:p w14:paraId="6FF1711F">
            <w:pPr>
              <w:spacing w:line="360" w:lineRule="auto"/>
              <w:jc w:val="both"/>
              <w:rPr>
                <w:rFonts w:hint="default" w:ascii="Arial" w:hAnsi="Arial" w:cs="Arial"/>
                <w:color w:val="auto"/>
                <w:sz w:val="24"/>
                <w:szCs w:val="24"/>
              </w:rPr>
            </w:pPr>
            <w:r>
              <w:rPr>
                <w:rFonts w:hint="default" w:ascii="Arial" w:hAnsi="Arial" w:cs="Arial"/>
                <w:color w:val="auto"/>
                <w:sz w:val="24"/>
                <w:szCs w:val="24"/>
              </w:rPr>
              <w:t>$286,397.02</w:t>
            </w:r>
          </w:p>
        </w:tc>
      </w:tr>
      <w:tr w14:paraId="71B17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50" w:type="dxa"/>
          </w:tcPr>
          <w:p w14:paraId="49E29A81">
            <w:pPr>
              <w:spacing w:line="360" w:lineRule="auto"/>
              <w:jc w:val="both"/>
              <w:rPr>
                <w:rFonts w:hint="default" w:ascii="Arial" w:hAnsi="Arial" w:cs="Arial"/>
                <w:color w:val="auto"/>
                <w:sz w:val="24"/>
                <w:szCs w:val="24"/>
              </w:rPr>
            </w:pPr>
            <w:r>
              <w:rPr>
                <w:rFonts w:hint="default" w:ascii="Arial" w:hAnsi="Arial" w:cs="Arial"/>
                <w:color w:val="auto"/>
                <w:sz w:val="24"/>
                <w:szCs w:val="24"/>
              </w:rPr>
              <w:t>Overall Profit Margin</w:t>
            </w:r>
          </w:p>
        </w:tc>
        <w:tc>
          <w:tcPr>
            <w:tcW w:w="4750" w:type="dxa"/>
          </w:tcPr>
          <w:p w14:paraId="241D6838">
            <w:pPr>
              <w:spacing w:line="360" w:lineRule="auto"/>
              <w:jc w:val="both"/>
              <w:rPr>
                <w:rFonts w:hint="default" w:ascii="Arial" w:hAnsi="Arial" w:cs="Arial"/>
                <w:color w:val="auto"/>
                <w:sz w:val="24"/>
                <w:szCs w:val="24"/>
              </w:rPr>
            </w:pPr>
            <w:r>
              <w:rPr>
                <w:rFonts w:hint="default" w:ascii="Arial" w:hAnsi="Arial" w:cs="Arial"/>
                <w:color w:val="auto"/>
                <w:sz w:val="24"/>
                <w:szCs w:val="24"/>
              </w:rPr>
              <w:t>12.47%</w:t>
            </w:r>
          </w:p>
        </w:tc>
      </w:tr>
      <w:tr w14:paraId="01E49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50" w:type="dxa"/>
          </w:tcPr>
          <w:p w14:paraId="31F3B25A">
            <w:pPr>
              <w:spacing w:line="360" w:lineRule="auto"/>
              <w:jc w:val="both"/>
              <w:rPr>
                <w:rFonts w:hint="default" w:ascii="Arial" w:hAnsi="Arial" w:cs="Arial"/>
                <w:color w:val="auto"/>
                <w:sz w:val="24"/>
                <w:szCs w:val="24"/>
              </w:rPr>
            </w:pPr>
            <w:r>
              <w:rPr>
                <w:rFonts w:hint="default" w:ascii="Arial" w:hAnsi="Arial" w:cs="Arial"/>
                <w:color w:val="auto"/>
                <w:sz w:val="24"/>
                <w:szCs w:val="24"/>
              </w:rPr>
              <w:t>Total Orders</w:t>
            </w:r>
          </w:p>
        </w:tc>
        <w:tc>
          <w:tcPr>
            <w:tcW w:w="4750" w:type="dxa"/>
          </w:tcPr>
          <w:p w14:paraId="55C372F2">
            <w:pPr>
              <w:spacing w:line="360" w:lineRule="auto"/>
              <w:jc w:val="both"/>
              <w:rPr>
                <w:rFonts w:hint="default" w:ascii="Arial" w:hAnsi="Arial" w:cs="Arial"/>
                <w:color w:val="auto"/>
                <w:sz w:val="24"/>
                <w:szCs w:val="24"/>
              </w:rPr>
            </w:pPr>
            <w:r>
              <w:rPr>
                <w:rFonts w:hint="default" w:ascii="Arial" w:hAnsi="Arial" w:cs="Arial"/>
                <w:color w:val="auto"/>
                <w:sz w:val="24"/>
                <w:szCs w:val="24"/>
              </w:rPr>
              <w:t>5,009</w:t>
            </w:r>
          </w:p>
        </w:tc>
      </w:tr>
      <w:tr w14:paraId="32DE5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50" w:type="dxa"/>
          </w:tcPr>
          <w:p w14:paraId="1771FBC1">
            <w:pPr>
              <w:spacing w:line="360" w:lineRule="auto"/>
              <w:jc w:val="both"/>
              <w:rPr>
                <w:rFonts w:hint="default" w:ascii="Arial" w:hAnsi="Arial" w:cs="Arial"/>
                <w:color w:val="auto"/>
                <w:sz w:val="24"/>
                <w:szCs w:val="24"/>
              </w:rPr>
            </w:pPr>
            <w:r>
              <w:rPr>
                <w:rFonts w:hint="default" w:ascii="Arial" w:hAnsi="Arial" w:cs="Arial"/>
                <w:color w:val="auto"/>
                <w:sz w:val="24"/>
                <w:szCs w:val="24"/>
              </w:rPr>
              <w:t>Total Customers</w:t>
            </w:r>
          </w:p>
        </w:tc>
        <w:tc>
          <w:tcPr>
            <w:tcW w:w="4750" w:type="dxa"/>
          </w:tcPr>
          <w:p w14:paraId="525B7031">
            <w:pPr>
              <w:spacing w:line="360" w:lineRule="auto"/>
              <w:jc w:val="both"/>
              <w:rPr>
                <w:rFonts w:hint="default" w:ascii="Arial" w:hAnsi="Arial" w:cs="Arial"/>
                <w:color w:val="auto"/>
                <w:sz w:val="24"/>
                <w:szCs w:val="24"/>
              </w:rPr>
            </w:pPr>
            <w:r>
              <w:rPr>
                <w:rFonts w:hint="default" w:ascii="Arial" w:hAnsi="Arial" w:cs="Arial"/>
                <w:color w:val="auto"/>
                <w:sz w:val="24"/>
                <w:szCs w:val="24"/>
              </w:rPr>
              <w:t>793</w:t>
            </w:r>
          </w:p>
        </w:tc>
      </w:tr>
    </w:tbl>
    <w:p w14:paraId="1E4B70D1">
      <w:pPr>
        <w:spacing w:after="120" w:line="360" w:lineRule="auto"/>
        <w:jc w:val="both"/>
        <w:rPr>
          <w:rFonts w:hint="default" w:ascii="Arial" w:hAnsi="Arial" w:cs="Arial"/>
          <w:color w:val="auto"/>
          <w:sz w:val="24"/>
          <w:szCs w:val="24"/>
        </w:rPr>
      </w:pPr>
    </w:p>
    <w:p w14:paraId="734FCD96">
      <w:pPr>
        <w:pStyle w:val="3"/>
        <w:spacing w:before="220" w:after="100" w:line="360" w:lineRule="auto"/>
        <w:jc w:val="both"/>
        <w:rPr>
          <w:rFonts w:hint="default" w:ascii="Arial" w:hAnsi="Arial" w:cs="Arial"/>
          <w:color w:val="auto"/>
          <w:sz w:val="24"/>
          <w:szCs w:val="24"/>
        </w:rPr>
      </w:pPr>
      <w:r>
        <w:rPr>
          <w:rFonts w:hint="default" w:ascii="Arial" w:hAnsi="Arial" w:cs="Arial"/>
          <w:color w:val="auto"/>
          <w:sz w:val="24"/>
          <w:szCs w:val="24"/>
        </w:rPr>
        <w:t>2.2 Year-over-Year Performance</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900"/>
        <w:gridCol w:w="1900"/>
        <w:gridCol w:w="1900"/>
        <w:gridCol w:w="1900"/>
      </w:tblGrid>
      <w:tr w14:paraId="19315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900" w:type="dxa"/>
            <w:shd w:val="clear" w:color="auto" w:fill="000000" w:themeFill="text1"/>
          </w:tcPr>
          <w:p w14:paraId="5A36A201">
            <w:pPr>
              <w:spacing w:line="360" w:lineRule="auto"/>
              <w:jc w:val="both"/>
              <w:rPr>
                <w:rFonts w:hint="default" w:ascii="Arial" w:hAnsi="Arial" w:cs="Arial"/>
                <w:color w:val="auto"/>
                <w:sz w:val="24"/>
                <w:szCs w:val="24"/>
              </w:rPr>
            </w:pPr>
            <w:r>
              <w:rPr>
                <w:rFonts w:hint="default" w:ascii="Arial" w:hAnsi="Arial" w:cs="Arial"/>
                <w:b/>
                <w:bCs/>
                <w:color w:val="auto"/>
                <w:sz w:val="24"/>
                <w:szCs w:val="24"/>
              </w:rPr>
              <w:t>Year</w:t>
            </w:r>
          </w:p>
        </w:tc>
        <w:tc>
          <w:tcPr>
            <w:tcW w:w="1900" w:type="dxa"/>
            <w:shd w:val="clear" w:color="auto" w:fill="000000" w:themeFill="text1"/>
          </w:tcPr>
          <w:p w14:paraId="2EF8930D">
            <w:pPr>
              <w:spacing w:line="360" w:lineRule="auto"/>
              <w:jc w:val="both"/>
              <w:rPr>
                <w:rFonts w:hint="default" w:ascii="Arial" w:hAnsi="Arial" w:cs="Arial"/>
                <w:color w:val="auto"/>
                <w:sz w:val="24"/>
                <w:szCs w:val="24"/>
              </w:rPr>
            </w:pPr>
            <w:r>
              <w:rPr>
                <w:rFonts w:hint="default" w:ascii="Arial" w:hAnsi="Arial" w:cs="Arial"/>
                <w:b/>
                <w:bCs/>
                <w:color w:val="auto"/>
                <w:sz w:val="24"/>
                <w:szCs w:val="24"/>
              </w:rPr>
              <w:t>Sales</w:t>
            </w:r>
          </w:p>
        </w:tc>
        <w:tc>
          <w:tcPr>
            <w:tcW w:w="1900" w:type="dxa"/>
            <w:shd w:val="clear" w:color="auto" w:fill="000000" w:themeFill="text1"/>
          </w:tcPr>
          <w:p w14:paraId="04A59C45">
            <w:pPr>
              <w:spacing w:line="360" w:lineRule="auto"/>
              <w:jc w:val="both"/>
              <w:rPr>
                <w:rFonts w:hint="default" w:ascii="Arial" w:hAnsi="Arial" w:cs="Arial"/>
                <w:color w:val="auto"/>
                <w:sz w:val="24"/>
                <w:szCs w:val="24"/>
              </w:rPr>
            </w:pPr>
            <w:r>
              <w:rPr>
                <w:rFonts w:hint="default" w:ascii="Arial" w:hAnsi="Arial" w:cs="Arial"/>
                <w:b/>
                <w:bCs/>
                <w:color w:val="auto"/>
                <w:sz w:val="24"/>
                <w:szCs w:val="24"/>
              </w:rPr>
              <w:t>Profit</w:t>
            </w:r>
          </w:p>
        </w:tc>
        <w:tc>
          <w:tcPr>
            <w:tcW w:w="1900" w:type="dxa"/>
            <w:shd w:val="clear" w:color="auto" w:fill="000000" w:themeFill="text1"/>
          </w:tcPr>
          <w:p w14:paraId="79146950">
            <w:pPr>
              <w:spacing w:line="360" w:lineRule="auto"/>
              <w:jc w:val="both"/>
              <w:rPr>
                <w:rFonts w:hint="default" w:ascii="Arial" w:hAnsi="Arial" w:cs="Arial"/>
                <w:color w:val="auto"/>
                <w:sz w:val="24"/>
                <w:szCs w:val="24"/>
              </w:rPr>
            </w:pPr>
            <w:r>
              <w:rPr>
                <w:rFonts w:hint="default" w:ascii="Arial" w:hAnsi="Arial" w:cs="Arial"/>
                <w:b/>
                <w:bCs/>
                <w:color w:val="auto"/>
                <w:sz w:val="24"/>
                <w:szCs w:val="24"/>
              </w:rPr>
              <w:t>Sales Growth</w:t>
            </w:r>
          </w:p>
        </w:tc>
        <w:tc>
          <w:tcPr>
            <w:tcW w:w="1900" w:type="dxa"/>
            <w:shd w:val="clear" w:color="auto" w:fill="000000" w:themeFill="text1"/>
          </w:tcPr>
          <w:p w14:paraId="746E2FDD">
            <w:pPr>
              <w:spacing w:line="360" w:lineRule="auto"/>
              <w:jc w:val="both"/>
              <w:rPr>
                <w:rFonts w:hint="default" w:ascii="Arial" w:hAnsi="Arial" w:cs="Arial"/>
                <w:color w:val="auto"/>
                <w:sz w:val="24"/>
                <w:szCs w:val="24"/>
              </w:rPr>
            </w:pPr>
            <w:r>
              <w:rPr>
                <w:rFonts w:hint="default" w:ascii="Arial" w:hAnsi="Arial" w:cs="Arial"/>
                <w:b/>
                <w:bCs/>
                <w:color w:val="auto"/>
                <w:sz w:val="24"/>
                <w:szCs w:val="24"/>
              </w:rPr>
              <w:t>Profit Growth</w:t>
            </w:r>
          </w:p>
        </w:tc>
      </w:tr>
      <w:tr w14:paraId="6807F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454AE8D9">
            <w:pPr>
              <w:spacing w:line="360" w:lineRule="auto"/>
              <w:jc w:val="both"/>
              <w:rPr>
                <w:rFonts w:hint="default" w:ascii="Arial" w:hAnsi="Arial" w:cs="Arial"/>
                <w:color w:val="auto"/>
                <w:sz w:val="24"/>
                <w:szCs w:val="24"/>
              </w:rPr>
            </w:pPr>
            <w:r>
              <w:rPr>
                <w:rFonts w:hint="default" w:ascii="Arial" w:hAnsi="Arial" w:cs="Arial"/>
                <w:color w:val="auto"/>
                <w:sz w:val="24"/>
                <w:szCs w:val="24"/>
              </w:rPr>
              <w:t>2014</w:t>
            </w:r>
          </w:p>
        </w:tc>
        <w:tc>
          <w:tcPr>
            <w:tcW w:w="1900" w:type="dxa"/>
          </w:tcPr>
          <w:p w14:paraId="236DF167">
            <w:pPr>
              <w:spacing w:line="360" w:lineRule="auto"/>
              <w:jc w:val="both"/>
              <w:rPr>
                <w:rFonts w:hint="default" w:ascii="Arial" w:hAnsi="Arial" w:cs="Arial"/>
                <w:color w:val="auto"/>
                <w:sz w:val="24"/>
                <w:szCs w:val="24"/>
              </w:rPr>
            </w:pPr>
            <w:r>
              <w:rPr>
                <w:rFonts w:hint="default" w:ascii="Arial" w:hAnsi="Arial" w:cs="Arial"/>
                <w:color w:val="auto"/>
                <w:sz w:val="24"/>
                <w:szCs w:val="24"/>
              </w:rPr>
              <w:t>$484,247</w:t>
            </w:r>
          </w:p>
        </w:tc>
        <w:tc>
          <w:tcPr>
            <w:tcW w:w="1900" w:type="dxa"/>
          </w:tcPr>
          <w:p w14:paraId="41E21C5A">
            <w:pPr>
              <w:spacing w:line="360" w:lineRule="auto"/>
              <w:jc w:val="both"/>
              <w:rPr>
                <w:rFonts w:hint="default" w:ascii="Arial" w:hAnsi="Arial" w:cs="Arial"/>
                <w:color w:val="auto"/>
                <w:sz w:val="24"/>
                <w:szCs w:val="24"/>
              </w:rPr>
            </w:pPr>
            <w:r>
              <w:rPr>
                <w:rFonts w:hint="default" w:ascii="Arial" w:hAnsi="Arial" w:cs="Arial"/>
                <w:color w:val="auto"/>
                <w:sz w:val="24"/>
                <w:szCs w:val="24"/>
              </w:rPr>
              <w:t>$49,544</w:t>
            </w:r>
          </w:p>
        </w:tc>
        <w:tc>
          <w:tcPr>
            <w:tcW w:w="1900" w:type="dxa"/>
          </w:tcPr>
          <w:p w14:paraId="74B82D46">
            <w:pPr>
              <w:spacing w:line="360" w:lineRule="auto"/>
              <w:jc w:val="both"/>
              <w:rPr>
                <w:rFonts w:hint="default" w:ascii="Arial" w:hAnsi="Arial" w:cs="Arial"/>
                <w:color w:val="auto"/>
                <w:sz w:val="24"/>
                <w:szCs w:val="24"/>
              </w:rPr>
            </w:pPr>
            <w:r>
              <w:rPr>
                <w:rFonts w:hint="default" w:ascii="Arial" w:hAnsi="Arial" w:cs="Arial"/>
                <w:color w:val="auto"/>
                <w:sz w:val="24"/>
                <w:szCs w:val="24"/>
              </w:rPr>
              <w:t>—</w:t>
            </w:r>
          </w:p>
        </w:tc>
        <w:tc>
          <w:tcPr>
            <w:tcW w:w="1900" w:type="dxa"/>
          </w:tcPr>
          <w:p w14:paraId="77BA0CC5">
            <w:pPr>
              <w:spacing w:line="360" w:lineRule="auto"/>
              <w:jc w:val="both"/>
              <w:rPr>
                <w:rFonts w:hint="default" w:ascii="Arial" w:hAnsi="Arial" w:cs="Arial"/>
                <w:color w:val="auto"/>
                <w:sz w:val="24"/>
                <w:szCs w:val="24"/>
              </w:rPr>
            </w:pPr>
            <w:r>
              <w:rPr>
                <w:rFonts w:hint="default" w:ascii="Arial" w:hAnsi="Arial" w:cs="Arial"/>
                <w:color w:val="auto"/>
                <w:sz w:val="24"/>
                <w:szCs w:val="24"/>
              </w:rPr>
              <w:t>—</w:t>
            </w:r>
          </w:p>
        </w:tc>
      </w:tr>
      <w:tr w14:paraId="3E870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3F076C6D">
            <w:pPr>
              <w:spacing w:line="360" w:lineRule="auto"/>
              <w:jc w:val="both"/>
              <w:rPr>
                <w:rFonts w:hint="default" w:ascii="Arial" w:hAnsi="Arial" w:cs="Arial"/>
                <w:color w:val="auto"/>
                <w:sz w:val="24"/>
                <w:szCs w:val="24"/>
              </w:rPr>
            </w:pPr>
            <w:r>
              <w:rPr>
                <w:rFonts w:hint="default" w:ascii="Arial" w:hAnsi="Arial" w:cs="Arial"/>
                <w:color w:val="auto"/>
                <w:sz w:val="24"/>
                <w:szCs w:val="24"/>
              </w:rPr>
              <w:t>2015</w:t>
            </w:r>
          </w:p>
        </w:tc>
        <w:tc>
          <w:tcPr>
            <w:tcW w:w="1900" w:type="dxa"/>
          </w:tcPr>
          <w:p w14:paraId="21FBFA3A">
            <w:pPr>
              <w:spacing w:line="360" w:lineRule="auto"/>
              <w:jc w:val="both"/>
              <w:rPr>
                <w:rFonts w:hint="default" w:ascii="Arial" w:hAnsi="Arial" w:cs="Arial"/>
                <w:color w:val="auto"/>
                <w:sz w:val="24"/>
                <w:szCs w:val="24"/>
              </w:rPr>
            </w:pPr>
            <w:r>
              <w:rPr>
                <w:rFonts w:hint="default" w:ascii="Arial" w:hAnsi="Arial" w:cs="Arial"/>
                <w:color w:val="auto"/>
                <w:sz w:val="24"/>
                <w:szCs w:val="24"/>
              </w:rPr>
              <w:t>$470,533</w:t>
            </w:r>
          </w:p>
        </w:tc>
        <w:tc>
          <w:tcPr>
            <w:tcW w:w="1900" w:type="dxa"/>
          </w:tcPr>
          <w:p w14:paraId="4292875B">
            <w:pPr>
              <w:spacing w:line="360" w:lineRule="auto"/>
              <w:jc w:val="both"/>
              <w:rPr>
                <w:rFonts w:hint="default" w:ascii="Arial" w:hAnsi="Arial" w:cs="Arial"/>
                <w:color w:val="auto"/>
                <w:sz w:val="24"/>
                <w:szCs w:val="24"/>
              </w:rPr>
            </w:pPr>
            <w:r>
              <w:rPr>
                <w:rFonts w:hint="default" w:ascii="Arial" w:hAnsi="Arial" w:cs="Arial"/>
                <w:color w:val="auto"/>
                <w:sz w:val="24"/>
                <w:szCs w:val="24"/>
              </w:rPr>
              <w:t>$61,619</w:t>
            </w:r>
          </w:p>
        </w:tc>
        <w:tc>
          <w:tcPr>
            <w:tcW w:w="1900" w:type="dxa"/>
          </w:tcPr>
          <w:p w14:paraId="520B0942">
            <w:pPr>
              <w:spacing w:line="360" w:lineRule="auto"/>
              <w:jc w:val="both"/>
              <w:rPr>
                <w:rFonts w:hint="default" w:ascii="Arial" w:hAnsi="Arial" w:cs="Arial"/>
                <w:color w:val="auto"/>
                <w:sz w:val="24"/>
                <w:szCs w:val="24"/>
              </w:rPr>
            </w:pPr>
            <w:r>
              <w:rPr>
                <w:rFonts w:hint="default" w:ascii="Arial" w:hAnsi="Arial" w:cs="Arial"/>
                <w:color w:val="auto"/>
                <w:sz w:val="24"/>
                <w:szCs w:val="24"/>
              </w:rPr>
              <w:t>-2.8%</w:t>
            </w:r>
          </w:p>
        </w:tc>
        <w:tc>
          <w:tcPr>
            <w:tcW w:w="1900" w:type="dxa"/>
          </w:tcPr>
          <w:p w14:paraId="4DE291E0">
            <w:pPr>
              <w:spacing w:line="360" w:lineRule="auto"/>
              <w:jc w:val="both"/>
              <w:rPr>
                <w:rFonts w:hint="default" w:ascii="Arial" w:hAnsi="Arial" w:cs="Arial"/>
                <w:color w:val="auto"/>
                <w:sz w:val="24"/>
                <w:szCs w:val="24"/>
              </w:rPr>
            </w:pPr>
            <w:r>
              <w:rPr>
                <w:rFonts w:hint="default" w:ascii="Arial" w:hAnsi="Arial" w:cs="Arial"/>
                <w:color w:val="auto"/>
                <w:sz w:val="24"/>
                <w:szCs w:val="24"/>
              </w:rPr>
              <w:t>+24.4%</w:t>
            </w:r>
          </w:p>
        </w:tc>
      </w:tr>
      <w:tr w14:paraId="326AB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6D198857">
            <w:pPr>
              <w:spacing w:line="360" w:lineRule="auto"/>
              <w:jc w:val="both"/>
              <w:rPr>
                <w:rFonts w:hint="default" w:ascii="Arial" w:hAnsi="Arial" w:cs="Arial"/>
                <w:color w:val="auto"/>
                <w:sz w:val="24"/>
                <w:szCs w:val="24"/>
              </w:rPr>
            </w:pPr>
            <w:r>
              <w:rPr>
                <w:rFonts w:hint="default" w:ascii="Arial" w:hAnsi="Arial" w:cs="Arial"/>
                <w:color w:val="auto"/>
                <w:sz w:val="24"/>
                <w:szCs w:val="24"/>
              </w:rPr>
              <w:t>2016</w:t>
            </w:r>
          </w:p>
        </w:tc>
        <w:tc>
          <w:tcPr>
            <w:tcW w:w="1900" w:type="dxa"/>
          </w:tcPr>
          <w:p w14:paraId="23B2395E">
            <w:pPr>
              <w:spacing w:line="360" w:lineRule="auto"/>
              <w:jc w:val="both"/>
              <w:rPr>
                <w:rFonts w:hint="default" w:ascii="Arial" w:hAnsi="Arial" w:cs="Arial"/>
                <w:color w:val="auto"/>
                <w:sz w:val="24"/>
                <w:szCs w:val="24"/>
              </w:rPr>
            </w:pPr>
            <w:r>
              <w:rPr>
                <w:rFonts w:hint="default" w:ascii="Arial" w:hAnsi="Arial" w:cs="Arial"/>
                <w:color w:val="auto"/>
                <w:sz w:val="24"/>
                <w:szCs w:val="24"/>
              </w:rPr>
              <w:t>$609,206</w:t>
            </w:r>
          </w:p>
        </w:tc>
        <w:tc>
          <w:tcPr>
            <w:tcW w:w="1900" w:type="dxa"/>
          </w:tcPr>
          <w:p w14:paraId="5533ECF2">
            <w:pPr>
              <w:spacing w:line="360" w:lineRule="auto"/>
              <w:jc w:val="both"/>
              <w:rPr>
                <w:rFonts w:hint="default" w:ascii="Arial" w:hAnsi="Arial" w:cs="Arial"/>
                <w:color w:val="auto"/>
                <w:sz w:val="24"/>
                <w:szCs w:val="24"/>
              </w:rPr>
            </w:pPr>
            <w:r>
              <w:rPr>
                <w:rFonts w:hint="default" w:ascii="Arial" w:hAnsi="Arial" w:cs="Arial"/>
                <w:color w:val="auto"/>
                <w:sz w:val="24"/>
                <w:szCs w:val="24"/>
              </w:rPr>
              <w:t>$81,795</w:t>
            </w:r>
          </w:p>
        </w:tc>
        <w:tc>
          <w:tcPr>
            <w:tcW w:w="1900" w:type="dxa"/>
          </w:tcPr>
          <w:p w14:paraId="01B50CAF">
            <w:pPr>
              <w:spacing w:line="360" w:lineRule="auto"/>
              <w:jc w:val="both"/>
              <w:rPr>
                <w:rFonts w:hint="default" w:ascii="Arial" w:hAnsi="Arial" w:cs="Arial"/>
                <w:color w:val="auto"/>
                <w:sz w:val="24"/>
                <w:szCs w:val="24"/>
              </w:rPr>
            </w:pPr>
            <w:r>
              <w:rPr>
                <w:rFonts w:hint="default" w:ascii="Arial" w:hAnsi="Arial" w:cs="Arial"/>
                <w:color w:val="auto"/>
                <w:sz w:val="24"/>
                <w:szCs w:val="24"/>
              </w:rPr>
              <w:t>+29.5%</w:t>
            </w:r>
          </w:p>
        </w:tc>
        <w:tc>
          <w:tcPr>
            <w:tcW w:w="1900" w:type="dxa"/>
          </w:tcPr>
          <w:p w14:paraId="672C924F">
            <w:pPr>
              <w:spacing w:line="360" w:lineRule="auto"/>
              <w:jc w:val="both"/>
              <w:rPr>
                <w:rFonts w:hint="default" w:ascii="Arial" w:hAnsi="Arial" w:cs="Arial"/>
                <w:color w:val="auto"/>
                <w:sz w:val="24"/>
                <w:szCs w:val="24"/>
              </w:rPr>
            </w:pPr>
            <w:r>
              <w:rPr>
                <w:rFonts w:hint="default" w:ascii="Arial" w:hAnsi="Arial" w:cs="Arial"/>
                <w:color w:val="auto"/>
                <w:sz w:val="24"/>
                <w:szCs w:val="24"/>
              </w:rPr>
              <w:t>+32.7%</w:t>
            </w:r>
          </w:p>
        </w:tc>
      </w:tr>
      <w:tr w14:paraId="3E023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6B8FA8B9">
            <w:pPr>
              <w:spacing w:line="360" w:lineRule="auto"/>
              <w:jc w:val="both"/>
              <w:rPr>
                <w:rFonts w:hint="default" w:ascii="Arial" w:hAnsi="Arial" w:cs="Arial"/>
                <w:color w:val="auto"/>
                <w:sz w:val="24"/>
                <w:szCs w:val="24"/>
              </w:rPr>
            </w:pPr>
            <w:r>
              <w:rPr>
                <w:rFonts w:hint="default" w:ascii="Arial" w:hAnsi="Arial" w:cs="Arial"/>
                <w:color w:val="auto"/>
                <w:sz w:val="24"/>
                <w:szCs w:val="24"/>
              </w:rPr>
              <w:t>2017</w:t>
            </w:r>
          </w:p>
        </w:tc>
        <w:tc>
          <w:tcPr>
            <w:tcW w:w="1900" w:type="dxa"/>
          </w:tcPr>
          <w:p w14:paraId="3AAB5B8A">
            <w:pPr>
              <w:spacing w:line="360" w:lineRule="auto"/>
              <w:jc w:val="both"/>
              <w:rPr>
                <w:rFonts w:hint="default" w:ascii="Arial" w:hAnsi="Arial" w:cs="Arial"/>
                <w:color w:val="auto"/>
                <w:sz w:val="24"/>
                <w:szCs w:val="24"/>
              </w:rPr>
            </w:pPr>
            <w:r>
              <w:rPr>
                <w:rFonts w:hint="default" w:ascii="Arial" w:hAnsi="Arial" w:cs="Arial"/>
                <w:color w:val="auto"/>
                <w:sz w:val="24"/>
                <w:szCs w:val="24"/>
              </w:rPr>
              <w:t>$733,215</w:t>
            </w:r>
          </w:p>
        </w:tc>
        <w:tc>
          <w:tcPr>
            <w:tcW w:w="1900" w:type="dxa"/>
          </w:tcPr>
          <w:p w14:paraId="306478A3">
            <w:pPr>
              <w:spacing w:line="360" w:lineRule="auto"/>
              <w:jc w:val="both"/>
              <w:rPr>
                <w:rFonts w:hint="default" w:ascii="Arial" w:hAnsi="Arial" w:cs="Arial"/>
                <w:color w:val="auto"/>
                <w:sz w:val="24"/>
                <w:szCs w:val="24"/>
              </w:rPr>
            </w:pPr>
            <w:r>
              <w:rPr>
                <w:rFonts w:hint="default" w:ascii="Arial" w:hAnsi="Arial" w:cs="Arial"/>
                <w:color w:val="auto"/>
                <w:sz w:val="24"/>
                <w:szCs w:val="24"/>
              </w:rPr>
              <w:t>$93,439</w:t>
            </w:r>
          </w:p>
        </w:tc>
        <w:tc>
          <w:tcPr>
            <w:tcW w:w="1900" w:type="dxa"/>
          </w:tcPr>
          <w:p w14:paraId="60FBE7EB">
            <w:pPr>
              <w:spacing w:line="360" w:lineRule="auto"/>
              <w:jc w:val="both"/>
              <w:rPr>
                <w:rFonts w:hint="default" w:ascii="Arial" w:hAnsi="Arial" w:cs="Arial"/>
                <w:color w:val="auto"/>
                <w:sz w:val="24"/>
                <w:szCs w:val="24"/>
              </w:rPr>
            </w:pPr>
            <w:r>
              <w:rPr>
                <w:rFonts w:hint="default" w:ascii="Arial" w:hAnsi="Arial" w:cs="Arial"/>
                <w:color w:val="auto"/>
                <w:sz w:val="24"/>
                <w:szCs w:val="24"/>
              </w:rPr>
              <w:t>+20.4%</w:t>
            </w:r>
          </w:p>
        </w:tc>
        <w:tc>
          <w:tcPr>
            <w:tcW w:w="1900" w:type="dxa"/>
          </w:tcPr>
          <w:p w14:paraId="580F56F9">
            <w:pPr>
              <w:spacing w:line="360" w:lineRule="auto"/>
              <w:jc w:val="both"/>
              <w:rPr>
                <w:rFonts w:hint="default" w:ascii="Arial" w:hAnsi="Arial" w:cs="Arial"/>
                <w:color w:val="auto"/>
                <w:sz w:val="24"/>
                <w:szCs w:val="24"/>
              </w:rPr>
            </w:pPr>
            <w:r>
              <w:rPr>
                <w:rFonts w:hint="default" w:ascii="Arial" w:hAnsi="Arial" w:cs="Arial"/>
                <w:color w:val="auto"/>
                <w:sz w:val="24"/>
                <w:szCs w:val="24"/>
              </w:rPr>
              <w:t>+14.2%</w:t>
            </w:r>
          </w:p>
        </w:tc>
      </w:tr>
    </w:tbl>
    <w:p w14:paraId="13B87F4F">
      <w:pPr>
        <w:spacing w:after="120" w:line="360" w:lineRule="auto"/>
        <w:jc w:val="both"/>
        <w:rPr>
          <w:rFonts w:hint="default" w:ascii="Arial" w:hAnsi="Arial" w:cs="Arial"/>
          <w:color w:val="auto"/>
          <w:sz w:val="24"/>
          <w:szCs w:val="24"/>
        </w:rPr>
      </w:pPr>
      <w:r>
        <w:rPr>
          <w:rFonts w:hint="default" w:ascii="Arial" w:hAnsi="Arial" w:cs="Arial"/>
          <w:color w:val="auto"/>
          <w:sz w:val="24"/>
          <w:szCs w:val="24"/>
        </w:rPr>
        <w:t>Sales dipped slightly in 2015, but profit still grew that year — meaning each sale was more profitable on average. From 2016 onward, both sales and profit grew every year, though profit growth slowed in 2017 (+14.2%) even as sales kept growing strongly (+20.4%). Profit isn't quite keeping pace with sales anymore, which is worth watching.</w:t>
      </w:r>
    </w:p>
    <w:p w14:paraId="12DF5388">
      <w:pPr>
        <w:spacing w:after="120" w:line="360" w:lineRule="auto"/>
        <w:jc w:val="both"/>
        <w:rPr>
          <w:rFonts w:hint="default" w:ascii="Arial" w:hAnsi="Arial" w:cs="Arial"/>
          <w:color w:val="auto"/>
          <w:sz w:val="24"/>
          <w:szCs w:val="24"/>
        </w:rPr>
      </w:pPr>
    </w:p>
    <w:p w14:paraId="6AD374A3">
      <w:pPr>
        <w:pStyle w:val="3"/>
        <w:spacing w:before="220" w:after="100" w:line="360" w:lineRule="auto"/>
        <w:jc w:val="both"/>
        <w:rPr>
          <w:rFonts w:hint="default" w:ascii="Arial" w:hAnsi="Arial" w:cs="Arial"/>
          <w:color w:val="auto"/>
          <w:sz w:val="24"/>
          <w:szCs w:val="24"/>
        </w:rPr>
      </w:pPr>
      <w:r>
        <w:rPr>
          <w:rFonts w:hint="default" w:ascii="Arial" w:hAnsi="Arial" w:cs="Arial"/>
          <w:color w:val="auto"/>
          <w:sz w:val="24"/>
          <w:szCs w:val="24"/>
        </w:rPr>
        <w:t>2.3 Category &amp; Sub-Category Profitability</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5"/>
        <w:gridCol w:w="2375"/>
        <w:gridCol w:w="2375"/>
        <w:gridCol w:w="2375"/>
      </w:tblGrid>
      <w:tr w14:paraId="506CA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75" w:type="dxa"/>
            <w:shd w:val="clear" w:color="auto" w:fill="000000" w:themeFill="text1"/>
          </w:tcPr>
          <w:p w14:paraId="016AD219">
            <w:pPr>
              <w:spacing w:line="360" w:lineRule="auto"/>
              <w:jc w:val="both"/>
              <w:rPr>
                <w:rFonts w:hint="default" w:ascii="Arial" w:hAnsi="Arial" w:cs="Arial"/>
                <w:color w:val="auto"/>
                <w:sz w:val="24"/>
                <w:szCs w:val="24"/>
              </w:rPr>
            </w:pPr>
            <w:r>
              <w:rPr>
                <w:rFonts w:hint="default" w:ascii="Arial" w:hAnsi="Arial" w:cs="Arial"/>
                <w:b/>
                <w:bCs/>
                <w:color w:val="auto"/>
                <w:sz w:val="24"/>
                <w:szCs w:val="24"/>
              </w:rPr>
              <w:t>Category</w:t>
            </w:r>
          </w:p>
        </w:tc>
        <w:tc>
          <w:tcPr>
            <w:tcW w:w="2375" w:type="dxa"/>
            <w:shd w:val="clear" w:color="auto" w:fill="000000" w:themeFill="text1"/>
          </w:tcPr>
          <w:p w14:paraId="413D5766">
            <w:pPr>
              <w:spacing w:line="360" w:lineRule="auto"/>
              <w:jc w:val="both"/>
              <w:rPr>
                <w:rFonts w:hint="default" w:ascii="Arial" w:hAnsi="Arial" w:cs="Arial"/>
                <w:color w:val="auto"/>
                <w:sz w:val="24"/>
                <w:szCs w:val="24"/>
              </w:rPr>
            </w:pPr>
            <w:r>
              <w:rPr>
                <w:rFonts w:hint="default" w:ascii="Arial" w:hAnsi="Arial" w:cs="Arial"/>
                <w:b/>
                <w:bCs/>
                <w:color w:val="auto"/>
                <w:sz w:val="24"/>
                <w:szCs w:val="24"/>
              </w:rPr>
              <w:t>Sales</w:t>
            </w:r>
          </w:p>
        </w:tc>
        <w:tc>
          <w:tcPr>
            <w:tcW w:w="2375" w:type="dxa"/>
            <w:shd w:val="clear" w:color="auto" w:fill="000000" w:themeFill="text1"/>
          </w:tcPr>
          <w:p w14:paraId="77CD0B3A">
            <w:pPr>
              <w:spacing w:line="360" w:lineRule="auto"/>
              <w:jc w:val="both"/>
              <w:rPr>
                <w:rFonts w:hint="default" w:ascii="Arial" w:hAnsi="Arial" w:cs="Arial"/>
                <w:color w:val="auto"/>
                <w:sz w:val="24"/>
                <w:szCs w:val="24"/>
              </w:rPr>
            </w:pPr>
            <w:r>
              <w:rPr>
                <w:rFonts w:hint="default" w:ascii="Arial" w:hAnsi="Arial" w:cs="Arial"/>
                <w:b/>
                <w:bCs/>
                <w:color w:val="auto"/>
                <w:sz w:val="24"/>
                <w:szCs w:val="24"/>
              </w:rPr>
              <w:t>Profit</w:t>
            </w:r>
          </w:p>
        </w:tc>
        <w:tc>
          <w:tcPr>
            <w:tcW w:w="2375" w:type="dxa"/>
            <w:shd w:val="clear" w:color="auto" w:fill="000000" w:themeFill="text1"/>
          </w:tcPr>
          <w:p w14:paraId="3BC92520">
            <w:pPr>
              <w:spacing w:line="360" w:lineRule="auto"/>
              <w:jc w:val="both"/>
              <w:rPr>
                <w:rFonts w:hint="default" w:ascii="Arial" w:hAnsi="Arial" w:cs="Arial"/>
                <w:color w:val="auto"/>
                <w:sz w:val="24"/>
                <w:szCs w:val="24"/>
              </w:rPr>
            </w:pPr>
            <w:r>
              <w:rPr>
                <w:rFonts w:hint="default" w:ascii="Arial" w:hAnsi="Arial" w:cs="Arial"/>
                <w:b/>
                <w:bCs/>
                <w:color w:val="auto"/>
                <w:sz w:val="24"/>
                <w:szCs w:val="24"/>
              </w:rPr>
              <w:t>Margin</w:t>
            </w:r>
          </w:p>
        </w:tc>
      </w:tr>
      <w:tr w14:paraId="0775F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099EAA99">
            <w:pPr>
              <w:spacing w:line="360" w:lineRule="auto"/>
              <w:jc w:val="both"/>
              <w:rPr>
                <w:rFonts w:hint="default" w:ascii="Arial" w:hAnsi="Arial" w:cs="Arial"/>
                <w:color w:val="auto"/>
                <w:sz w:val="24"/>
                <w:szCs w:val="24"/>
              </w:rPr>
            </w:pPr>
            <w:r>
              <w:rPr>
                <w:rFonts w:hint="default" w:ascii="Arial" w:hAnsi="Arial" w:cs="Arial"/>
                <w:color w:val="auto"/>
                <w:sz w:val="24"/>
                <w:szCs w:val="24"/>
              </w:rPr>
              <w:t>Technology</w:t>
            </w:r>
          </w:p>
        </w:tc>
        <w:tc>
          <w:tcPr>
            <w:tcW w:w="2375" w:type="dxa"/>
          </w:tcPr>
          <w:p w14:paraId="47900D96">
            <w:pPr>
              <w:spacing w:line="360" w:lineRule="auto"/>
              <w:jc w:val="both"/>
              <w:rPr>
                <w:rFonts w:hint="default" w:ascii="Arial" w:hAnsi="Arial" w:cs="Arial"/>
                <w:color w:val="auto"/>
                <w:sz w:val="24"/>
                <w:szCs w:val="24"/>
              </w:rPr>
            </w:pPr>
            <w:r>
              <w:rPr>
                <w:rFonts w:hint="default" w:ascii="Arial" w:hAnsi="Arial" w:cs="Arial"/>
                <w:color w:val="auto"/>
                <w:sz w:val="24"/>
                <w:szCs w:val="24"/>
              </w:rPr>
              <w:t>$836,154</w:t>
            </w:r>
          </w:p>
        </w:tc>
        <w:tc>
          <w:tcPr>
            <w:tcW w:w="2375" w:type="dxa"/>
          </w:tcPr>
          <w:p w14:paraId="404E27DF">
            <w:pPr>
              <w:spacing w:line="360" w:lineRule="auto"/>
              <w:jc w:val="both"/>
              <w:rPr>
                <w:rFonts w:hint="default" w:ascii="Arial" w:hAnsi="Arial" w:cs="Arial"/>
                <w:color w:val="auto"/>
                <w:sz w:val="24"/>
                <w:szCs w:val="24"/>
              </w:rPr>
            </w:pPr>
            <w:r>
              <w:rPr>
                <w:rFonts w:hint="default" w:ascii="Arial" w:hAnsi="Arial" w:cs="Arial"/>
                <w:color w:val="auto"/>
                <w:sz w:val="24"/>
                <w:szCs w:val="24"/>
              </w:rPr>
              <w:t>$145,455</w:t>
            </w:r>
          </w:p>
        </w:tc>
        <w:tc>
          <w:tcPr>
            <w:tcW w:w="2375" w:type="dxa"/>
          </w:tcPr>
          <w:p w14:paraId="78CC64A4">
            <w:pPr>
              <w:spacing w:line="360" w:lineRule="auto"/>
              <w:jc w:val="both"/>
              <w:rPr>
                <w:rFonts w:hint="default" w:ascii="Arial" w:hAnsi="Arial" w:cs="Arial"/>
                <w:color w:val="auto"/>
                <w:sz w:val="24"/>
                <w:szCs w:val="24"/>
              </w:rPr>
            </w:pPr>
            <w:r>
              <w:rPr>
                <w:rFonts w:hint="default" w:ascii="Arial" w:hAnsi="Arial" w:cs="Arial"/>
                <w:color w:val="auto"/>
                <w:sz w:val="24"/>
                <w:szCs w:val="24"/>
              </w:rPr>
              <w:t>17.4%</w:t>
            </w:r>
          </w:p>
        </w:tc>
      </w:tr>
      <w:tr w14:paraId="7DC3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66DA1D7C">
            <w:pPr>
              <w:spacing w:line="360" w:lineRule="auto"/>
              <w:jc w:val="both"/>
              <w:rPr>
                <w:rFonts w:hint="default" w:ascii="Arial" w:hAnsi="Arial" w:cs="Arial"/>
                <w:color w:val="auto"/>
                <w:sz w:val="24"/>
                <w:szCs w:val="24"/>
              </w:rPr>
            </w:pPr>
            <w:r>
              <w:rPr>
                <w:rFonts w:hint="default" w:ascii="Arial" w:hAnsi="Arial" w:cs="Arial"/>
                <w:color w:val="auto"/>
                <w:sz w:val="24"/>
                <w:szCs w:val="24"/>
              </w:rPr>
              <w:t>Office Supplies</w:t>
            </w:r>
          </w:p>
        </w:tc>
        <w:tc>
          <w:tcPr>
            <w:tcW w:w="2375" w:type="dxa"/>
          </w:tcPr>
          <w:p w14:paraId="06AB2341">
            <w:pPr>
              <w:spacing w:line="360" w:lineRule="auto"/>
              <w:jc w:val="both"/>
              <w:rPr>
                <w:rFonts w:hint="default" w:ascii="Arial" w:hAnsi="Arial" w:cs="Arial"/>
                <w:color w:val="auto"/>
                <w:sz w:val="24"/>
                <w:szCs w:val="24"/>
              </w:rPr>
            </w:pPr>
            <w:r>
              <w:rPr>
                <w:rFonts w:hint="default" w:ascii="Arial" w:hAnsi="Arial" w:cs="Arial"/>
                <w:color w:val="auto"/>
                <w:sz w:val="24"/>
                <w:szCs w:val="24"/>
              </w:rPr>
              <w:t>$719,047</w:t>
            </w:r>
          </w:p>
        </w:tc>
        <w:tc>
          <w:tcPr>
            <w:tcW w:w="2375" w:type="dxa"/>
          </w:tcPr>
          <w:p w14:paraId="159AE4F1">
            <w:pPr>
              <w:spacing w:line="360" w:lineRule="auto"/>
              <w:jc w:val="both"/>
              <w:rPr>
                <w:rFonts w:hint="default" w:ascii="Arial" w:hAnsi="Arial" w:cs="Arial"/>
                <w:color w:val="auto"/>
                <w:sz w:val="24"/>
                <w:szCs w:val="24"/>
              </w:rPr>
            </w:pPr>
            <w:r>
              <w:rPr>
                <w:rFonts w:hint="default" w:ascii="Arial" w:hAnsi="Arial" w:cs="Arial"/>
                <w:color w:val="auto"/>
                <w:sz w:val="24"/>
                <w:szCs w:val="24"/>
              </w:rPr>
              <w:t>$122,491</w:t>
            </w:r>
          </w:p>
        </w:tc>
        <w:tc>
          <w:tcPr>
            <w:tcW w:w="2375" w:type="dxa"/>
          </w:tcPr>
          <w:p w14:paraId="5433AF12">
            <w:pPr>
              <w:spacing w:line="360" w:lineRule="auto"/>
              <w:jc w:val="both"/>
              <w:rPr>
                <w:rFonts w:hint="default" w:ascii="Arial" w:hAnsi="Arial" w:cs="Arial"/>
                <w:color w:val="auto"/>
                <w:sz w:val="24"/>
                <w:szCs w:val="24"/>
              </w:rPr>
            </w:pPr>
            <w:r>
              <w:rPr>
                <w:rFonts w:hint="default" w:ascii="Arial" w:hAnsi="Arial" w:cs="Arial"/>
                <w:color w:val="auto"/>
                <w:sz w:val="24"/>
                <w:szCs w:val="24"/>
              </w:rPr>
              <w:t>17.0%</w:t>
            </w:r>
          </w:p>
        </w:tc>
      </w:tr>
      <w:tr w14:paraId="28E3B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63536BC0">
            <w:pPr>
              <w:spacing w:line="360" w:lineRule="auto"/>
              <w:jc w:val="both"/>
              <w:rPr>
                <w:rFonts w:hint="default" w:ascii="Arial" w:hAnsi="Arial" w:cs="Arial"/>
                <w:color w:val="auto"/>
                <w:sz w:val="24"/>
                <w:szCs w:val="24"/>
              </w:rPr>
            </w:pPr>
            <w:r>
              <w:rPr>
                <w:rFonts w:hint="default" w:ascii="Arial" w:hAnsi="Arial" w:cs="Arial"/>
                <w:color w:val="auto"/>
                <w:sz w:val="24"/>
                <w:szCs w:val="24"/>
              </w:rPr>
              <w:t>Furniture</w:t>
            </w:r>
          </w:p>
        </w:tc>
        <w:tc>
          <w:tcPr>
            <w:tcW w:w="2375" w:type="dxa"/>
          </w:tcPr>
          <w:p w14:paraId="25586F23">
            <w:pPr>
              <w:spacing w:line="360" w:lineRule="auto"/>
              <w:jc w:val="both"/>
              <w:rPr>
                <w:rFonts w:hint="default" w:ascii="Arial" w:hAnsi="Arial" w:cs="Arial"/>
                <w:color w:val="auto"/>
                <w:sz w:val="24"/>
                <w:szCs w:val="24"/>
              </w:rPr>
            </w:pPr>
            <w:r>
              <w:rPr>
                <w:rFonts w:hint="default" w:ascii="Arial" w:hAnsi="Arial" w:cs="Arial"/>
                <w:color w:val="auto"/>
                <w:sz w:val="24"/>
                <w:szCs w:val="24"/>
              </w:rPr>
              <w:t>$741,999</w:t>
            </w:r>
          </w:p>
        </w:tc>
        <w:tc>
          <w:tcPr>
            <w:tcW w:w="2375" w:type="dxa"/>
          </w:tcPr>
          <w:p w14:paraId="7497DEE9">
            <w:pPr>
              <w:spacing w:line="360" w:lineRule="auto"/>
              <w:jc w:val="both"/>
              <w:rPr>
                <w:rFonts w:hint="default" w:ascii="Arial" w:hAnsi="Arial" w:cs="Arial"/>
                <w:color w:val="auto"/>
                <w:sz w:val="24"/>
                <w:szCs w:val="24"/>
              </w:rPr>
            </w:pPr>
            <w:r>
              <w:rPr>
                <w:rFonts w:hint="default" w:ascii="Arial" w:hAnsi="Arial" w:cs="Arial"/>
                <w:color w:val="auto"/>
                <w:sz w:val="24"/>
                <w:szCs w:val="24"/>
              </w:rPr>
              <w:t>$18,451</w:t>
            </w:r>
          </w:p>
        </w:tc>
        <w:tc>
          <w:tcPr>
            <w:tcW w:w="2375" w:type="dxa"/>
          </w:tcPr>
          <w:p w14:paraId="1A0EAAC7">
            <w:pPr>
              <w:spacing w:line="360" w:lineRule="auto"/>
              <w:jc w:val="both"/>
              <w:rPr>
                <w:rFonts w:hint="default" w:ascii="Arial" w:hAnsi="Arial" w:cs="Arial"/>
                <w:color w:val="auto"/>
                <w:sz w:val="24"/>
                <w:szCs w:val="24"/>
              </w:rPr>
            </w:pPr>
            <w:r>
              <w:rPr>
                <w:rFonts w:hint="default" w:ascii="Arial" w:hAnsi="Arial" w:cs="Arial"/>
                <w:color w:val="auto"/>
                <w:sz w:val="24"/>
                <w:szCs w:val="24"/>
              </w:rPr>
              <w:t>2.5%</w:t>
            </w:r>
          </w:p>
        </w:tc>
      </w:tr>
    </w:tbl>
    <w:p w14:paraId="6CA47600">
      <w:pPr>
        <w:spacing w:after="120" w:line="360" w:lineRule="auto"/>
        <w:jc w:val="both"/>
        <w:rPr>
          <w:rFonts w:hint="default" w:ascii="Arial" w:hAnsi="Arial" w:cs="Arial"/>
          <w:color w:val="auto"/>
          <w:sz w:val="24"/>
          <w:szCs w:val="24"/>
        </w:rPr>
      </w:pPr>
      <w:r>
        <w:rPr>
          <w:rFonts w:hint="default" w:ascii="Arial" w:hAnsi="Arial" w:cs="Arial"/>
          <w:color w:val="auto"/>
          <w:sz w:val="24"/>
          <w:szCs w:val="24"/>
        </w:rPr>
        <w:t>Breaking Furniture down by sub-category shows exactly where the problem sits: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5"/>
        <w:gridCol w:w="2375"/>
        <w:gridCol w:w="2375"/>
        <w:gridCol w:w="2375"/>
      </w:tblGrid>
      <w:tr w14:paraId="07E42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75" w:type="dxa"/>
            <w:shd w:val="clear" w:color="auto" w:fill="000000" w:themeFill="text1"/>
          </w:tcPr>
          <w:p w14:paraId="689FB539">
            <w:pPr>
              <w:spacing w:line="360" w:lineRule="auto"/>
              <w:jc w:val="both"/>
              <w:rPr>
                <w:rFonts w:hint="default" w:ascii="Arial" w:hAnsi="Arial" w:cs="Arial"/>
                <w:color w:val="auto"/>
                <w:sz w:val="24"/>
                <w:szCs w:val="24"/>
              </w:rPr>
            </w:pPr>
            <w:r>
              <w:rPr>
                <w:rFonts w:hint="default" w:ascii="Arial" w:hAnsi="Arial" w:cs="Arial"/>
                <w:b/>
                <w:bCs/>
                <w:color w:val="auto"/>
                <w:sz w:val="24"/>
                <w:szCs w:val="24"/>
              </w:rPr>
              <w:t>Sub-Category</w:t>
            </w:r>
          </w:p>
        </w:tc>
        <w:tc>
          <w:tcPr>
            <w:tcW w:w="2375" w:type="dxa"/>
            <w:shd w:val="clear" w:color="auto" w:fill="000000" w:themeFill="text1"/>
          </w:tcPr>
          <w:p w14:paraId="0ACAE3F2">
            <w:pPr>
              <w:spacing w:line="360" w:lineRule="auto"/>
              <w:jc w:val="both"/>
              <w:rPr>
                <w:rFonts w:hint="default" w:ascii="Arial" w:hAnsi="Arial" w:cs="Arial"/>
                <w:color w:val="auto"/>
                <w:sz w:val="24"/>
                <w:szCs w:val="24"/>
              </w:rPr>
            </w:pPr>
            <w:r>
              <w:rPr>
                <w:rFonts w:hint="default" w:ascii="Arial" w:hAnsi="Arial" w:cs="Arial"/>
                <w:b/>
                <w:bCs/>
                <w:color w:val="auto"/>
                <w:sz w:val="24"/>
                <w:szCs w:val="24"/>
              </w:rPr>
              <w:t>Sales</w:t>
            </w:r>
          </w:p>
        </w:tc>
        <w:tc>
          <w:tcPr>
            <w:tcW w:w="2375" w:type="dxa"/>
            <w:shd w:val="clear" w:color="auto" w:fill="000000" w:themeFill="text1"/>
          </w:tcPr>
          <w:p w14:paraId="5D8A1CE0">
            <w:pPr>
              <w:spacing w:line="360" w:lineRule="auto"/>
              <w:jc w:val="both"/>
              <w:rPr>
                <w:rFonts w:hint="default" w:ascii="Arial" w:hAnsi="Arial" w:cs="Arial"/>
                <w:color w:val="auto"/>
                <w:sz w:val="24"/>
                <w:szCs w:val="24"/>
              </w:rPr>
            </w:pPr>
            <w:r>
              <w:rPr>
                <w:rFonts w:hint="default" w:ascii="Arial" w:hAnsi="Arial" w:cs="Arial"/>
                <w:b/>
                <w:bCs/>
                <w:color w:val="auto"/>
                <w:sz w:val="24"/>
                <w:szCs w:val="24"/>
              </w:rPr>
              <w:t>Profit</w:t>
            </w:r>
          </w:p>
        </w:tc>
        <w:tc>
          <w:tcPr>
            <w:tcW w:w="2375" w:type="dxa"/>
            <w:shd w:val="clear" w:color="auto" w:fill="000000" w:themeFill="text1"/>
          </w:tcPr>
          <w:p w14:paraId="30100039">
            <w:pPr>
              <w:spacing w:line="360" w:lineRule="auto"/>
              <w:jc w:val="both"/>
              <w:rPr>
                <w:rFonts w:hint="default" w:ascii="Arial" w:hAnsi="Arial" w:cs="Arial"/>
                <w:color w:val="auto"/>
                <w:sz w:val="24"/>
                <w:szCs w:val="24"/>
              </w:rPr>
            </w:pPr>
            <w:r>
              <w:rPr>
                <w:rFonts w:hint="default" w:ascii="Arial" w:hAnsi="Arial" w:cs="Arial"/>
                <w:b/>
                <w:bCs/>
                <w:color w:val="auto"/>
                <w:sz w:val="24"/>
                <w:szCs w:val="24"/>
              </w:rPr>
              <w:t>Margin</w:t>
            </w:r>
          </w:p>
        </w:tc>
      </w:tr>
      <w:tr w14:paraId="4E79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086853AB">
            <w:pPr>
              <w:spacing w:line="360" w:lineRule="auto"/>
              <w:jc w:val="both"/>
              <w:rPr>
                <w:rFonts w:hint="default" w:ascii="Arial" w:hAnsi="Arial" w:cs="Arial"/>
                <w:color w:val="auto"/>
                <w:sz w:val="24"/>
                <w:szCs w:val="24"/>
              </w:rPr>
            </w:pPr>
            <w:r>
              <w:rPr>
                <w:rFonts w:hint="default" w:ascii="Arial" w:hAnsi="Arial" w:cs="Arial"/>
                <w:color w:val="auto"/>
                <w:sz w:val="24"/>
                <w:szCs w:val="24"/>
              </w:rPr>
              <w:t>Tables</w:t>
            </w:r>
          </w:p>
        </w:tc>
        <w:tc>
          <w:tcPr>
            <w:tcW w:w="2375" w:type="dxa"/>
          </w:tcPr>
          <w:p w14:paraId="1FBBA6A7">
            <w:pPr>
              <w:spacing w:line="360" w:lineRule="auto"/>
              <w:jc w:val="both"/>
              <w:rPr>
                <w:rFonts w:hint="default" w:ascii="Arial" w:hAnsi="Arial" w:cs="Arial"/>
                <w:color w:val="auto"/>
                <w:sz w:val="24"/>
                <w:szCs w:val="24"/>
              </w:rPr>
            </w:pPr>
            <w:r>
              <w:rPr>
                <w:rFonts w:hint="default" w:ascii="Arial" w:hAnsi="Arial" w:cs="Arial"/>
                <w:color w:val="auto"/>
                <w:sz w:val="24"/>
                <w:szCs w:val="24"/>
              </w:rPr>
              <w:t>$206,966</w:t>
            </w:r>
          </w:p>
        </w:tc>
        <w:tc>
          <w:tcPr>
            <w:tcW w:w="2375" w:type="dxa"/>
          </w:tcPr>
          <w:p w14:paraId="1D59E7E9">
            <w:pPr>
              <w:spacing w:line="360" w:lineRule="auto"/>
              <w:jc w:val="both"/>
              <w:rPr>
                <w:rFonts w:hint="default" w:ascii="Arial" w:hAnsi="Arial" w:cs="Arial"/>
                <w:color w:val="auto"/>
                <w:sz w:val="24"/>
                <w:szCs w:val="24"/>
              </w:rPr>
            </w:pPr>
            <w:r>
              <w:rPr>
                <w:rFonts w:hint="default" w:ascii="Arial" w:hAnsi="Arial" w:cs="Arial"/>
                <w:color w:val="auto"/>
                <w:sz w:val="24"/>
                <w:szCs w:val="24"/>
              </w:rPr>
              <w:t>-$17,725</w:t>
            </w:r>
          </w:p>
        </w:tc>
        <w:tc>
          <w:tcPr>
            <w:tcW w:w="2375" w:type="dxa"/>
          </w:tcPr>
          <w:p w14:paraId="39588C0A">
            <w:pPr>
              <w:spacing w:line="360" w:lineRule="auto"/>
              <w:jc w:val="both"/>
              <w:rPr>
                <w:rFonts w:hint="default" w:ascii="Arial" w:hAnsi="Arial" w:cs="Arial"/>
                <w:color w:val="auto"/>
                <w:sz w:val="24"/>
                <w:szCs w:val="24"/>
              </w:rPr>
            </w:pPr>
            <w:r>
              <w:rPr>
                <w:rFonts w:hint="default" w:ascii="Arial" w:hAnsi="Arial" w:cs="Arial"/>
                <w:color w:val="auto"/>
                <w:sz w:val="24"/>
                <w:szCs w:val="24"/>
              </w:rPr>
              <w:t>-8.6%</w:t>
            </w:r>
          </w:p>
        </w:tc>
      </w:tr>
      <w:tr w14:paraId="05DC2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203908A5">
            <w:pPr>
              <w:spacing w:line="360" w:lineRule="auto"/>
              <w:jc w:val="both"/>
              <w:rPr>
                <w:rFonts w:hint="default" w:ascii="Arial" w:hAnsi="Arial" w:cs="Arial"/>
                <w:color w:val="auto"/>
                <w:sz w:val="24"/>
                <w:szCs w:val="24"/>
              </w:rPr>
            </w:pPr>
            <w:r>
              <w:rPr>
                <w:rFonts w:hint="default" w:ascii="Arial" w:hAnsi="Arial" w:cs="Arial"/>
                <w:color w:val="auto"/>
                <w:sz w:val="24"/>
                <w:szCs w:val="24"/>
              </w:rPr>
              <w:t>Bookcases</w:t>
            </w:r>
          </w:p>
        </w:tc>
        <w:tc>
          <w:tcPr>
            <w:tcW w:w="2375" w:type="dxa"/>
          </w:tcPr>
          <w:p w14:paraId="7CD2F173">
            <w:pPr>
              <w:spacing w:line="360" w:lineRule="auto"/>
              <w:jc w:val="both"/>
              <w:rPr>
                <w:rFonts w:hint="default" w:ascii="Arial" w:hAnsi="Arial" w:cs="Arial"/>
                <w:color w:val="auto"/>
                <w:sz w:val="24"/>
                <w:szCs w:val="24"/>
              </w:rPr>
            </w:pPr>
            <w:r>
              <w:rPr>
                <w:rFonts w:hint="default" w:ascii="Arial" w:hAnsi="Arial" w:cs="Arial"/>
                <w:color w:val="auto"/>
                <w:sz w:val="24"/>
                <w:szCs w:val="24"/>
              </w:rPr>
              <w:t>$114,880</w:t>
            </w:r>
          </w:p>
        </w:tc>
        <w:tc>
          <w:tcPr>
            <w:tcW w:w="2375" w:type="dxa"/>
          </w:tcPr>
          <w:p w14:paraId="1855B805">
            <w:pPr>
              <w:spacing w:line="360" w:lineRule="auto"/>
              <w:jc w:val="both"/>
              <w:rPr>
                <w:rFonts w:hint="default" w:ascii="Arial" w:hAnsi="Arial" w:cs="Arial"/>
                <w:color w:val="auto"/>
                <w:sz w:val="24"/>
                <w:szCs w:val="24"/>
              </w:rPr>
            </w:pPr>
            <w:r>
              <w:rPr>
                <w:rFonts w:hint="default" w:ascii="Arial" w:hAnsi="Arial" w:cs="Arial"/>
                <w:color w:val="auto"/>
                <w:sz w:val="24"/>
                <w:szCs w:val="24"/>
              </w:rPr>
              <w:t>-$3,473</w:t>
            </w:r>
          </w:p>
        </w:tc>
        <w:tc>
          <w:tcPr>
            <w:tcW w:w="2375" w:type="dxa"/>
          </w:tcPr>
          <w:p w14:paraId="00ED0328">
            <w:pPr>
              <w:spacing w:line="360" w:lineRule="auto"/>
              <w:jc w:val="both"/>
              <w:rPr>
                <w:rFonts w:hint="default" w:ascii="Arial" w:hAnsi="Arial" w:cs="Arial"/>
                <w:color w:val="auto"/>
                <w:sz w:val="24"/>
                <w:szCs w:val="24"/>
              </w:rPr>
            </w:pPr>
            <w:r>
              <w:rPr>
                <w:rFonts w:hint="default" w:ascii="Arial" w:hAnsi="Arial" w:cs="Arial"/>
                <w:color w:val="auto"/>
                <w:sz w:val="24"/>
                <w:szCs w:val="24"/>
              </w:rPr>
              <w:t>-3.0%</w:t>
            </w:r>
          </w:p>
        </w:tc>
      </w:tr>
      <w:tr w14:paraId="05E6C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0C0C6818">
            <w:pPr>
              <w:spacing w:line="360" w:lineRule="auto"/>
              <w:jc w:val="both"/>
              <w:rPr>
                <w:rFonts w:hint="default" w:ascii="Arial" w:hAnsi="Arial" w:cs="Arial"/>
                <w:color w:val="auto"/>
                <w:sz w:val="24"/>
                <w:szCs w:val="24"/>
              </w:rPr>
            </w:pPr>
            <w:r>
              <w:rPr>
                <w:rFonts w:hint="default" w:ascii="Arial" w:hAnsi="Arial" w:cs="Arial"/>
                <w:color w:val="auto"/>
                <w:sz w:val="24"/>
                <w:szCs w:val="24"/>
              </w:rPr>
              <w:t>Furnishings</w:t>
            </w:r>
          </w:p>
        </w:tc>
        <w:tc>
          <w:tcPr>
            <w:tcW w:w="2375" w:type="dxa"/>
          </w:tcPr>
          <w:p w14:paraId="48D5A6B9">
            <w:pPr>
              <w:spacing w:line="360" w:lineRule="auto"/>
              <w:jc w:val="both"/>
              <w:rPr>
                <w:rFonts w:hint="default" w:ascii="Arial" w:hAnsi="Arial" w:cs="Arial"/>
                <w:color w:val="auto"/>
                <w:sz w:val="24"/>
                <w:szCs w:val="24"/>
              </w:rPr>
            </w:pPr>
            <w:r>
              <w:rPr>
                <w:rFonts w:hint="default" w:ascii="Arial" w:hAnsi="Arial" w:cs="Arial"/>
                <w:color w:val="auto"/>
                <w:sz w:val="24"/>
                <w:szCs w:val="24"/>
              </w:rPr>
              <w:t>$91,705</w:t>
            </w:r>
          </w:p>
        </w:tc>
        <w:tc>
          <w:tcPr>
            <w:tcW w:w="2375" w:type="dxa"/>
          </w:tcPr>
          <w:p w14:paraId="079C54E1">
            <w:pPr>
              <w:spacing w:line="360" w:lineRule="auto"/>
              <w:jc w:val="both"/>
              <w:rPr>
                <w:rFonts w:hint="default" w:ascii="Arial" w:hAnsi="Arial" w:cs="Arial"/>
                <w:color w:val="auto"/>
                <w:sz w:val="24"/>
                <w:szCs w:val="24"/>
              </w:rPr>
            </w:pPr>
            <w:r>
              <w:rPr>
                <w:rFonts w:hint="default" w:ascii="Arial" w:hAnsi="Arial" w:cs="Arial"/>
                <w:color w:val="auto"/>
                <w:sz w:val="24"/>
                <w:szCs w:val="24"/>
              </w:rPr>
              <w:t>$13,059</w:t>
            </w:r>
          </w:p>
        </w:tc>
        <w:tc>
          <w:tcPr>
            <w:tcW w:w="2375" w:type="dxa"/>
          </w:tcPr>
          <w:p w14:paraId="2C08C5DF">
            <w:pPr>
              <w:spacing w:line="360" w:lineRule="auto"/>
              <w:jc w:val="both"/>
              <w:rPr>
                <w:rFonts w:hint="default" w:ascii="Arial" w:hAnsi="Arial" w:cs="Arial"/>
                <w:color w:val="auto"/>
                <w:sz w:val="24"/>
                <w:szCs w:val="24"/>
              </w:rPr>
            </w:pPr>
            <w:r>
              <w:rPr>
                <w:rFonts w:hint="default" w:ascii="Arial" w:hAnsi="Arial" w:cs="Arial"/>
                <w:color w:val="auto"/>
                <w:sz w:val="24"/>
                <w:szCs w:val="24"/>
              </w:rPr>
              <w:t>14.2%</w:t>
            </w:r>
          </w:p>
        </w:tc>
      </w:tr>
      <w:tr w14:paraId="1289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470BDB40">
            <w:pPr>
              <w:spacing w:line="360" w:lineRule="auto"/>
              <w:jc w:val="both"/>
              <w:rPr>
                <w:rFonts w:hint="default" w:ascii="Arial" w:hAnsi="Arial" w:cs="Arial"/>
                <w:color w:val="auto"/>
                <w:sz w:val="24"/>
                <w:szCs w:val="24"/>
              </w:rPr>
            </w:pPr>
            <w:r>
              <w:rPr>
                <w:rFonts w:hint="default" w:ascii="Arial" w:hAnsi="Arial" w:cs="Arial"/>
                <w:color w:val="auto"/>
                <w:sz w:val="24"/>
                <w:szCs w:val="24"/>
              </w:rPr>
              <w:t>Chairs</w:t>
            </w:r>
          </w:p>
        </w:tc>
        <w:tc>
          <w:tcPr>
            <w:tcW w:w="2375" w:type="dxa"/>
          </w:tcPr>
          <w:p w14:paraId="45A174DB">
            <w:pPr>
              <w:spacing w:line="360" w:lineRule="auto"/>
              <w:jc w:val="both"/>
              <w:rPr>
                <w:rFonts w:hint="default" w:ascii="Arial" w:hAnsi="Arial" w:cs="Arial"/>
                <w:color w:val="auto"/>
                <w:sz w:val="24"/>
                <w:szCs w:val="24"/>
              </w:rPr>
            </w:pPr>
            <w:r>
              <w:rPr>
                <w:rFonts w:hint="default" w:ascii="Arial" w:hAnsi="Arial" w:cs="Arial"/>
                <w:color w:val="auto"/>
                <w:sz w:val="24"/>
                <w:szCs w:val="24"/>
              </w:rPr>
              <w:t>$328,449</w:t>
            </w:r>
          </w:p>
        </w:tc>
        <w:tc>
          <w:tcPr>
            <w:tcW w:w="2375" w:type="dxa"/>
          </w:tcPr>
          <w:p w14:paraId="00A77553">
            <w:pPr>
              <w:spacing w:line="360" w:lineRule="auto"/>
              <w:jc w:val="both"/>
              <w:rPr>
                <w:rFonts w:hint="default" w:ascii="Arial" w:hAnsi="Arial" w:cs="Arial"/>
                <w:color w:val="auto"/>
                <w:sz w:val="24"/>
                <w:szCs w:val="24"/>
              </w:rPr>
            </w:pPr>
            <w:r>
              <w:rPr>
                <w:rFonts w:hint="default" w:ascii="Arial" w:hAnsi="Arial" w:cs="Arial"/>
                <w:color w:val="auto"/>
                <w:sz w:val="24"/>
                <w:szCs w:val="24"/>
              </w:rPr>
              <w:t>$26,590</w:t>
            </w:r>
          </w:p>
        </w:tc>
        <w:tc>
          <w:tcPr>
            <w:tcW w:w="2375" w:type="dxa"/>
          </w:tcPr>
          <w:p w14:paraId="0F09B311">
            <w:pPr>
              <w:spacing w:line="360" w:lineRule="auto"/>
              <w:jc w:val="both"/>
              <w:rPr>
                <w:rFonts w:hint="default" w:ascii="Arial" w:hAnsi="Arial" w:cs="Arial"/>
                <w:color w:val="auto"/>
                <w:sz w:val="24"/>
                <w:szCs w:val="24"/>
              </w:rPr>
            </w:pPr>
            <w:r>
              <w:rPr>
                <w:rFonts w:hint="default" w:ascii="Arial" w:hAnsi="Arial" w:cs="Arial"/>
                <w:color w:val="auto"/>
                <w:sz w:val="24"/>
                <w:szCs w:val="24"/>
              </w:rPr>
              <w:t>8.1%</w:t>
            </w:r>
          </w:p>
        </w:tc>
      </w:tr>
    </w:tbl>
    <w:p w14:paraId="7F68826C">
      <w:pPr>
        <w:spacing w:after="120" w:line="360" w:lineRule="auto"/>
        <w:jc w:val="both"/>
        <w:rPr>
          <w:rFonts w:hint="default" w:ascii="Arial" w:hAnsi="Arial" w:cs="Arial"/>
          <w:color w:val="auto"/>
          <w:sz w:val="24"/>
          <w:szCs w:val="24"/>
        </w:rPr>
      </w:pPr>
      <w:r>
        <w:rPr>
          <w:rFonts w:hint="default" w:ascii="Arial" w:hAnsi="Arial" w:cs="Arial"/>
          <w:color w:val="auto"/>
          <w:sz w:val="24"/>
          <w:szCs w:val="24"/>
        </w:rPr>
        <w:t>Tables and Bookcases are actively losing money — they're the whole reason Furniture's overall margin is so low. Chairs and Furnishings are both fine on their own.</w:t>
      </w:r>
    </w:p>
    <w:p w14:paraId="3550A3BA">
      <w:pPr>
        <w:pStyle w:val="3"/>
        <w:spacing w:before="220" w:after="100" w:line="360" w:lineRule="auto"/>
        <w:jc w:val="both"/>
        <w:rPr>
          <w:rFonts w:hint="default" w:ascii="Arial" w:hAnsi="Arial" w:cs="Arial"/>
          <w:color w:val="auto"/>
          <w:sz w:val="24"/>
          <w:szCs w:val="24"/>
        </w:rPr>
      </w:pPr>
      <w:r>
        <w:rPr>
          <w:rFonts w:hint="default" w:ascii="Arial" w:hAnsi="Arial" w:cs="Arial"/>
          <w:color w:val="auto"/>
          <w:sz w:val="24"/>
          <w:szCs w:val="24"/>
        </w:rPr>
        <w:t>2.4 Regional &amp; State Performance</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5"/>
        <w:gridCol w:w="2375"/>
        <w:gridCol w:w="2375"/>
        <w:gridCol w:w="2375"/>
      </w:tblGrid>
      <w:tr w14:paraId="0AD0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75" w:type="dxa"/>
            <w:shd w:val="clear" w:color="auto" w:fill="000000" w:themeFill="text1"/>
          </w:tcPr>
          <w:p w14:paraId="04AE2C3E">
            <w:pPr>
              <w:spacing w:line="360" w:lineRule="auto"/>
              <w:jc w:val="both"/>
              <w:rPr>
                <w:rFonts w:hint="default" w:ascii="Arial" w:hAnsi="Arial" w:cs="Arial"/>
                <w:color w:val="auto"/>
                <w:sz w:val="24"/>
                <w:szCs w:val="24"/>
              </w:rPr>
            </w:pPr>
            <w:r>
              <w:rPr>
                <w:rFonts w:hint="default" w:ascii="Arial" w:hAnsi="Arial" w:cs="Arial"/>
                <w:b/>
                <w:bCs/>
                <w:color w:val="auto"/>
                <w:sz w:val="24"/>
                <w:szCs w:val="24"/>
              </w:rPr>
              <w:t>Region</w:t>
            </w:r>
          </w:p>
        </w:tc>
        <w:tc>
          <w:tcPr>
            <w:tcW w:w="2375" w:type="dxa"/>
            <w:shd w:val="clear" w:color="auto" w:fill="000000" w:themeFill="text1"/>
          </w:tcPr>
          <w:p w14:paraId="08EB84A5">
            <w:pPr>
              <w:spacing w:line="360" w:lineRule="auto"/>
              <w:jc w:val="both"/>
              <w:rPr>
                <w:rFonts w:hint="default" w:ascii="Arial" w:hAnsi="Arial" w:cs="Arial"/>
                <w:color w:val="auto"/>
                <w:sz w:val="24"/>
                <w:szCs w:val="24"/>
              </w:rPr>
            </w:pPr>
            <w:r>
              <w:rPr>
                <w:rFonts w:hint="default" w:ascii="Arial" w:hAnsi="Arial" w:cs="Arial"/>
                <w:b/>
                <w:bCs/>
                <w:color w:val="auto"/>
                <w:sz w:val="24"/>
                <w:szCs w:val="24"/>
              </w:rPr>
              <w:t>Sales</w:t>
            </w:r>
          </w:p>
        </w:tc>
        <w:tc>
          <w:tcPr>
            <w:tcW w:w="2375" w:type="dxa"/>
            <w:shd w:val="clear" w:color="auto" w:fill="000000" w:themeFill="text1"/>
          </w:tcPr>
          <w:p w14:paraId="031DA95E">
            <w:pPr>
              <w:spacing w:line="360" w:lineRule="auto"/>
              <w:jc w:val="both"/>
              <w:rPr>
                <w:rFonts w:hint="default" w:ascii="Arial" w:hAnsi="Arial" w:cs="Arial"/>
                <w:color w:val="auto"/>
                <w:sz w:val="24"/>
                <w:szCs w:val="24"/>
              </w:rPr>
            </w:pPr>
            <w:r>
              <w:rPr>
                <w:rFonts w:hint="default" w:ascii="Arial" w:hAnsi="Arial" w:cs="Arial"/>
                <w:b/>
                <w:bCs/>
                <w:color w:val="auto"/>
                <w:sz w:val="24"/>
                <w:szCs w:val="24"/>
              </w:rPr>
              <w:t>Profit</w:t>
            </w:r>
          </w:p>
        </w:tc>
        <w:tc>
          <w:tcPr>
            <w:tcW w:w="2375" w:type="dxa"/>
            <w:shd w:val="clear" w:color="auto" w:fill="000000" w:themeFill="text1"/>
          </w:tcPr>
          <w:p w14:paraId="140FFEB7">
            <w:pPr>
              <w:spacing w:line="360" w:lineRule="auto"/>
              <w:jc w:val="both"/>
              <w:rPr>
                <w:rFonts w:hint="default" w:ascii="Arial" w:hAnsi="Arial" w:cs="Arial"/>
                <w:color w:val="auto"/>
                <w:sz w:val="24"/>
                <w:szCs w:val="24"/>
              </w:rPr>
            </w:pPr>
            <w:r>
              <w:rPr>
                <w:rFonts w:hint="default" w:ascii="Arial" w:hAnsi="Arial" w:cs="Arial"/>
                <w:b/>
                <w:bCs/>
                <w:color w:val="auto"/>
                <w:sz w:val="24"/>
                <w:szCs w:val="24"/>
              </w:rPr>
              <w:t>Margin</w:t>
            </w:r>
          </w:p>
        </w:tc>
      </w:tr>
      <w:tr w14:paraId="0EF0D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0052CF89">
            <w:pPr>
              <w:spacing w:line="360" w:lineRule="auto"/>
              <w:jc w:val="both"/>
              <w:rPr>
                <w:rFonts w:hint="default" w:ascii="Arial" w:hAnsi="Arial" w:cs="Arial"/>
                <w:color w:val="auto"/>
                <w:sz w:val="24"/>
                <w:szCs w:val="24"/>
              </w:rPr>
            </w:pPr>
            <w:r>
              <w:rPr>
                <w:rFonts w:hint="default" w:ascii="Arial" w:hAnsi="Arial" w:cs="Arial"/>
                <w:color w:val="auto"/>
                <w:sz w:val="24"/>
                <w:szCs w:val="24"/>
              </w:rPr>
              <w:t>West</w:t>
            </w:r>
          </w:p>
        </w:tc>
        <w:tc>
          <w:tcPr>
            <w:tcW w:w="2375" w:type="dxa"/>
          </w:tcPr>
          <w:p w14:paraId="1920F3D8">
            <w:pPr>
              <w:spacing w:line="360" w:lineRule="auto"/>
              <w:jc w:val="both"/>
              <w:rPr>
                <w:rFonts w:hint="default" w:ascii="Arial" w:hAnsi="Arial" w:cs="Arial"/>
                <w:color w:val="auto"/>
                <w:sz w:val="24"/>
                <w:szCs w:val="24"/>
              </w:rPr>
            </w:pPr>
            <w:r>
              <w:rPr>
                <w:rFonts w:hint="default" w:ascii="Arial" w:hAnsi="Arial" w:cs="Arial"/>
                <w:color w:val="auto"/>
                <w:sz w:val="24"/>
                <w:szCs w:val="24"/>
              </w:rPr>
              <w:t>$725,458</w:t>
            </w:r>
          </w:p>
        </w:tc>
        <w:tc>
          <w:tcPr>
            <w:tcW w:w="2375" w:type="dxa"/>
          </w:tcPr>
          <w:p w14:paraId="54C99E7D">
            <w:pPr>
              <w:spacing w:line="360" w:lineRule="auto"/>
              <w:jc w:val="both"/>
              <w:rPr>
                <w:rFonts w:hint="default" w:ascii="Arial" w:hAnsi="Arial" w:cs="Arial"/>
                <w:color w:val="auto"/>
                <w:sz w:val="24"/>
                <w:szCs w:val="24"/>
              </w:rPr>
            </w:pPr>
            <w:r>
              <w:rPr>
                <w:rFonts w:hint="default" w:ascii="Arial" w:hAnsi="Arial" w:cs="Arial"/>
                <w:color w:val="auto"/>
                <w:sz w:val="24"/>
                <w:szCs w:val="24"/>
              </w:rPr>
              <w:t>$108,418</w:t>
            </w:r>
          </w:p>
        </w:tc>
        <w:tc>
          <w:tcPr>
            <w:tcW w:w="2375" w:type="dxa"/>
          </w:tcPr>
          <w:p w14:paraId="76E878E0">
            <w:pPr>
              <w:spacing w:line="360" w:lineRule="auto"/>
              <w:jc w:val="both"/>
              <w:rPr>
                <w:rFonts w:hint="default" w:ascii="Arial" w:hAnsi="Arial" w:cs="Arial"/>
                <w:color w:val="auto"/>
                <w:sz w:val="24"/>
                <w:szCs w:val="24"/>
              </w:rPr>
            </w:pPr>
            <w:r>
              <w:rPr>
                <w:rFonts w:hint="default" w:ascii="Arial" w:hAnsi="Arial" w:cs="Arial"/>
                <w:color w:val="auto"/>
                <w:sz w:val="24"/>
                <w:szCs w:val="24"/>
              </w:rPr>
              <w:t>14.9%</w:t>
            </w:r>
          </w:p>
        </w:tc>
      </w:tr>
      <w:tr w14:paraId="16CA8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2E245EBB">
            <w:pPr>
              <w:spacing w:line="360" w:lineRule="auto"/>
              <w:jc w:val="both"/>
              <w:rPr>
                <w:rFonts w:hint="default" w:ascii="Arial" w:hAnsi="Arial" w:cs="Arial"/>
                <w:color w:val="auto"/>
                <w:sz w:val="24"/>
                <w:szCs w:val="24"/>
              </w:rPr>
            </w:pPr>
            <w:r>
              <w:rPr>
                <w:rFonts w:hint="default" w:ascii="Arial" w:hAnsi="Arial" w:cs="Arial"/>
                <w:color w:val="auto"/>
                <w:sz w:val="24"/>
                <w:szCs w:val="24"/>
              </w:rPr>
              <w:t>East</w:t>
            </w:r>
          </w:p>
        </w:tc>
        <w:tc>
          <w:tcPr>
            <w:tcW w:w="2375" w:type="dxa"/>
          </w:tcPr>
          <w:p w14:paraId="2FF12BF0">
            <w:pPr>
              <w:spacing w:line="360" w:lineRule="auto"/>
              <w:jc w:val="both"/>
              <w:rPr>
                <w:rFonts w:hint="default" w:ascii="Arial" w:hAnsi="Arial" w:cs="Arial"/>
                <w:color w:val="auto"/>
                <w:sz w:val="24"/>
                <w:szCs w:val="24"/>
              </w:rPr>
            </w:pPr>
            <w:r>
              <w:rPr>
                <w:rFonts w:hint="default" w:ascii="Arial" w:hAnsi="Arial" w:cs="Arial"/>
                <w:color w:val="auto"/>
                <w:sz w:val="24"/>
                <w:szCs w:val="24"/>
              </w:rPr>
              <w:t>$678,781</w:t>
            </w:r>
          </w:p>
        </w:tc>
        <w:tc>
          <w:tcPr>
            <w:tcW w:w="2375" w:type="dxa"/>
          </w:tcPr>
          <w:p w14:paraId="140E19B4">
            <w:pPr>
              <w:spacing w:line="360" w:lineRule="auto"/>
              <w:jc w:val="both"/>
              <w:rPr>
                <w:rFonts w:hint="default" w:ascii="Arial" w:hAnsi="Arial" w:cs="Arial"/>
                <w:color w:val="auto"/>
                <w:sz w:val="24"/>
                <w:szCs w:val="24"/>
              </w:rPr>
            </w:pPr>
            <w:r>
              <w:rPr>
                <w:rFonts w:hint="default" w:ascii="Arial" w:hAnsi="Arial" w:cs="Arial"/>
                <w:color w:val="auto"/>
                <w:sz w:val="24"/>
                <w:szCs w:val="24"/>
              </w:rPr>
              <w:t>$91,523</w:t>
            </w:r>
          </w:p>
        </w:tc>
        <w:tc>
          <w:tcPr>
            <w:tcW w:w="2375" w:type="dxa"/>
          </w:tcPr>
          <w:p w14:paraId="31662014">
            <w:pPr>
              <w:spacing w:line="360" w:lineRule="auto"/>
              <w:jc w:val="both"/>
              <w:rPr>
                <w:rFonts w:hint="default" w:ascii="Arial" w:hAnsi="Arial" w:cs="Arial"/>
                <w:color w:val="auto"/>
                <w:sz w:val="24"/>
                <w:szCs w:val="24"/>
              </w:rPr>
            </w:pPr>
            <w:r>
              <w:rPr>
                <w:rFonts w:hint="default" w:ascii="Arial" w:hAnsi="Arial" w:cs="Arial"/>
                <w:color w:val="auto"/>
                <w:sz w:val="24"/>
                <w:szCs w:val="24"/>
              </w:rPr>
              <w:t>13.5%</w:t>
            </w:r>
          </w:p>
        </w:tc>
      </w:tr>
      <w:tr w14:paraId="6DCE6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6F8043CC">
            <w:pPr>
              <w:spacing w:line="360" w:lineRule="auto"/>
              <w:jc w:val="both"/>
              <w:rPr>
                <w:rFonts w:hint="default" w:ascii="Arial" w:hAnsi="Arial" w:cs="Arial"/>
                <w:color w:val="auto"/>
                <w:sz w:val="24"/>
                <w:szCs w:val="24"/>
              </w:rPr>
            </w:pPr>
            <w:r>
              <w:rPr>
                <w:rFonts w:hint="default" w:ascii="Arial" w:hAnsi="Arial" w:cs="Arial"/>
                <w:color w:val="auto"/>
                <w:sz w:val="24"/>
                <w:szCs w:val="24"/>
              </w:rPr>
              <w:t>South</w:t>
            </w:r>
          </w:p>
        </w:tc>
        <w:tc>
          <w:tcPr>
            <w:tcW w:w="2375" w:type="dxa"/>
          </w:tcPr>
          <w:p w14:paraId="481DFEA3">
            <w:pPr>
              <w:spacing w:line="360" w:lineRule="auto"/>
              <w:jc w:val="both"/>
              <w:rPr>
                <w:rFonts w:hint="default" w:ascii="Arial" w:hAnsi="Arial" w:cs="Arial"/>
                <w:color w:val="auto"/>
                <w:sz w:val="24"/>
                <w:szCs w:val="24"/>
              </w:rPr>
            </w:pPr>
            <w:r>
              <w:rPr>
                <w:rFonts w:hint="default" w:ascii="Arial" w:hAnsi="Arial" w:cs="Arial"/>
                <w:color w:val="auto"/>
                <w:sz w:val="24"/>
                <w:szCs w:val="24"/>
              </w:rPr>
              <w:t>$391,722</w:t>
            </w:r>
          </w:p>
        </w:tc>
        <w:tc>
          <w:tcPr>
            <w:tcW w:w="2375" w:type="dxa"/>
          </w:tcPr>
          <w:p w14:paraId="22167AFD">
            <w:pPr>
              <w:spacing w:line="360" w:lineRule="auto"/>
              <w:jc w:val="both"/>
              <w:rPr>
                <w:rFonts w:hint="default" w:ascii="Arial" w:hAnsi="Arial" w:cs="Arial"/>
                <w:color w:val="auto"/>
                <w:sz w:val="24"/>
                <w:szCs w:val="24"/>
              </w:rPr>
            </w:pPr>
            <w:r>
              <w:rPr>
                <w:rFonts w:hint="default" w:ascii="Arial" w:hAnsi="Arial" w:cs="Arial"/>
                <w:color w:val="auto"/>
                <w:sz w:val="24"/>
                <w:szCs w:val="24"/>
              </w:rPr>
              <w:t>$46,749</w:t>
            </w:r>
          </w:p>
        </w:tc>
        <w:tc>
          <w:tcPr>
            <w:tcW w:w="2375" w:type="dxa"/>
          </w:tcPr>
          <w:p w14:paraId="16B8BFEE">
            <w:pPr>
              <w:spacing w:line="360" w:lineRule="auto"/>
              <w:jc w:val="both"/>
              <w:rPr>
                <w:rFonts w:hint="default" w:ascii="Arial" w:hAnsi="Arial" w:cs="Arial"/>
                <w:color w:val="auto"/>
                <w:sz w:val="24"/>
                <w:szCs w:val="24"/>
              </w:rPr>
            </w:pPr>
            <w:r>
              <w:rPr>
                <w:rFonts w:hint="default" w:ascii="Arial" w:hAnsi="Arial" w:cs="Arial"/>
                <w:color w:val="auto"/>
                <w:sz w:val="24"/>
                <w:szCs w:val="24"/>
              </w:rPr>
              <w:t>11.9%</w:t>
            </w:r>
          </w:p>
        </w:tc>
      </w:tr>
      <w:tr w14:paraId="02810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47CFFA53">
            <w:pPr>
              <w:spacing w:line="360" w:lineRule="auto"/>
              <w:jc w:val="both"/>
              <w:rPr>
                <w:rFonts w:hint="default" w:ascii="Arial" w:hAnsi="Arial" w:cs="Arial"/>
                <w:color w:val="auto"/>
                <w:sz w:val="24"/>
                <w:szCs w:val="24"/>
              </w:rPr>
            </w:pPr>
            <w:r>
              <w:rPr>
                <w:rFonts w:hint="default" w:ascii="Arial" w:hAnsi="Arial" w:cs="Arial"/>
                <w:color w:val="auto"/>
                <w:sz w:val="24"/>
                <w:szCs w:val="24"/>
              </w:rPr>
              <w:t>Central</w:t>
            </w:r>
          </w:p>
        </w:tc>
        <w:tc>
          <w:tcPr>
            <w:tcW w:w="2375" w:type="dxa"/>
          </w:tcPr>
          <w:p w14:paraId="133AD8E5">
            <w:pPr>
              <w:spacing w:line="360" w:lineRule="auto"/>
              <w:jc w:val="both"/>
              <w:rPr>
                <w:rFonts w:hint="default" w:ascii="Arial" w:hAnsi="Arial" w:cs="Arial"/>
                <w:color w:val="auto"/>
                <w:sz w:val="24"/>
                <w:szCs w:val="24"/>
              </w:rPr>
            </w:pPr>
            <w:r>
              <w:rPr>
                <w:rFonts w:hint="default" w:ascii="Arial" w:hAnsi="Arial" w:cs="Arial"/>
                <w:color w:val="auto"/>
                <w:sz w:val="24"/>
                <w:szCs w:val="24"/>
              </w:rPr>
              <w:t>$501,240</w:t>
            </w:r>
          </w:p>
        </w:tc>
        <w:tc>
          <w:tcPr>
            <w:tcW w:w="2375" w:type="dxa"/>
          </w:tcPr>
          <w:p w14:paraId="09715B7F">
            <w:pPr>
              <w:spacing w:line="360" w:lineRule="auto"/>
              <w:jc w:val="both"/>
              <w:rPr>
                <w:rFonts w:hint="default" w:ascii="Arial" w:hAnsi="Arial" w:cs="Arial"/>
                <w:color w:val="auto"/>
                <w:sz w:val="24"/>
                <w:szCs w:val="24"/>
              </w:rPr>
            </w:pPr>
            <w:r>
              <w:rPr>
                <w:rFonts w:hint="default" w:ascii="Arial" w:hAnsi="Arial" w:cs="Arial"/>
                <w:color w:val="auto"/>
                <w:sz w:val="24"/>
                <w:szCs w:val="24"/>
              </w:rPr>
              <w:t>$39,706</w:t>
            </w:r>
          </w:p>
        </w:tc>
        <w:tc>
          <w:tcPr>
            <w:tcW w:w="2375" w:type="dxa"/>
          </w:tcPr>
          <w:p w14:paraId="409833DB">
            <w:pPr>
              <w:spacing w:line="360" w:lineRule="auto"/>
              <w:jc w:val="both"/>
              <w:rPr>
                <w:rFonts w:hint="default" w:ascii="Arial" w:hAnsi="Arial" w:cs="Arial"/>
                <w:color w:val="auto"/>
                <w:sz w:val="24"/>
                <w:szCs w:val="24"/>
              </w:rPr>
            </w:pPr>
            <w:r>
              <w:rPr>
                <w:rFonts w:hint="default" w:ascii="Arial" w:hAnsi="Arial" w:cs="Arial"/>
                <w:color w:val="auto"/>
                <w:sz w:val="24"/>
                <w:szCs w:val="24"/>
              </w:rPr>
              <w:t>7.9%</w:t>
            </w:r>
          </w:p>
        </w:tc>
      </w:tr>
    </w:tbl>
    <w:p w14:paraId="1C7112E5">
      <w:pPr>
        <w:spacing w:after="120" w:line="360" w:lineRule="auto"/>
        <w:jc w:val="both"/>
        <w:rPr>
          <w:rFonts w:hint="default" w:ascii="Arial" w:hAnsi="Arial" w:cs="Arial"/>
          <w:color w:val="auto"/>
          <w:sz w:val="24"/>
          <w:szCs w:val="24"/>
        </w:rPr>
      </w:pPr>
      <w:r>
        <w:rPr>
          <w:rFonts w:hint="default" w:ascii="Arial" w:hAnsi="Arial" w:cs="Arial"/>
          <w:color w:val="auto"/>
          <w:sz w:val="24"/>
          <w:szCs w:val="24"/>
        </w:rPr>
        <w:t>Looking at individual states tells a sharper story than the regional totals do — ten states are actually losing money, which doesn't show up at the regional level because they're being propped up by stronger states in the same region.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5"/>
        <w:gridCol w:w="2375"/>
        <w:gridCol w:w="2375"/>
        <w:gridCol w:w="2375"/>
      </w:tblGrid>
      <w:tr w14:paraId="6D3B0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75" w:type="dxa"/>
            <w:shd w:val="clear" w:color="auto" w:fill="000000" w:themeFill="text1"/>
          </w:tcPr>
          <w:p w14:paraId="15C87A69">
            <w:pPr>
              <w:spacing w:line="360" w:lineRule="auto"/>
              <w:jc w:val="both"/>
              <w:rPr>
                <w:rFonts w:hint="default" w:ascii="Arial" w:hAnsi="Arial" w:cs="Arial"/>
                <w:color w:val="auto"/>
                <w:sz w:val="24"/>
                <w:szCs w:val="24"/>
              </w:rPr>
            </w:pPr>
            <w:r>
              <w:rPr>
                <w:rFonts w:hint="default" w:ascii="Arial" w:hAnsi="Arial" w:cs="Arial"/>
                <w:b/>
                <w:bCs/>
                <w:color w:val="auto"/>
                <w:sz w:val="24"/>
                <w:szCs w:val="24"/>
              </w:rPr>
              <w:t>State</w:t>
            </w:r>
          </w:p>
        </w:tc>
        <w:tc>
          <w:tcPr>
            <w:tcW w:w="2375" w:type="dxa"/>
            <w:shd w:val="clear" w:color="auto" w:fill="000000" w:themeFill="text1"/>
          </w:tcPr>
          <w:p w14:paraId="48CDF7EA">
            <w:pPr>
              <w:spacing w:line="360" w:lineRule="auto"/>
              <w:jc w:val="both"/>
              <w:rPr>
                <w:rFonts w:hint="default" w:ascii="Arial" w:hAnsi="Arial" w:cs="Arial"/>
                <w:color w:val="auto"/>
                <w:sz w:val="24"/>
                <w:szCs w:val="24"/>
              </w:rPr>
            </w:pPr>
            <w:r>
              <w:rPr>
                <w:rFonts w:hint="default" w:ascii="Arial" w:hAnsi="Arial" w:cs="Arial"/>
                <w:b/>
                <w:bCs/>
                <w:color w:val="auto"/>
                <w:sz w:val="24"/>
                <w:szCs w:val="24"/>
              </w:rPr>
              <w:t>Sales</w:t>
            </w:r>
          </w:p>
        </w:tc>
        <w:tc>
          <w:tcPr>
            <w:tcW w:w="2375" w:type="dxa"/>
            <w:shd w:val="clear" w:color="auto" w:fill="000000" w:themeFill="text1"/>
          </w:tcPr>
          <w:p w14:paraId="6FA1DD02">
            <w:pPr>
              <w:spacing w:line="360" w:lineRule="auto"/>
              <w:jc w:val="both"/>
              <w:rPr>
                <w:rFonts w:hint="default" w:ascii="Arial" w:hAnsi="Arial" w:cs="Arial"/>
                <w:color w:val="auto"/>
                <w:sz w:val="24"/>
                <w:szCs w:val="24"/>
              </w:rPr>
            </w:pPr>
            <w:r>
              <w:rPr>
                <w:rFonts w:hint="default" w:ascii="Arial" w:hAnsi="Arial" w:cs="Arial"/>
                <w:b/>
                <w:bCs/>
                <w:color w:val="auto"/>
                <w:sz w:val="24"/>
                <w:szCs w:val="24"/>
              </w:rPr>
              <w:t>Profit</w:t>
            </w:r>
          </w:p>
        </w:tc>
        <w:tc>
          <w:tcPr>
            <w:tcW w:w="2375" w:type="dxa"/>
            <w:shd w:val="clear" w:color="auto" w:fill="000000" w:themeFill="text1"/>
          </w:tcPr>
          <w:p w14:paraId="278FC207">
            <w:pPr>
              <w:spacing w:line="360" w:lineRule="auto"/>
              <w:jc w:val="both"/>
              <w:rPr>
                <w:rFonts w:hint="default" w:ascii="Arial" w:hAnsi="Arial" w:cs="Arial"/>
                <w:color w:val="auto"/>
                <w:sz w:val="24"/>
                <w:szCs w:val="24"/>
              </w:rPr>
            </w:pPr>
            <w:r>
              <w:rPr>
                <w:rFonts w:hint="default" w:ascii="Arial" w:hAnsi="Arial" w:cs="Arial"/>
                <w:b/>
                <w:bCs/>
                <w:color w:val="auto"/>
                <w:sz w:val="24"/>
                <w:szCs w:val="24"/>
              </w:rPr>
              <w:t>Margin</w:t>
            </w:r>
          </w:p>
        </w:tc>
      </w:tr>
      <w:tr w14:paraId="2DECC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33259B72">
            <w:pPr>
              <w:spacing w:line="360" w:lineRule="auto"/>
              <w:jc w:val="both"/>
              <w:rPr>
                <w:rFonts w:hint="default" w:ascii="Arial" w:hAnsi="Arial" w:cs="Arial"/>
                <w:color w:val="auto"/>
                <w:sz w:val="24"/>
                <w:szCs w:val="24"/>
              </w:rPr>
            </w:pPr>
            <w:r>
              <w:rPr>
                <w:rFonts w:hint="default" w:ascii="Arial" w:hAnsi="Arial" w:cs="Arial"/>
                <w:color w:val="auto"/>
                <w:sz w:val="24"/>
                <w:szCs w:val="24"/>
              </w:rPr>
              <w:t>Texas</w:t>
            </w:r>
          </w:p>
        </w:tc>
        <w:tc>
          <w:tcPr>
            <w:tcW w:w="2375" w:type="dxa"/>
          </w:tcPr>
          <w:p w14:paraId="3F666113">
            <w:pPr>
              <w:spacing w:line="360" w:lineRule="auto"/>
              <w:jc w:val="both"/>
              <w:rPr>
                <w:rFonts w:hint="default" w:ascii="Arial" w:hAnsi="Arial" w:cs="Arial"/>
                <w:color w:val="auto"/>
                <w:sz w:val="24"/>
                <w:szCs w:val="24"/>
              </w:rPr>
            </w:pPr>
            <w:r>
              <w:rPr>
                <w:rFonts w:hint="default" w:ascii="Arial" w:hAnsi="Arial" w:cs="Arial"/>
                <w:color w:val="auto"/>
                <w:sz w:val="24"/>
                <w:szCs w:val="24"/>
              </w:rPr>
              <w:t>$170,188</w:t>
            </w:r>
          </w:p>
        </w:tc>
        <w:tc>
          <w:tcPr>
            <w:tcW w:w="2375" w:type="dxa"/>
          </w:tcPr>
          <w:p w14:paraId="387B4833">
            <w:pPr>
              <w:spacing w:line="360" w:lineRule="auto"/>
              <w:jc w:val="both"/>
              <w:rPr>
                <w:rFonts w:hint="default" w:ascii="Arial" w:hAnsi="Arial" w:cs="Arial"/>
                <w:color w:val="auto"/>
                <w:sz w:val="24"/>
                <w:szCs w:val="24"/>
              </w:rPr>
            </w:pPr>
            <w:r>
              <w:rPr>
                <w:rFonts w:hint="default" w:ascii="Arial" w:hAnsi="Arial" w:cs="Arial"/>
                <w:color w:val="auto"/>
                <w:sz w:val="24"/>
                <w:szCs w:val="24"/>
              </w:rPr>
              <w:t>-$25,729</w:t>
            </w:r>
          </w:p>
        </w:tc>
        <w:tc>
          <w:tcPr>
            <w:tcW w:w="2375" w:type="dxa"/>
          </w:tcPr>
          <w:p w14:paraId="4325191F">
            <w:pPr>
              <w:spacing w:line="360" w:lineRule="auto"/>
              <w:jc w:val="both"/>
              <w:rPr>
                <w:rFonts w:hint="default" w:ascii="Arial" w:hAnsi="Arial" w:cs="Arial"/>
                <w:color w:val="auto"/>
                <w:sz w:val="24"/>
                <w:szCs w:val="24"/>
              </w:rPr>
            </w:pPr>
            <w:r>
              <w:rPr>
                <w:rFonts w:hint="default" w:ascii="Arial" w:hAnsi="Arial" w:cs="Arial"/>
                <w:color w:val="auto"/>
                <w:sz w:val="24"/>
                <w:szCs w:val="24"/>
              </w:rPr>
              <w:t>-15.1%</w:t>
            </w:r>
          </w:p>
        </w:tc>
      </w:tr>
      <w:tr w14:paraId="72316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3B69B3DA">
            <w:pPr>
              <w:spacing w:line="360" w:lineRule="auto"/>
              <w:jc w:val="both"/>
              <w:rPr>
                <w:rFonts w:hint="default" w:ascii="Arial" w:hAnsi="Arial" w:cs="Arial"/>
                <w:color w:val="auto"/>
                <w:sz w:val="24"/>
                <w:szCs w:val="24"/>
              </w:rPr>
            </w:pPr>
            <w:r>
              <w:rPr>
                <w:rFonts w:hint="default" w:ascii="Arial" w:hAnsi="Arial" w:cs="Arial"/>
                <w:color w:val="auto"/>
                <w:sz w:val="24"/>
                <w:szCs w:val="24"/>
              </w:rPr>
              <w:t>Ohio</w:t>
            </w:r>
          </w:p>
        </w:tc>
        <w:tc>
          <w:tcPr>
            <w:tcW w:w="2375" w:type="dxa"/>
          </w:tcPr>
          <w:p w14:paraId="6CC610CE">
            <w:pPr>
              <w:spacing w:line="360" w:lineRule="auto"/>
              <w:jc w:val="both"/>
              <w:rPr>
                <w:rFonts w:hint="default" w:ascii="Arial" w:hAnsi="Arial" w:cs="Arial"/>
                <w:color w:val="auto"/>
                <w:sz w:val="24"/>
                <w:szCs w:val="24"/>
              </w:rPr>
            </w:pPr>
            <w:r>
              <w:rPr>
                <w:rFonts w:hint="default" w:ascii="Arial" w:hAnsi="Arial" w:cs="Arial"/>
                <w:color w:val="auto"/>
                <w:sz w:val="24"/>
                <w:szCs w:val="24"/>
              </w:rPr>
              <w:t>$78,258</w:t>
            </w:r>
          </w:p>
        </w:tc>
        <w:tc>
          <w:tcPr>
            <w:tcW w:w="2375" w:type="dxa"/>
          </w:tcPr>
          <w:p w14:paraId="5972EF88">
            <w:pPr>
              <w:spacing w:line="360" w:lineRule="auto"/>
              <w:jc w:val="both"/>
              <w:rPr>
                <w:rFonts w:hint="default" w:ascii="Arial" w:hAnsi="Arial" w:cs="Arial"/>
                <w:color w:val="auto"/>
                <w:sz w:val="24"/>
                <w:szCs w:val="24"/>
              </w:rPr>
            </w:pPr>
            <w:r>
              <w:rPr>
                <w:rFonts w:hint="default" w:ascii="Arial" w:hAnsi="Arial" w:cs="Arial"/>
                <w:color w:val="auto"/>
                <w:sz w:val="24"/>
                <w:szCs w:val="24"/>
              </w:rPr>
              <w:t>-$16,971</w:t>
            </w:r>
          </w:p>
        </w:tc>
        <w:tc>
          <w:tcPr>
            <w:tcW w:w="2375" w:type="dxa"/>
          </w:tcPr>
          <w:p w14:paraId="72ADC60A">
            <w:pPr>
              <w:spacing w:line="360" w:lineRule="auto"/>
              <w:jc w:val="both"/>
              <w:rPr>
                <w:rFonts w:hint="default" w:ascii="Arial" w:hAnsi="Arial" w:cs="Arial"/>
                <w:color w:val="auto"/>
                <w:sz w:val="24"/>
                <w:szCs w:val="24"/>
              </w:rPr>
            </w:pPr>
            <w:r>
              <w:rPr>
                <w:rFonts w:hint="default" w:ascii="Arial" w:hAnsi="Arial" w:cs="Arial"/>
                <w:color w:val="auto"/>
                <w:sz w:val="24"/>
                <w:szCs w:val="24"/>
              </w:rPr>
              <w:t>-21.7%</w:t>
            </w:r>
          </w:p>
        </w:tc>
      </w:tr>
      <w:tr w14:paraId="0388D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333E55DC">
            <w:pPr>
              <w:spacing w:line="360" w:lineRule="auto"/>
              <w:jc w:val="both"/>
              <w:rPr>
                <w:rFonts w:hint="default" w:ascii="Arial" w:hAnsi="Arial" w:cs="Arial"/>
                <w:color w:val="auto"/>
                <w:sz w:val="24"/>
                <w:szCs w:val="24"/>
              </w:rPr>
            </w:pPr>
            <w:r>
              <w:rPr>
                <w:rFonts w:hint="default" w:ascii="Arial" w:hAnsi="Arial" w:cs="Arial"/>
                <w:color w:val="auto"/>
                <w:sz w:val="24"/>
                <w:szCs w:val="24"/>
              </w:rPr>
              <w:t>Pennsylvania</w:t>
            </w:r>
          </w:p>
        </w:tc>
        <w:tc>
          <w:tcPr>
            <w:tcW w:w="2375" w:type="dxa"/>
          </w:tcPr>
          <w:p w14:paraId="5C6BAABE">
            <w:pPr>
              <w:spacing w:line="360" w:lineRule="auto"/>
              <w:jc w:val="both"/>
              <w:rPr>
                <w:rFonts w:hint="default" w:ascii="Arial" w:hAnsi="Arial" w:cs="Arial"/>
                <w:color w:val="auto"/>
                <w:sz w:val="24"/>
                <w:szCs w:val="24"/>
              </w:rPr>
            </w:pPr>
            <w:r>
              <w:rPr>
                <w:rFonts w:hint="default" w:ascii="Arial" w:hAnsi="Arial" w:cs="Arial"/>
                <w:color w:val="auto"/>
                <w:sz w:val="24"/>
                <w:szCs w:val="24"/>
              </w:rPr>
              <w:t>$116,512</w:t>
            </w:r>
          </w:p>
        </w:tc>
        <w:tc>
          <w:tcPr>
            <w:tcW w:w="2375" w:type="dxa"/>
          </w:tcPr>
          <w:p w14:paraId="663FF376">
            <w:pPr>
              <w:spacing w:line="360" w:lineRule="auto"/>
              <w:jc w:val="both"/>
              <w:rPr>
                <w:rFonts w:hint="default" w:ascii="Arial" w:hAnsi="Arial" w:cs="Arial"/>
                <w:color w:val="auto"/>
                <w:sz w:val="24"/>
                <w:szCs w:val="24"/>
              </w:rPr>
            </w:pPr>
            <w:r>
              <w:rPr>
                <w:rFonts w:hint="default" w:ascii="Arial" w:hAnsi="Arial" w:cs="Arial"/>
                <w:color w:val="auto"/>
                <w:sz w:val="24"/>
                <w:szCs w:val="24"/>
              </w:rPr>
              <w:t>-$15,560</w:t>
            </w:r>
          </w:p>
        </w:tc>
        <w:tc>
          <w:tcPr>
            <w:tcW w:w="2375" w:type="dxa"/>
          </w:tcPr>
          <w:p w14:paraId="1444D761">
            <w:pPr>
              <w:spacing w:line="360" w:lineRule="auto"/>
              <w:jc w:val="both"/>
              <w:rPr>
                <w:rFonts w:hint="default" w:ascii="Arial" w:hAnsi="Arial" w:cs="Arial"/>
                <w:color w:val="auto"/>
                <w:sz w:val="24"/>
                <w:szCs w:val="24"/>
              </w:rPr>
            </w:pPr>
            <w:r>
              <w:rPr>
                <w:rFonts w:hint="default" w:ascii="Arial" w:hAnsi="Arial" w:cs="Arial"/>
                <w:color w:val="auto"/>
                <w:sz w:val="24"/>
                <w:szCs w:val="24"/>
              </w:rPr>
              <w:t>-13.4%</w:t>
            </w:r>
          </w:p>
        </w:tc>
      </w:tr>
      <w:tr w14:paraId="613AD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1CEE041F">
            <w:pPr>
              <w:spacing w:line="360" w:lineRule="auto"/>
              <w:jc w:val="both"/>
              <w:rPr>
                <w:rFonts w:hint="default" w:ascii="Arial" w:hAnsi="Arial" w:cs="Arial"/>
                <w:color w:val="auto"/>
                <w:sz w:val="24"/>
                <w:szCs w:val="24"/>
              </w:rPr>
            </w:pPr>
            <w:r>
              <w:rPr>
                <w:rFonts w:hint="default" w:ascii="Arial" w:hAnsi="Arial" w:cs="Arial"/>
                <w:color w:val="auto"/>
                <w:sz w:val="24"/>
                <w:szCs w:val="24"/>
              </w:rPr>
              <w:t>Illinois</w:t>
            </w:r>
          </w:p>
        </w:tc>
        <w:tc>
          <w:tcPr>
            <w:tcW w:w="2375" w:type="dxa"/>
          </w:tcPr>
          <w:p w14:paraId="469F04D1">
            <w:pPr>
              <w:spacing w:line="360" w:lineRule="auto"/>
              <w:jc w:val="both"/>
              <w:rPr>
                <w:rFonts w:hint="default" w:ascii="Arial" w:hAnsi="Arial" w:cs="Arial"/>
                <w:color w:val="auto"/>
                <w:sz w:val="24"/>
                <w:szCs w:val="24"/>
              </w:rPr>
            </w:pPr>
            <w:r>
              <w:rPr>
                <w:rFonts w:hint="default" w:ascii="Arial" w:hAnsi="Arial" w:cs="Arial"/>
                <w:color w:val="auto"/>
                <w:sz w:val="24"/>
                <w:szCs w:val="24"/>
              </w:rPr>
              <w:t>$80,166</w:t>
            </w:r>
          </w:p>
        </w:tc>
        <w:tc>
          <w:tcPr>
            <w:tcW w:w="2375" w:type="dxa"/>
          </w:tcPr>
          <w:p w14:paraId="5D4344EC">
            <w:pPr>
              <w:spacing w:line="360" w:lineRule="auto"/>
              <w:jc w:val="both"/>
              <w:rPr>
                <w:rFonts w:hint="default" w:ascii="Arial" w:hAnsi="Arial" w:cs="Arial"/>
                <w:color w:val="auto"/>
                <w:sz w:val="24"/>
                <w:szCs w:val="24"/>
              </w:rPr>
            </w:pPr>
            <w:r>
              <w:rPr>
                <w:rFonts w:hint="default" w:ascii="Arial" w:hAnsi="Arial" w:cs="Arial"/>
                <w:color w:val="auto"/>
                <w:sz w:val="24"/>
                <w:szCs w:val="24"/>
              </w:rPr>
              <w:t>-$12,608</w:t>
            </w:r>
          </w:p>
        </w:tc>
        <w:tc>
          <w:tcPr>
            <w:tcW w:w="2375" w:type="dxa"/>
          </w:tcPr>
          <w:p w14:paraId="4FDFDC3A">
            <w:pPr>
              <w:spacing w:line="360" w:lineRule="auto"/>
              <w:jc w:val="both"/>
              <w:rPr>
                <w:rFonts w:hint="default" w:ascii="Arial" w:hAnsi="Arial" w:cs="Arial"/>
                <w:color w:val="auto"/>
                <w:sz w:val="24"/>
                <w:szCs w:val="24"/>
              </w:rPr>
            </w:pPr>
            <w:r>
              <w:rPr>
                <w:rFonts w:hint="default" w:ascii="Arial" w:hAnsi="Arial" w:cs="Arial"/>
                <w:color w:val="auto"/>
                <w:sz w:val="24"/>
                <w:szCs w:val="24"/>
              </w:rPr>
              <w:t>-15.7%</w:t>
            </w:r>
          </w:p>
        </w:tc>
      </w:tr>
      <w:tr w14:paraId="6B1FB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37F2966E">
            <w:pPr>
              <w:spacing w:line="360" w:lineRule="auto"/>
              <w:jc w:val="both"/>
              <w:rPr>
                <w:rFonts w:hint="default" w:ascii="Arial" w:hAnsi="Arial" w:cs="Arial"/>
                <w:color w:val="auto"/>
                <w:sz w:val="24"/>
                <w:szCs w:val="24"/>
              </w:rPr>
            </w:pPr>
            <w:r>
              <w:rPr>
                <w:rFonts w:hint="default" w:ascii="Arial" w:hAnsi="Arial" w:cs="Arial"/>
                <w:color w:val="auto"/>
                <w:sz w:val="24"/>
                <w:szCs w:val="24"/>
              </w:rPr>
              <w:t>North Carolina</w:t>
            </w:r>
          </w:p>
        </w:tc>
        <w:tc>
          <w:tcPr>
            <w:tcW w:w="2375" w:type="dxa"/>
          </w:tcPr>
          <w:p w14:paraId="102FEECE">
            <w:pPr>
              <w:spacing w:line="360" w:lineRule="auto"/>
              <w:jc w:val="both"/>
              <w:rPr>
                <w:rFonts w:hint="default" w:ascii="Arial" w:hAnsi="Arial" w:cs="Arial"/>
                <w:color w:val="auto"/>
                <w:sz w:val="24"/>
                <w:szCs w:val="24"/>
              </w:rPr>
            </w:pPr>
            <w:r>
              <w:rPr>
                <w:rFonts w:hint="default" w:ascii="Arial" w:hAnsi="Arial" w:cs="Arial"/>
                <w:color w:val="auto"/>
                <w:sz w:val="24"/>
                <w:szCs w:val="24"/>
              </w:rPr>
              <w:t>$55,603</w:t>
            </w:r>
          </w:p>
        </w:tc>
        <w:tc>
          <w:tcPr>
            <w:tcW w:w="2375" w:type="dxa"/>
          </w:tcPr>
          <w:p w14:paraId="114E41A4">
            <w:pPr>
              <w:spacing w:line="360" w:lineRule="auto"/>
              <w:jc w:val="both"/>
              <w:rPr>
                <w:rFonts w:hint="default" w:ascii="Arial" w:hAnsi="Arial" w:cs="Arial"/>
                <w:color w:val="auto"/>
                <w:sz w:val="24"/>
                <w:szCs w:val="24"/>
              </w:rPr>
            </w:pPr>
            <w:r>
              <w:rPr>
                <w:rFonts w:hint="default" w:ascii="Arial" w:hAnsi="Arial" w:cs="Arial"/>
                <w:color w:val="auto"/>
                <w:sz w:val="24"/>
                <w:szCs w:val="24"/>
              </w:rPr>
              <w:t>-$7,491</w:t>
            </w:r>
          </w:p>
        </w:tc>
        <w:tc>
          <w:tcPr>
            <w:tcW w:w="2375" w:type="dxa"/>
          </w:tcPr>
          <w:p w14:paraId="32D0FD2F">
            <w:pPr>
              <w:spacing w:line="360" w:lineRule="auto"/>
              <w:jc w:val="both"/>
              <w:rPr>
                <w:rFonts w:hint="default" w:ascii="Arial" w:hAnsi="Arial" w:cs="Arial"/>
                <w:color w:val="auto"/>
                <w:sz w:val="24"/>
                <w:szCs w:val="24"/>
              </w:rPr>
            </w:pPr>
            <w:r>
              <w:rPr>
                <w:rFonts w:hint="default" w:ascii="Arial" w:hAnsi="Arial" w:cs="Arial"/>
                <w:color w:val="auto"/>
                <w:sz w:val="24"/>
                <w:szCs w:val="24"/>
              </w:rPr>
              <w:t>-13.5%</w:t>
            </w:r>
          </w:p>
        </w:tc>
      </w:tr>
    </w:tbl>
    <w:p w14:paraId="650D09DC">
      <w:pPr>
        <w:spacing w:after="120" w:line="360" w:lineRule="auto"/>
        <w:jc w:val="both"/>
        <w:rPr>
          <w:rFonts w:hint="default" w:ascii="Arial" w:hAnsi="Arial" w:cs="Arial"/>
          <w:color w:val="auto"/>
          <w:sz w:val="24"/>
          <w:szCs w:val="24"/>
        </w:rPr>
      </w:pPr>
      <w:r>
        <w:rPr>
          <w:rFonts w:hint="default" w:ascii="Arial" w:hAnsi="Arial" w:cs="Arial"/>
          <w:color w:val="auto"/>
          <w:sz w:val="24"/>
          <w:szCs w:val="24"/>
        </w:rPr>
        <w:t>By contrast, California, New York and Washington are the strongest states, each with margins above 16%.</w:t>
      </w:r>
    </w:p>
    <w:p w14:paraId="64768763">
      <w:pPr>
        <w:pStyle w:val="3"/>
        <w:spacing w:before="220" w:after="100" w:line="360" w:lineRule="auto"/>
        <w:jc w:val="both"/>
        <w:rPr>
          <w:rFonts w:hint="default" w:ascii="Arial" w:hAnsi="Arial" w:cs="Arial"/>
          <w:color w:val="auto"/>
          <w:sz w:val="24"/>
          <w:szCs w:val="24"/>
        </w:rPr>
      </w:pPr>
      <w:r>
        <w:rPr>
          <w:rFonts w:hint="default" w:ascii="Arial" w:hAnsi="Arial" w:cs="Arial"/>
          <w:color w:val="auto"/>
          <w:sz w:val="24"/>
          <w:szCs w:val="24"/>
        </w:rPr>
        <w:t>2.5 Customer Segment Performance</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900"/>
        <w:gridCol w:w="1900"/>
        <w:gridCol w:w="1900"/>
        <w:gridCol w:w="1900"/>
      </w:tblGrid>
      <w:tr w14:paraId="4EA07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000000" w:themeFill="text1"/>
          </w:tcPr>
          <w:p w14:paraId="17CDE424">
            <w:pPr>
              <w:spacing w:line="360" w:lineRule="auto"/>
              <w:jc w:val="both"/>
              <w:rPr>
                <w:rFonts w:hint="default" w:ascii="Arial" w:hAnsi="Arial" w:cs="Arial"/>
                <w:color w:val="auto"/>
                <w:sz w:val="24"/>
                <w:szCs w:val="24"/>
              </w:rPr>
            </w:pPr>
            <w:r>
              <w:rPr>
                <w:rFonts w:hint="default" w:ascii="Arial" w:hAnsi="Arial" w:cs="Arial"/>
                <w:b/>
                <w:bCs/>
                <w:color w:val="auto"/>
                <w:sz w:val="24"/>
                <w:szCs w:val="24"/>
              </w:rPr>
              <w:t>Segment</w:t>
            </w:r>
          </w:p>
        </w:tc>
        <w:tc>
          <w:tcPr>
            <w:tcW w:w="1900" w:type="dxa"/>
            <w:shd w:val="clear" w:color="auto" w:fill="000000" w:themeFill="text1"/>
          </w:tcPr>
          <w:p w14:paraId="15066BCE">
            <w:pPr>
              <w:spacing w:line="360" w:lineRule="auto"/>
              <w:jc w:val="both"/>
              <w:rPr>
                <w:rFonts w:hint="default" w:ascii="Arial" w:hAnsi="Arial" w:cs="Arial"/>
                <w:color w:val="auto"/>
                <w:sz w:val="24"/>
                <w:szCs w:val="24"/>
              </w:rPr>
            </w:pPr>
            <w:r>
              <w:rPr>
                <w:rFonts w:hint="default" w:ascii="Arial" w:hAnsi="Arial" w:cs="Arial"/>
                <w:b/>
                <w:bCs/>
                <w:color w:val="auto"/>
                <w:sz w:val="24"/>
                <w:szCs w:val="24"/>
              </w:rPr>
              <w:t>Sales</w:t>
            </w:r>
          </w:p>
        </w:tc>
        <w:tc>
          <w:tcPr>
            <w:tcW w:w="1900" w:type="dxa"/>
            <w:shd w:val="clear" w:color="auto" w:fill="000000" w:themeFill="text1"/>
          </w:tcPr>
          <w:p w14:paraId="10096864">
            <w:pPr>
              <w:spacing w:line="360" w:lineRule="auto"/>
              <w:jc w:val="both"/>
              <w:rPr>
                <w:rFonts w:hint="default" w:ascii="Arial" w:hAnsi="Arial" w:cs="Arial"/>
                <w:color w:val="auto"/>
                <w:sz w:val="24"/>
                <w:szCs w:val="24"/>
              </w:rPr>
            </w:pPr>
            <w:r>
              <w:rPr>
                <w:rFonts w:hint="default" w:ascii="Arial" w:hAnsi="Arial" w:cs="Arial"/>
                <w:b/>
                <w:bCs/>
                <w:color w:val="auto"/>
                <w:sz w:val="24"/>
                <w:szCs w:val="24"/>
              </w:rPr>
              <w:t>Profit</w:t>
            </w:r>
          </w:p>
        </w:tc>
        <w:tc>
          <w:tcPr>
            <w:tcW w:w="1900" w:type="dxa"/>
            <w:shd w:val="clear" w:color="auto" w:fill="000000" w:themeFill="text1"/>
          </w:tcPr>
          <w:p w14:paraId="4A9C9D97">
            <w:pPr>
              <w:spacing w:line="360" w:lineRule="auto"/>
              <w:jc w:val="both"/>
              <w:rPr>
                <w:rFonts w:hint="default" w:ascii="Arial" w:hAnsi="Arial" w:cs="Arial"/>
                <w:color w:val="auto"/>
                <w:sz w:val="24"/>
                <w:szCs w:val="24"/>
              </w:rPr>
            </w:pPr>
            <w:r>
              <w:rPr>
                <w:rFonts w:hint="default" w:ascii="Arial" w:hAnsi="Arial" w:cs="Arial"/>
                <w:b/>
                <w:bCs/>
                <w:color w:val="auto"/>
                <w:sz w:val="24"/>
                <w:szCs w:val="24"/>
              </w:rPr>
              <w:t>Orders</w:t>
            </w:r>
          </w:p>
        </w:tc>
        <w:tc>
          <w:tcPr>
            <w:tcW w:w="1900" w:type="dxa"/>
            <w:shd w:val="clear" w:color="auto" w:fill="000000" w:themeFill="text1"/>
          </w:tcPr>
          <w:p w14:paraId="4E8A9090">
            <w:pPr>
              <w:spacing w:line="360" w:lineRule="auto"/>
              <w:jc w:val="both"/>
              <w:rPr>
                <w:rFonts w:hint="default" w:ascii="Arial" w:hAnsi="Arial" w:cs="Arial"/>
                <w:color w:val="auto"/>
                <w:sz w:val="24"/>
                <w:szCs w:val="24"/>
              </w:rPr>
            </w:pPr>
            <w:r>
              <w:rPr>
                <w:rFonts w:hint="default" w:ascii="Arial" w:hAnsi="Arial" w:cs="Arial"/>
                <w:b/>
                <w:bCs/>
                <w:color w:val="auto"/>
                <w:sz w:val="24"/>
                <w:szCs w:val="24"/>
              </w:rPr>
              <w:t>Margin</w:t>
            </w:r>
          </w:p>
        </w:tc>
      </w:tr>
      <w:tr w14:paraId="39380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7CCE6061">
            <w:pPr>
              <w:spacing w:line="360" w:lineRule="auto"/>
              <w:jc w:val="both"/>
              <w:rPr>
                <w:rFonts w:hint="default" w:ascii="Arial" w:hAnsi="Arial" w:cs="Arial"/>
                <w:color w:val="auto"/>
                <w:sz w:val="24"/>
                <w:szCs w:val="24"/>
              </w:rPr>
            </w:pPr>
            <w:r>
              <w:rPr>
                <w:rFonts w:hint="default" w:ascii="Arial" w:hAnsi="Arial" w:cs="Arial"/>
                <w:color w:val="auto"/>
                <w:sz w:val="24"/>
                <w:szCs w:val="24"/>
              </w:rPr>
              <w:t>Consumer</w:t>
            </w:r>
          </w:p>
        </w:tc>
        <w:tc>
          <w:tcPr>
            <w:tcW w:w="1900" w:type="dxa"/>
          </w:tcPr>
          <w:p w14:paraId="7C614A78">
            <w:pPr>
              <w:spacing w:line="360" w:lineRule="auto"/>
              <w:jc w:val="both"/>
              <w:rPr>
                <w:rFonts w:hint="default" w:ascii="Arial" w:hAnsi="Arial" w:cs="Arial"/>
                <w:color w:val="auto"/>
                <w:sz w:val="24"/>
                <w:szCs w:val="24"/>
              </w:rPr>
            </w:pPr>
            <w:r>
              <w:rPr>
                <w:rFonts w:hint="default" w:ascii="Arial" w:hAnsi="Arial" w:cs="Arial"/>
                <w:color w:val="auto"/>
                <w:sz w:val="24"/>
                <w:szCs w:val="24"/>
              </w:rPr>
              <w:t>$1,161,401</w:t>
            </w:r>
          </w:p>
        </w:tc>
        <w:tc>
          <w:tcPr>
            <w:tcW w:w="1900" w:type="dxa"/>
          </w:tcPr>
          <w:p w14:paraId="31C12738">
            <w:pPr>
              <w:spacing w:line="360" w:lineRule="auto"/>
              <w:jc w:val="both"/>
              <w:rPr>
                <w:rFonts w:hint="default" w:ascii="Arial" w:hAnsi="Arial" w:cs="Arial"/>
                <w:color w:val="auto"/>
                <w:sz w:val="24"/>
                <w:szCs w:val="24"/>
              </w:rPr>
            </w:pPr>
            <w:r>
              <w:rPr>
                <w:rFonts w:hint="default" w:ascii="Arial" w:hAnsi="Arial" w:cs="Arial"/>
                <w:color w:val="auto"/>
                <w:sz w:val="24"/>
                <w:szCs w:val="24"/>
              </w:rPr>
              <w:t>$134,119</w:t>
            </w:r>
          </w:p>
        </w:tc>
        <w:tc>
          <w:tcPr>
            <w:tcW w:w="1900" w:type="dxa"/>
          </w:tcPr>
          <w:p w14:paraId="5D7EB089">
            <w:pPr>
              <w:spacing w:line="360" w:lineRule="auto"/>
              <w:jc w:val="both"/>
              <w:rPr>
                <w:rFonts w:hint="default" w:ascii="Arial" w:hAnsi="Arial" w:cs="Arial"/>
                <w:color w:val="auto"/>
                <w:sz w:val="24"/>
                <w:szCs w:val="24"/>
              </w:rPr>
            </w:pPr>
            <w:r>
              <w:rPr>
                <w:rFonts w:hint="default" w:ascii="Arial" w:hAnsi="Arial" w:cs="Arial"/>
                <w:color w:val="auto"/>
                <w:sz w:val="24"/>
                <w:szCs w:val="24"/>
              </w:rPr>
              <w:t>2,586</w:t>
            </w:r>
          </w:p>
        </w:tc>
        <w:tc>
          <w:tcPr>
            <w:tcW w:w="1900" w:type="dxa"/>
          </w:tcPr>
          <w:p w14:paraId="45420C82">
            <w:pPr>
              <w:spacing w:line="360" w:lineRule="auto"/>
              <w:jc w:val="both"/>
              <w:rPr>
                <w:rFonts w:hint="default" w:ascii="Arial" w:hAnsi="Arial" w:cs="Arial"/>
                <w:color w:val="auto"/>
                <w:sz w:val="24"/>
                <w:szCs w:val="24"/>
              </w:rPr>
            </w:pPr>
            <w:r>
              <w:rPr>
                <w:rFonts w:hint="default" w:ascii="Arial" w:hAnsi="Arial" w:cs="Arial"/>
                <w:color w:val="auto"/>
                <w:sz w:val="24"/>
                <w:szCs w:val="24"/>
              </w:rPr>
              <w:t>11.5%</w:t>
            </w:r>
          </w:p>
        </w:tc>
      </w:tr>
      <w:tr w14:paraId="58EBC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4A1FCDE4">
            <w:pPr>
              <w:spacing w:line="360" w:lineRule="auto"/>
              <w:jc w:val="both"/>
              <w:rPr>
                <w:rFonts w:hint="default" w:ascii="Arial" w:hAnsi="Arial" w:cs="Arial"/>
                <w:color w:val="auto"/>
                <w:sz w:val="24"/>
                <w:szCs w:val="24"/>
              </w:rPr>
            </w:pPr>
            <w:r>
              <w:rPr>
                <w:rFonts w:hint="default" w:ascii="Arial" w:hAnsi="Arial" w:cs="Arial"/>
                <w:color w:val="auto"/>
                <w:sz w:val="24"/>
                <w:szCs w:val="24"/>
              </w:rPr>
              <w:t>Corporate</w:t>
            </w:r>
          </w:p>
        </w:tc>
        <w:tc>
          <w:tcPr>
            <w:tcW w:w="1900" w:type="dxa"/>
          </w:tcPr>
          <w:p w14:paraId="75BFE396">
            <w:pPr>
              <w:spacing w:line="360" w:lineRule="auto"/>
              <w:jc w:val="both"/>
              <w:rPr>
                <w:rFonts w:hint="default" w:ascii="Arial" w:hAnsi="Arial" w:cs="Arial"/>
                <w:color w:val="auto"/>
                <w:sz w:val="24"/>
                <w:szCs w:val="24"/>
              </w:rPr>
            </w:pPr>
            <w:r>
              <w:rPr>
                <w:rFonts w:hint="default" w:ascii="Arial" w:hAnsi="Arial" w:cs="Arial"/>
                <w:color w:val="auto"/>
                <w:sz w:val="24"/>
                <w:szCs w:val="24"/>
              </w:rPr>
              <w:t>$706,146</w:t>
            </w:r>
          </w:p>
        </w:tc>
        <w:tc>
          <w:tcPr>
            <w:tcW w:w="1900" w:type="dxa"/>
          </w:tcPr>
          <w:p w14:paraId="2D28F1C5">
            <w:pPr>
              <w:spacing w:line="360" w:lineRule="auto"/>
              <w:jc w:val="both"/>
              <w:rPr>
                <w:rFonts w:hint="default" w:ascii="Arial" w:hAnsi="Arial" w:cs="Arial"/>
                <w:color w:val="auto"/>
                <w:sz w:val="24"/>
                <w:szCs w:val="24"/>
              </w:rPr>
            </w:pPr>
            <w:r>
              <w:rPr>
                <w:rFonts w:hint="default" w:ascii="Arial" w:hAnsi="Arial" w:cs="Arial"/>
                <w:color w:val="auto"/>
                <w:sz w:val="24"/>
                <w:szCs w:val="24"/>
              </w:rPr>
              <w:t>$91,979</w:t>
            </w:r>
          </w:p>
        </w:tc>
        <w:tc>
          <w:tcPr>
            <w:tcW w:w="1900" w:type="dxa"/>
          </w:tcPr>
          <w:p w14:paraId="564139DA">
            <w:pPr>
              <w:spacing w:line="360" w:lineRule="auto"/>
              <w:jc w:val="both"/>
              <w:rPr>
                <w:rFonts w:hint="default" w:ascii="Arial" w:hAnsi="Arial" w:cs="Arial"/>
                <w:color w:val="auto"/>
                <w:sz w:val="24"/>
                <w:szCs w:val="24"/>
              </w:rPr>
            </w:pPr>
            <w:r>
              <w:rPr>
                <w:rFonts w:hint="default" w:ascii="Arial" w:hAnsi="Arial" w:cs="Arial"/>
                <w:color w:val="auto"/>
                <w:sz w:val="24"/>
                <w:szCs w:val="24"/>
              </w:rPr>
              <w:t>1,514</w:t>
            </w:r>
          </w:p>
        </w:tc>
        <w:tc>
          <w:tcPr>
            <w:tcW w:w="1900" w:type="dxa"/>
          </w:tcPr>
          <w:p w14:paraId="51AB8E44">
            <w:pPr>
              <w:spacing w:line="360" w:lineRule="auto"/>
              <w:jc w:val="both"/>
              <w:rPr>
                <w:rFonts w:hint="default" w:ascii="Arial" w:hAnsi="Arial" w:cs="Arial"/>
                <w:color w:val="auto"/>
                <w:sz w:val="24"/>
                <w:szCs w:val="24"/>
              </w:rPr>
            </w:pPr>
            <w:r>
              <w:rPr>
                <w:rFonts w:hint="default" w:ascii="Arial" w:hAnsi="Arial" w:cs="Arial"/>
                <w:color w:val="auto"/>
                <w:sz w:val="24"/>
                <w:szCs w:val="24"/>
              </w:rPr>
              <w:t>13.0%</w:t>
            </w:r>
          </w:p>
        </w:tc>
      </w:tr>
      <w:tr w14:paraId="614E9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Pr>
          <w:p w14:paraId="2F65CFFC">
            <w:pPr>
              <w:spacing w:line="360" w:lineRule="auto"/>
              <w:jc w:val="both"/>
              <w:rPr>
                <w:rFonts w:hint="default" w:ascii="Arial" w:hAnsi="Arial" w:cs="Arial"/>
                <w:color w:val="auto"/>
                <w:sz w:val="24"/>
                <w:szCs w:val="24"/>
              </w:rPr>
            </w:pPr>
            <w:r>
              <w:rPr>
                <w:rFonts w:hint="default" w:ascii="Arial" w:hAnsi="Arial" w:cs="Arial"/>
                <w:color w:val="auto"/>
                <w:sz w:val="24"/>
                <w:szCs w:val="24"/>
              </w:rPr>
              <w:t>Home Office</w:t>
            </w:r>
          </w:p>
        </w:tc>
        <w:tc>
          <w:tcPr>
            <w:tcW w:w="1900" w:type="dxa"/>
          </w:tcPr>
          <w:p w14:paraId="2340F20B">
            <w:pPr>
              <w:spacing w:line="360" w:lineRule="auto"/>
              <w:jc w:val="both"/>
              <w:rPr>
                <w:rFonts w:hint="default" w:ascii="Arial" w:hAnsi="Arial" w:cs="Arial"/>
                <w:color w:val="auto"/>
                <w:sz w:val="24"/>
                <w:szCs w:val="24"/>
              </w:rPr>
            </w:pPr>
            <w:r>
              <w:rPr>
                <w:rFonts w:hint="default" w:ascii="Arial" w:hAnsi="Arial" w:cs="Arial"/>
                <w:color w:val="auto"/>
                <w:sz w:val="24"/>
                <w:szCs w:val="24"/>
              </w:rPr>
              <w:t>$429,653</w:t>
            </w:r>
          </w:p>
        </w:tc>
        <w:tc>
          <w:tcPr>
            <w:tcW w:w="1900" w:type="dxa"/>
          </w:tcPr>
          <w:p w14:paraId="41EF8680">
            <w:pPr>
              <w:spacing w:line="360" w:lineRule="auto"/>
              <w:jc w:val="both"/>
              <w:rPr>
                <w:rFonts w:hint="default" w:ascii="Arial" w:hAnsi="Arial" w:cs="Arial"/>
                <w:color w:val="auto"/>
                <w:sz w:val="24"/>
                <w:szCs w:val="24"/>
              </w:rPr>
            </w:pPr>
            <w:r>
              <w:rPr>
                <w:rFonts w:hint="default" w:ascii="Arial" w:hAnsi="Arial" w:cs="Arial"/>
                <w:color w:val="auto"/>
                <w:sz w:val="24"/>
                <w:szCs w:val="24"/>
              </w:rPr>
              <w:t>$60,299</w:t>
            </w:r>
          </w:p>
        </w:tc>
        <w:tc>
          <w:tcPr>
            <w:tcW w:w="1900" w:type="dxa"/>
          </w:tcPr>
          <w:p w14:paraId="5681BD81">
            <w:pPr>
              <w:spacing w:line="360" w:lineRule="auto"/>
              <w:jc w:val="both"/>
              <w:rPr>
                <w:rFonts w:hint="default" w:ascii="Arial" w:hAnsi="Arial" w:cs="Arial"/>
                <w:color w:val="auto"/>
                <w:sz w:val="24"/>
                <w:szCs w:val="24"/>
              </w:rPr>
            </w:pPr>
            <w:r>
              <w:rPr>
                <w:rFonts w:hint="default" w:ascii="Arial" w:hAnsi="Arial" w:cs="Arial"/>
                <w:color w:val="auto"/>
                <w:sz w:val="24"/>
                <w:szCs w:val="24"/>
              </w:rPr>
              <w:t>909</w:t>
            </w:r>
          </w:p>
        </w:tc>
        <w:tc>
          <w:tcPr>
            <w:tcW w:w="1900" w:type="dxa"/>
          </w:tcPr>
          <w:p w14:paraId="65843C80">
            <w:pPr>
              <w:spacing w:line="360" w:lineRule="auto"/>
              <w:jc w:val="both"/>
              <w:rPr>
                <w:rFonts w:hint="default" w:ascii="Arial" w:hAnsi="Arial" w:cs="Arial"/>
                <w:color w:val="auto"/>
                <w:sz w:val="24"/>
                <w:szCs w:val="24"/>
              </w:rPr>
            </w:pPr>
            <w:r>
              <w:rPr>
                <w:rFonts w:hint="default" w:ascii="Arial" w:hAnsi="Arial" w:cs="Arial"/>
                <w:color w:val="auto"/>
                <w:sz w:val="24"/>
                <w:szCs w:val="24"/>
              </w:rPr>
              <w:t>14.0%</w:t>
            </w:r>
          </w:p>
        </w:tc>
      </w:tr>
    </w:tbl>
    <w:p w14:paraId="73D1F77B">
      <w:pPr>
        <w:spacing w:after="120" w:line="360" w:lineRule="auto"/>
        <w:jc w:val="both"/>
        <w:rPr>
          <w:rFonts w:hint="default" w:ascii="Arial" w:hAnsi="Arial" w:cs="Arial"/>
          <w:color w:val="auto"/>
          <w:sz w:val="24"/>
          <w:szCs w:val="24"/>
        </w:rPr>
      </w:pPr>
      <w:r>
        <w:rPr>
          <w:rFonts w:hint="default" w:ascii="Arial" w:hAnsi="Arial" w:cs="Arial"/>
          <w:color w:val="auto"/>
          <w:sz w:val="24"/>
          <w:szCs w:val="24"/>
        </w:rPr>
        <w:t>Consumer brings in the most revenue but has the lowest margin of the three segments. Home Office is the smallest group by far, but the most profitable per dollar sold.</w:t>
      </w:r>
    </w:p>
    <w:p w14:paraId="6398AF08">
      <w:pPr>
        <w:pStyle w:val="3"/>
        <w:spacing w:before="220" w:after="100" w:line="360" w:lineRule="auto"/>
        <w:jc w:val="both"/>
        <w:rPr>
          <w:rFonts w:hint="default" w:ascii="Arial" w:hAnsi="Arial" w:cs="Arial"/>
          <w:color w:val="auto"/>
          <w:sz w:val="24"/>
          <w:szCs w:val="24"/>
        </w:rPr>
      </w:pPr>
      <w:r>
        <w:rPr>
          <w:rFonts w:hint="default" w:ascii="Arial" w:hAnsi="Arial" w:cs="Arial"/>
          <w:color w:val="auto"/>
          <w:sz w:val="24"/>
          <w:szCs w:val="24"/>
        </w:rPr>
        <w:t>2.6 Discount Analysis</w:t>
      </w:r>
    </w:p>
    <w:p w14:paraId="3385CA2D">
      <w:pPr>
        <w:spacing w:after="120" w:line="360" w:lineRule="auto"/>
        <w:jc w:val="both"/>
        <w:rPr>
          <w:rFonts w:hint="default" w:ascii="Arial" w:hAnsi="Arial" w:cs="Arial"/>
          <w:color w:val="auto"/>
          <w:sz w:val="24"/>
          <w:szCs w:val="24"/>
        </w:rPr>
      </w:pPr>
      <w:r>
        <w:rPr>
          <w:rFonts w:hint="default" w:ascii="Arial" w:hAnsi="Arial" w:cs="Arial"/>
          <w:color w:val="auto"/>
          <w:sz w:val="24"/>
          <w:szCs w:val="24"/>
        </w:rPr>
        <w:t>Discount and profit are negatively correlated (r = -0.22) across all line items, and it's much clearer once you group orders by discount band:</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5"/>
        <w:gridCol w:w="2375"/>
        <w:gridCol w:w="2375"/>
        <w:gridCol w:w="2375"/>
      </w:tblGrid>
      <w:tr w14:paraId="6F7A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75" w:type="dxa"/>
            <w:shd w:val="clear" w:color="auto" w:fill="000000" w:themeFill="text1"/>
          </w:tcPr>
          <w:p w14:paraId="09EC1F45">
            <w:pPr>
              <w:spacing w:line="360" w:lineRule="auto"/>
              <w:jc w:val="both"/>
              <w:rPr>
                <w:rFonts w:hint="default" w:ascii="Arial" w:hAnsi="Arial" w:cs="Arial"/>
                <w:color w:val="auto"/>
                <w:sz w:val="24"/>
                <w:szCs w:val="24"/>
              </w:rPr>
            </w:pPr>
            <w:r>
              <w:rPr>
                <w:rFonts w:hint="default" w:ascii="Arial" w:hAnsi="Arial" w:cs="Arial"/>
                <w:b/>
                <w:bCs/>
                <w:color w:val="auto"/>
                <w:sz w:val="24"/>
                <w:szCs w:val="24"/>
              </w:rPr>
              <w:t>Discount Band</w:t>
            </w:r>
          </w:p>
        </w:tc>
        <w:tc>
          <w:tcPr>
            <w:tcW w:w="2375" w:type="dxa"/>
            <w:shd w:val="clear" w:color="auto" w:fill="000000" w:themeFill="text1"/>
          </w:tcPr>
          <w:p w14:paraId="34E24785">
            <w:pPr>
              <w:spacing w:line="360" w:lineRule="auto"/>
              <w:jc w:val="both"/>
              <w:rPr>
                <w:rFonts w:hint="default" w:ascii="Arial" w:hAnsi="Arial" w:cs="Arial"/>
                <w:color w:val="auto"/>
                <w:sz w:val="24"/>
                <w:szCs w:val="24"/>
              </w:rPr>
            </w:pPr>
            <w:r>
              <w:rPr>
                <w:rFonts w:hint="default" w:ascii="Arial" w:hAnsi="Arial" w:cs="Arial"/>
                <w:b/>
                <w:bCs/>
                <w:color w:val="auto"/>
                <w:sz w:val="24"/>
                <w:szCs w:val="24"/>
              </w:rPr>
              <w:t>Sales</w:t>
            </w:r>
          </w:p>
        </w:tc>
        <w:tc>
          <w:tcPr>
            <w:tcW w:w="2375" w:type="dxa"/>
            <w:shd w:val="clear" w:color="auto" w:fill="000000" w:themeFill="text1"/>
          </w:tcPr>
          <w:p w14:paraId="127E5DC5">
            <w:pPr>
              <w:spacing w:line="360" w:lineRule="auto"/>
              <w:jc w:val="both"/>
              <w:rPr>
                <w:rFonts w:hint="default" w:ascii="Arial" w:hAnsi="Arial" w:cs="Arial"/>
                <w:color w:val="auto"/>
                <w:sz w:val="24"/>
                <w:szCs w:val="24"/>
              </w:rPr>
            </w:pPr>
            <w:r>
              <w:rPr>
                <w:rFonts w:hint="default" w:ascii="Arial" w:hAnsi="Arial" w:cs="Arial"/>
                <w:b/>
                <w:bCs/>
                <w:color w:val="auto"/>
                <w:sz w:val="24"/>
                <w:szCs w:val="24"/>
              </w:rPr>
              <w:t>Profit</w:t>
            </w:r>
          </w:p>
        </w:tc>
        <w:tc>
          <w:tcPr>
            <w:tcW w:w="2375" w:type="dxa"/>
            <w:shd w:val="clear" w:color="auto" w:fill="000000" w:themeFill="text1"/>
          </w:tcPr>
          <w:p w14:paraId="70D5A561">
            <w:pPr>
              <w:spacing w:line="360" w:lineRule="auto"/>
              <w:jc w:val="both"/>
              <w:rPr>
                <w:rFonts w:hint="default" w:ascii="Arial" w:hAnsi="Arial" w:cs="Arial"/>
                <w:color w:val="auto"/>
                <w:sz w:val="24"/>
                <w:szCs w:val="24"/>
              </w:rPr>
            </w:pPr>
            <w:r>
              <w:rPr>
                <w:rFonts w:hint="default" w:ascii="Arial" w:hAnsi="Arial" w:cs="Arial"/>
                <w:b/>
                <w:bCs/>
                <w:color w:val="auto"/>
                <w:sz w:val="24"/>
                <w:szCs w:val="24"/>
              </w:rPr>
              <w:t>Margin</w:t>
            </w:r>
          </w:p>
        </w:tc>
      </w:tr>
      <w:tr w14:paraId="7E0D2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32A3982F">
            <w:pPr>
              <w:spacing w:line="360" w:lineRule="auto"/>
              <w:jc w:val="both"/>
              <w:rPr>
                <w:rFonts w:hint="default" w:ascii="Arial" w:hAnsi="Arial" w:cs="Arial"/>
                <w:color w:val="auto"/>
                <w:sz w:val="24"/>
                <w:szCs w:val="24"/>
              </w:rPr>
            </w:pPr>
            <w:r>
              <w:rPr>
                <w:rFonts w:hint="default" w:ascii="Arial" w:hAnsi="Arial" w:cs="Arial"/>
                <w:color w:val="auto"/>
                <w:sz w:val="24"/>
                <w:szCs w:val="24"/>
              </w:rPr>
              <w:t>0% (no discount)</w:t>
            </w:r>
          </w:p>
        </w:tc>
        <w:tc>
          <w:tcPr>
            <w:tcW w:w="2375" w:type="dxa"/>
          </w:tcPr>
          <w:p w14:paraId="30ED70E0">
            <w:pPr>
              <w:spacing w:line="360" w:lineRule="auto"/>
              <w:jc w:val="both"/>
              <w:rPr>
                <w:rFonts w:hint="default" w:ascii="Arial" w:hAnsi="Arial" w:cs="Arial"/>
                <w:color w:val="auto"/>
                <w:sz w:val="24"/>
                <w:szCs w:val="24"/>
              </w:rPr>
            </w:pPr>
            <w:r>
              <w:rPr>
                <w:rFonts w:hint="default" w:ascii="Arial" w:hAnsi="Arial" w:cs="Arial"/>
                <w:color w:val="auto"/>
                <w:sz w:val="24"/>
                <w:szCs w:val="24"/>
              </w:rPr>
              <w:t>$1,087,908</w:t>
            </w:r>
          </w:p>
        </w:tc>
        <w:tc>
          <w:tcPr>
            <w:tcW w:w="2375" w:type="dxa"/>
          </w:tcPr>
          <w:p w14:paraId="7B952191">
            <w:pPr>
              <w:spacing w:line="360" w:lineRule="auto"/>
              <w:jc w:val="both"/>
              <w:rPr>
                <w:rFonts w:hint="default" w:ascii="Arial" w:hAnsi="Arial" w:cs="Arial"/>
                <w:color w:val="auto"/>
                <w:sz w:val="24"/>
                <w:szCs w:val="24"/>
              </w:rPr>
            </w:pPr>
            <w:r>
              <w:rPr>
                <w:rFonts w:hint="default" w:ascii="Arial" w:hAnsi="Arial" w:cs="Arial"/>
                <w:color w:val="auto"/>
                <w:sz w:val="24"/>
                <w:szCs w:val="24"/>
              </w:rPr>
              <w:t>$320,988</w:t>
            </w:r>
          </w:p>
        </w:tc>
        <w:tc>
          <w:tcPr>
            <w:tcW w:w="2375" w:type="dxa"/>
          </w:tcPr>
          <w:p w14:paraId="2E31C8F5">
            <w:pPr>
              <w:spacing w:line="360" w:lineRule="auto"/>
              <w:jc w:val="both"/>
              <w:rPr>
                <w:rFonts w:hint="default" w:ascii="Arial" w:hAnsi="Arial" w:cs="Arial"/>
                <w:color w:val="auto"/>
                <w:sz w:val="24"/>
                <w:szCs w:val="24"/>
              </w:rPr>
            </w:pPr>
            <w:r>
              <w:rPr>
                <w:rFonts w:hint="default" w:ascii="Arial" w:hAnsi="Arial" w:cs="Arial"/>
                <w:color w:val="auto"/>
                <w:sz w:val="24"/>
                <w:szCs w:val="24"/>
              </w:rPr>
              <w:t>29.5%</w:t>
            </w:r>
          </w:p>
        </w:tc>
      </w:tr>
      <w:tr w14:paraId="5EEC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2F85238D">
            <w:pPr>
              <w:spacing w:line="360" w:lineRule="auto"/>
              <w:jc w:val="both"/>
              <w:rPr>
                <w:rFonts w:hint="default" w:ascii="Arial" w:hAnsi="Arial" w:cs="Arial"/>
                <w:color w:val="auto"/>
                <w:sz w:val="24"/>
                <w:szCs w:val="24"/>
              </w:rPr>
            </w:pPr>
            <w:r>
              <w:rPr>
                <w:rFonts w:hint="default" w:ascii="Arial" w:hAnsi="Arial" w:cs="Arial"/>
                <w:color w:val="auto"/>
                <w:sz w:val="24"/>
                <w:szCs w:val="24"/>
              </w:rPr>
              <w:t>1–10%</w:t>
            </w:r>
          </w:p>
        </w:tc>
        <w:tc>
          <w:tcPr>
            <w:tcW w:w="2375" w:type="dxa"/>
          </w:tcPr>
          <w:p w14:paraId="694F723C">
            <w:pPr>
              <w:spacing w:line="360" w:lineRule="auto"/>
              <w:jc w:val="both"/>
              <w:rPr>
                <w:rFonts w:hint="default" w:ascii="Arial" w:hAnsi="Arial" w:cs="Arial"/>
                <w:color w:val="auto"/>
                <w:sz w:val="24"/>
                <w:szCs w:val="24"/>
              </w:rPr>
            </w:pPr>
            <w:r>
              <w:rPr>
                <w:rFonts w:hint="default" w:ascii="Arial" w:hAnsi="Arial" w:cs="Arial"/>
                <w:color w:val="auto"/>
                <w:sz w:val="24"/>
                <w:szCs w:val="24"/>
              </w:rPr>
              <w:t>$54,369</w:t>
            </w:r>
          </w:p>
        </w:tc>
        <w:tc>
          <w:tcPr>
            <w:tcW w:w="2375" w:type="dxa"/>
          </w:tcPr>
          <w:p w14:paraId="0A3741CA">
            <w:pPr>
              <w:spacing w:line="360" w:lineRule="auto"/>
              <w:jc w:val="both"/>
              <w:rPr>
                <w:rFonts w:hint="default" w:ascii="Arial" w:hAnsi="Arial" w:cs="Arial"/>
                <w:color w:val="auto"/>
                <w:sz w:val="24"/>
                <w:szCs w:val="24"/>
              </w:rPr>
            </w:pPr>
            <w:r>
              <w:rPr>
                <w:rFonts w:hint="default" w:ascii="Arial" w:hAnsi="Arial" w:cs="Arial"/>
                <w:color w:val="auto"/>
                <w:sz w:val="24"/>
                <w:szCs w:val="24"/>
              </w:rPr>
              <w:t>$9,029</w:t>
            </w:r>
          </w:p>
        </w:tc>
        <w:tc>
          <w:tcPr>
            <w:tcW w:w="2375" w:type="dxa"/>
          </w:tcPr>
          <w:p w14:paraId="5161BE12">
            <w:pPr>
              <w:spacing w:line="360" w:lineRule="auto"/>
              <w:jc w:val="both"/>
              <w:rPr>
                <w:rFonts w:hint="default" w:ascii="Arial" w:hAnsi="Arial" w:cs="Arial"/>
                <w:color w:val="auto"/>
                <w:sz w:val="24"/>
                <w:szCs w:val="24"/>
              </w:rPr>
            </w:pPr>
            <w:r>
              <w:rPr>
                <w:rFonts w:hint="default" w:ascii="Arial" w:hAnsi="Arial" w:cs="Arial"/>
                <w:color w:val="auto"/>
                <w:sz w:val="24"/>
                <w:szCs w:val="24"/>
              </w:rPr>
              <w:t>16.6%</w:t>
            </w:r>
          </w:p>
        </w:tc>
      </w:tr>
      <w:tr w14:paraId="6E5CD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4E54CC07">
            <w:pPr>
              <w:spacing w:line="360" w:lineRule="auto"/>
              <w:jc w:val="both"/>
              <w:rPr>
                <w:rFonts w:hint="default" w:ascii="Arial" w:hAnsi="Arial" w:cs="Arial"/>
                <w:color w:val="auto"/>
                <w:sz w:val="24"/>
                <w:szCs w:val="24"/>
              </w:rPr>
            </w:pPr>
            <w:r>
              <w:rPr>
                <w:rFonts w:hint="default" w:ascii="Arial" w:hAnsi="Arial" w:cs="Arial"/>
                <w:color w:val="auto"/>
                <w:sz w:val="24"/>
                <w:szCs w:val="24"/>
              </w:rPr>
              <w:t>11–20%</w:t>
            </w:r>
          </w:p>
        </w:tc>
        <w:tc>
          <w:tcPr>
            <w:tcW w:w="2375" w:type="dxa"/>
          </w:tcPr>
          <w:p w14:paraId="2160E950">
            <w:pPr>
              <w:spacing w:line="360" w:lineRule="auto"/>
              <w:jc w:val="both"/>
              <w:rPr>
                <w:rFonts w:hint="default" w:ascii="Arial" w:hAnsi="Arial" w:cs="Arial"/>
                <w:color w:val="auto"/>
                <w:sz w:val="24"/>
                <w:szCs w:val="24"/>
              </w:rPr>
            </w:pPr>
            <w:r>
              <w:rPr>
                <w:rFonts w:hint="default" w:ascii="Arial" w:hAnsi="Arial" w:cs="Arial"/>
                <w:color w:val="auto"/>
                <w:sz w:val="24"/>
                <w:szCs w:val="24"/>
              </w:rPr>
              <w:t>$792,153</w:t>
            </w:r>
          </w:p>
        </w:tc>
        <w:tc>
          <w:tcPr>
            <w:tcW w:w="2375" w:type="dxa"/>
          </w:tcPr>
          <w:p w14:paraId="434B48A3">
            <w:pPr>
              <w:spacing w:line="360" w:lineRule="auto"/>
              <w:jc w:val="both"/>
              <w:rPr>
                <w:rFonts w:hint="default" w:ascii="Arial" w:hAnsi="Arial" w:cs="Arial"/>
                <w:color w:val="auto"/>
                <w:sz w:val="24"/>
                <w:szCs w:val="24"/>
              </w:rPr>
            </w:pPr>
            <w:r>
              <w:rPr>
                <w:rFonts w:hint="default" w:ascii="Arial" w:hAnsi="Arial" w:cs="Arial"/>
                <w:color w:val="auto"/>
                <w:sz w:val="24"/>
                <w:szCs w:val="24"/>
              </w:rPr>
              <w:t>$91,756</w:t>
            </w:r>
          </w:p>
        </w:tc>
        <w:tc>
          <w:tcPr>
            <w:tcW w:w="2375" w:type="dxa"/>
          </w:tcPr>
          <w:p w14:paraId="22E2C7A3">
            <w:pPr>
              <w:spacing w:line="360" w:lineRule="auto"/>
              <w:jc w:val="both"/>
              <w:rPr>
                <w:rFonts w:hint="default" w:ascii="Arial" w:hAnsi="Arial" w:cs="Arial"/>
                <w:color w:val="auto"/>
                <w:sz w:val="24"/>
                <w:szCs w:val="24"/>
              </w:rPr>
            </w:pPr>
            <w:r>
              <w:rPr>
                <w:rFonts w:hint="default" w:ascii="Arial" w:hAnsi="Arial" w:cs="Arial"/>
                <w:color w:val="auto"/>
                <w:sz w:val="24"/>
                <w:szCs w:val="24"/>
              </w:rPr>
              <w:t>11.6%</w:t>
            </w:r>
          </w:p>
        </w:tc>
      </w:tr>
      <w:tr w14:paraId="5ED61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290E532F">
            <w:pPr>
              <w:spacing w:line="360" w:lineRule="auto"/>
              <w:jc w:val="both"/>
              <w:rPr>
                <w:rFonts w:hint="default" w:ascii="Arial" w:hAnsi="Arial" w:cs="Arial"/>
                <w:color w:val="auto"/>
                <w:sz w:val="24"/>
                <w:szCs w:val="24"/>
              </w:rPr>
            </w:pPr>
            <w:r>
              <w:rPr>
                <w:rFonts w:hint="default" w:ascii="Arial" w:hAnsi="Arial" w:cs="Arial"/>
                <w:color w:val="auto"/>
                <w:sz w:val="24"/>
                <w:szCs w:val="24"/>
              </w:rPr>
              <w:t>21–30%</w:t>
            </w:r>
          </w:p>
        </w:tc>
        <w:tc>
          <w:tcPr>
            <w:tcW w:w="2375" w:type="dxa"/>
          </w:tcPr>
          <w:p w14:paraId="71284DBE">
            <w:pPr>
              <w:spacing w:line="360" w:lineRule="auto"/>
              <w:jc w:val="both"/>
              <w:rPr>
                <w:rFonts w:hint="default" w:ascii="Arial" w:hAnsi="Arial" w:cs="Arial"/>
                <w:color w:val="auto"/>
                <w:sz w:val="24"/>
                <w:szCs w:val="24"/>
              </w:rPr>
            </w:pPr>
            <w:r>
              <w:rPr>
                <w:rFonts w:hint="default" w:ascii="Arial" w:hAnsi="Arial" w:cs="Arial"/>
                <w:color w:val="auto"/>
                <w:sz w:val="24"/>
                <w:szCs w:val="24"/>
              </w:rPr>
              <w:t>$103,227</w:t>
            </w:r>
          </w:p>
        </w:tc>
        <w:tc>
          <w:tcPr>
            <w:tcW w:w="2375" w:type="dxa"/>
          </w:tcPr>
          <w:p w14:paraId="3D3941D4">
            <w:pPr>
              <w:spacing w:line="360" w:lineRule="auto"/>
              <w:jc w:val="both"/>
              <w:rPr>
                <w:rFonts w:hint="default" w:ascii="Arial" w:hAnsi="Arial" w:cs="Arial"/>
                <w:color w:val="auto"/>
                <w:sz w:val="24"/>
                <w:szCs w:val="24"/>
              </w:rPr>
            </w:pPr>
            <w:r>
              <w:rPr>
                <w:rFonts w:hint="default" w:ascii="Arial" w:hAnsi="Arial" w:cs="Arial"/>
                <w:color w:val="auto"/>
                <w:sz w:val="24"/>
                <w:szCs w:val="24"/>
              </w:rPr>
              <w:t>-$10,369</w:t>
            </w:r>
          </w:p>
        </w:tc>
        <w:tc>
          <w:tcPr>
            <w:tcW w:w="2375" w:type="dxa"/>
          </w:tcPr>
          <w:p w14:paraId="1841354D">
            <w:pPr>
              <w:spacing w:line="360" w:lineRule="auto"/>
              <w:jc w:val="both"/>
              <w:rPr>
                <w:rFonts w:hint="default" w:ascii="Arial" w:hAnsi="Arial" w:cs="Arial"/>
                <w:color w:val="auto"/>
                <w:sz w:val="24"/>
                <w:szCs w:val="24"/>
              </w:rPr>
            </w:pPr>
            <w:r>
              <w:rPr>
                <w:rFonts w:hint="default" w:ascii="Arial" w:hAnsi="Arial" w:cs="Arial"/>
                <w:color w:val="auto"/>
                <w:sz w:val="24"/>
                <w:szCs w:val="24"/>
              </w:rPr>
              <w:t>-10.0%</w:t>
            </w:r>
          </w:p>
        </w:tc>
      </w:tr>
      <w:tr w14:paraId="43517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08598451">
            <w:pPr>
              <w:spacing w:line="360" w:lineRule="auto"/>
              <w:jc w:val="both"/>
              <w:rPr>
                <w:rFonts w:hint="default" w:ascii="Arial" w:hAnsi="Arial" w:cs="Arial"/>
                <w:color w:val="auto"/>
                <w:sz w:val="24"/>
                <w:szCs w:val="24"/>
              </w:rPr>
            </w:pPr>
            <w:r>
              <w:rPr>
                <w:rFonts w:hint="default" w:ascii="Arial" w:hAnsi="Arial" w:cs="Arial"/>
                <w:color w:val="auto"/>
                <w:sz w:val="24"/>
                <w:szCs w:val="24"/>
              </w:rPr>
              <w:t>31–50%</w:t>
            </w:r>
          </w:p>
        </w:tc>
        <w:tc>
          <w:tcPr>
            <w:tcW w:w="2375" w:type="dxa"/>
          </w:tcPr>
          <w:p w14:paraId="05CCBFB8">
            <w:pPr>
              <w:spacing w:line="360" w:lineRule="auto"/>
              <w:jc w:val="both"/>
              <w:rPr>
                <w:rFonts w:hint="default" w:ascii="Arial" w:hAnsi="Arial" w:cs="Arial"/>
                <w:color w:val="auto"/>
                <w:sz w:val="24"/>
                <w:szCs w:val="24"/>
              </w:rPr>
            </w:pPr>
            <w:r>
              <w:rPr>
                <w:rFonts w:hint="default" w:ascii="Arial" w:hAnsi="Arial" w:cs="Arial"/>
                <w:color w:val="auto"/>
                <w:sz w:val="24"/>
                <w:szCs w:val="24"/>
              </w:rPr>
              <w:t>$195,315</w:t>
            </w:r>
          </w:p>
        </w:tc>
        <w:tc>
          <w:tcPr>
            <w:tcW w:w="2375" w:type="dxa"/>
          </w:tcPr>
          <w:p w14:paraId="3CAFE809">
            <w:pPr>
              <w:spacing w:line="360" w:lineRule="auto"/>
              <w:jc w:val="both"/>
              <w:rPr>
                <w:rFonts w:hint="default" w:ascii="Arial" w:hAnsi="Arial" w:cs="Arial"/>
                <w:color w:val="auto"/>
                <w:sz w:val="24"/>
                <w:szCs w:val="24"/>
              </w:rPr>
            </w:pPr>
            <w:r>
              <w:rPr>
                <w:rFonts w:hint="default" w:ascii="Arial" w:hAnsi="Arial" w:cs="Arial"/>
                <w:color w:val="auto"/>
                <w:sz w:val="24"/>
                <w:szCs w:val="24"/>
              </w:rPr>
              <w:t>-$48,448</w:t>
            </w:r>
          </w:p>
        </w:tc>
        <w:tc>
          <w:tcPr>
            <w:tcW w:w="2375" w:type="dxa"/>
          </w:tcPr>
          <w:p w14:paraId="682D3A2E">
            <w:pPr>
              <w:spacing w:line="360" w:lineRule="auto"/>
              <w:jc w:val="both"/>
              <w:rPr>
                <w:rFonts w:hint="default" w:ascii="Arial" w:hAnsi="Arial" w:cs="Arial"/>
                <w:color w:val="auto"/>
                <w:sz w:val="24"/>
                <w:szCs w:val="24"/>
              </w:rPr>
            </w:pPr>
            <w:r>
              <w:rPr>
                <w:rFonts w:hint="default" w:ascii="Arial" w:hAnsi="Arial" w:cs="Arial"/>
                <w:color w:val="auto"/>
                <w:sz w:val="24"/>
                <w:szCs w:val="24"/>
              </w:rPr>
              <w:t>-24.8%</w:t>
            </w:r>
          </w:p>
        </w:tc>
      </w:tr>
      <w:tr w14:paraId="57A4B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75" w:type="dxa"/>
          </w:tcPr>
          <w:p w14:paraId="5AD5818E">
            <w:pPr>
              <w:spacing w:line="360" w:lineRule="auto"/>
              <w:jc w:val="both"/>
              <w:rPr>
                <w:rFonts w:hint="default" w:ascii="Arial" w:hAnsi="Arial" w:cs="Arial"/>
                <w:color w:val="auto"/>
                <w:sz w:val="24"/>
                <w:szCs w:val="24"/>
              </w:rPr>
            </w:pPr>
            <w:r>
              <w:rPr>
                <w:rFonts w:hint="default" w:ascii="Arial" w:hAnsi="Arial" w:cs="Arial"/>
                <w:color w:val="auto"/>
                <w:sz w:val="24"/>
                <w:szCs w:val="24"/>
              </w:rPr>
              <w:t>51%+</w:t>
            </w:r>
          </w:p>
        </w:tc>
        <w:tc>
          <w:tcPr>
            <w:tcW w:w="2375" w:type="dxa"/>
          </w:tcPr>
          <w:p w14:paraId="48195902">
            <w:pPr>
              <w:spacing w:line="360" w:lineRule="auto"/>
              <w:jc w:val="both"/>
              <w:rPr>
                <w:rFonts w:hint="default" w:ascii="Arial" w:hAnsi="Arial" w:cs="Arial"/>
                <w:color w:val="auto"/>
                <w:sz w:val="24"/>
                <w:szCs w:val="24"/>
              </w:rPr>
            </w:pPr>
            <w:r>
              <w:rPr>
                <w:rFonts w:hint="default" w:ascii="Arial" w:hAnsi="Arial" w:cs="Arial"/>
                <w:color w:val="auto"/>
                <w:sz w:val="24"/>
                <w:szCs w:val="24"/>
              </w:rPr>
              <w:t>$64,229</w:t>
            </w:r>
          </w:p>
        </w:tc>
        <w:tc>
          <w:tcPr>
            <w:tcW w:w="2375" w:type="dxa"/>
          </w:tcPr>
          <w:p w14:paraId="4061371C">
            <w:pPr>
              <w:spacing w:line="360" w:lineRule="auto"/>
              <w:jc w:val="both"/>
              <w:rPr>
                <w:rFonts w:hint="default" w:ascii="Arial" w:hAnsi="Arial" w:cs="Arial"/>
                <w:color w:val="auto"/>
                <w:sz w:val="24"/>
                <w:szCs w:val="24"/>
              </w:rPr>
            </w:pPr>
            <w:r>
              <w:rPr>
                <w:rFonts w:hint="default" w:ascii="Arial" w:hAnsi="Arial" w:cs="Arial"/>
                <w:color w:val="auto"/>
                <w:sz w:val="24"/>
                <w:szCs w:val="24"/>
              </w:rPr>
              <w:t>-$76,559</w:t>
            </w:r>
          </w:p>
        </w:tc>
        <w:tc>
          <w:tcPr>
            <w:tcW w:w="2375" w:type="dxa"/>
          </w:tcPr>
          <w:p w14:paraId="1A99008A">
            <w:pPr>
              <w:spacing w:line="360" w:lineRule="auto"/>
              <w:jc w:val="both"/>
              <w:rPr>
                <w:rFonts w:hint="default" w:ascii="Arial" w:hAnsi="Arial" w:cs="Arial"/>
                <w:color w:val="auto"/>
                <w:sz w:val="24"/>
                <w:szCs w:val="24"/>
              </w:rPr>
            </w:pPr>
            <w:r>
              <w:rPr>
                <w:rFonts w:hint="default" w:ascii="Arial" w:hAnsi="Arial" w:cs="Arial"/>
                <w:color w:val="auto"/>
                <w:sz w:val="24"/>
                <w:szCs w:val="24"/>
              </w:rPr>
              <w:t>-119.2%</w:t>
            </w:r>
          </w:p>
        </w:tc>
      </w:tr>
    </w:tbl>
    <w:p w14:paraId="64F8FC11">
      <w:pPr>
        <w:spacing w:after="120" w:line="360" w:lineRule="auto"/>
        <w:jc w:val="both"/>
        <w:rPr>
          <w:rFonts w:hint="default" w:ascii="Arial" w:hAnsi="Arial" w:cs="Arial"/>
          <w:color w:val="auto"/>
          <w:sz w:val="24"/>
          <w:szCs w:val="24"/>
        </w:rPr>
      </w:pPr>
      <w:r>
        <w:rPr>
          <w:rFonts w:hint="default" w:ascii="Arial" w:hAnsi="Arial" w:cs="Arial"/>
          <w:color w:val="auto"/>
          <w:sz w:val="24"/>
          <w:szCs w:val="24"/>
        </w:rPr>
        <w:t>This is the clearest pattern in the dataset: every order discounted above 20% loses money on average, and past 50% the company loses more than the full sale value. Discounting up to 20% is fine — profit stays positive the whole way through that range.</w:t>
      </w:r>
    </w:p>
    <w:p w14:paraId="63959E0F">
      <w:pPr>
        <w:pStyle w:val="2"/>
        <w:spacing w:before="300" w:after="150" w:line="360" w:lineRule="auto"/>
        <w:jc w:val="both"/>
        <w:rPr>
          <w:rFonts w:hint="default" w:ascii="Arial" w:hAnsi="Arial" w:cs="Arial"/>
          <w:color w:val="auto"/>
          <w:sz w:val="24"/>
          <w:szCs w:val="24"/>
        </w:rPr>
      </w:pPr>
      <w:r>
        <w:rPr>
          <w:rFonts w:hint="default" w:ascii="Arial" w:hAnsi="Arial" w:cs="Arial"/>
          <w:color w:val="auto"/>
          <w:sz w:val="24"/>
          <w:szCs w:val="24"/>
        </w:rPr>
        <w:t>3. Time-Based Analysis</w:t>
      </w:r>
    </w:p>
    <w:p w14:paraId="46A30E29">
      <w:pPr>
        <w:pStyle w:val="3"/>
        <w:spacing w:before="220" w:after="100" w:line="360" w:lineRule="auto"/>
        <w:jc w:val="both"/>
        <w:rPr>
          <w:rFonts w:hint="default" w:ascii="Arial" w:hAnsi="Arial" w:cs="Arial"/>
          <w:color w:val="auto"/>
          <w:sz w:val="24"/>
          <w:szCs w:val="24"/>
        </w:rPr>
      </w:pPr>
      <w:r>
        <w:rPr>
          <w:rFonts w:hint="default" w:ascii="Arial" w:hAnsi="Arial" w:cs="Arial"/>
          <w:color w:val="auto"/>
          <w:sz w:val="24"/>
          <w:szCs w:val="24"/>
        </w:rPr>
        <w:t>Seasonality (all years combined, by month)</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66"/>
        <w:gridCol w:w="3167"/>
        <w:gridCol w:w="3167"/>
      </w:tblGrid>
      <w:tr w14:paraId="28DB4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66" w:type="dxa"/>
            <w:shd w:val="clear" w:color="auto" w:fill="000000" w:themeFill="text1"/>
          </w:tcPr>
          <w:p w14:paraId="2DDB8397">
            <w:pPr>
              <w:spacing w:line="360" w:lineRule="auto"/>
              <w:jc w:val="both"/>
              <w:rPr>
                <w:rFonts w:hint="default" w:ascii="Arial" w:hAnsi="Arial" w:cs="Arial"/>
                <w:color w:val="auto"/>
                <w:sz w:val="24"/>
                <w:szCs w:val="24"/>
              </w:rPr>
            </w:pPr>
            <w:r>
              <w:rPr>
                <w:rFonts w:hint="default" w:ascii="Arial" w:hAnsi="Arial" w:cs="Arial"/>
                <w:b/>
                <w:bCs/>
                <w:color w:val="auto"/>
                <w:sz w:val="24"/>
                <w:szCs w:val="24"/>
              </w:rPr>
              <w:t>Month</w:t>
            </w:r>
          </w:p>
        </w:tc>
        <w:tc>
          <w:tcPr>
            <w:tcW w:w="3166" w:type="dxa"/>
            <w:shd w:val="clear" w:color="auto" w:fill="000000" w:themeFill="text1"/>
          </w:tcPr>
          <w:p w14:paraId="76B3E9A7">
            <w:pPr>
              <w:spacing w:line="360" w:lineRule="auto"/>
              <w:jc w:val="both"/>
              <w:rPr>
                <w:rFonts w:hint="default" w:ascii="Arial" w:hAnsi="Arial" w:cs="Arial"/>
                <w:color w:val="auto"/>
                <w:sz w:val="24"/>
                <w:szCs w:val="24"/>
              </w:rPr>
            </w:pPr>
            <w:r>
              <w:rPr>
                <w:rFonts w:hint="default" w:ascii="Arial" w:hAnsi="Arial" w:cs="Arial"/>
                <w:b/>
                <w:bCs/>
                <w:color w:val="auto"/>
                <w:sz w:val="24"/>
                <w:szCs w:val="24"/>
              </w:rPr>
              <w:t>Sales</w:t>
            </w:r>
          </w:p>
        </w:tc>
        <w:tc>
          <w:tcPr>
            <w:tcW w:w="3166" w:type="dxa"/>
            <w:shd w:val="clear" w:color="auto" w:fill="000000" w:themeFill="text1"/>
          </w:tcPr>
          <w:p w14:paraId="26A38771">
            <w:pPr>
              <w:spacing w:line="360" w:lineRule="auto"/>
              <w:jc w:val="both"/>
              <w:rPr>
                <w:rFonts w:hint="default" w:ascii="Arial" w:hAnsi="Arial" w:cs="Arial"/>
                <w:color w:val="auto"/>
                <w:sz w:val="24"/>
                <w:szCs w:val="24"/>
              </w:rPr>
            </w:pPr>
            <w:r>
              <w:rPr>
                <w:rFonts w:hint="default" w:ascii="Arial" w:hAnsi="Arial" w:cs="Arial"/>
                <w:b/>
                <w:bCs/>
                <w:color w:val="auto"/>
                <w:sz w:val="24"/>
                <w:szCs w:val="24"/>
              </w:rPr>
              <w:t>Profit</w:t>
            </w:r>
          </w:p>
        </w:tc>
      </w:tr>
      <w:tr w14:paraId="0D4E4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6" w:type="dxa"/>
          </w:tcPr>
          <w:p w14:paraId="671106D1">
            <w:pPr>
              <w:spacing w:line="360" w:lineRule="auto"/>
              <w:jc w:val="both"/>
              <w:rPr>
                <w:rFonts w:hint="default" w:ascii="Arial" w:hAnsi="Arial" w:cs="Arial"/>
                <w:color w:val="auto"/>
                <w:sz w:val="24"/>
                <w:szCs w:val="24"/>
              </w:rPr>
            </w:pPr>
            <w:r>
              <w:rPr>
                <w:rFonts w:hint="default" w:ascii="Arial" w:hAnsi="Arial" w:cs="Arial"/>
                <w:color w:val="auto"/>
                <w:sz w:val="24"/>
                <w:szCs w:val="24"/>
              </w:rPr>
              <w:t>November</w:t>
            </w:r>
          </w:p>
        </w:tc>
        <w:tc>
          <w:tcPr>
            <w:tcW w:w="3166" w:type="dxa"/>
          </w:tcPr>
          <w:p w14:paraId="5B7F4B95">
            <w:pPr>
              <w:spacing w:line="360" w:lineRule="auto"/>
              <w:jc w:val="both"/>
              <w:rPr>
                <w:rFonts w:hint="default" w:ascii="Arial" w:hAnsi="Arial" w:cs="Arial"/>
                <w:color w:val="auto"/>
                <w:sz w:val="24"/>
                <w:szCs w:val="24"/>
              </w:rPr>
            </w:pPr>
            <w:r>
              <w:rPr>
                <w:rFonts w:hint="default" w:ascii="Arial" w:hAnsi="Arial" w:cs="Arial"/>
                <w:color w:val="auto"/>
                <w:sz w:val="24"/>
                <w:szCs w:val="24"/>
              </w:rPr>
              <w:t>$352,461</w:t>
            </w:r>
          </w:p>
        </w:tc>
        <w:tc>
          <w:tcPr>
            <w:tcW w:w="3166" w:type="dxa"/>
          </w:tcPr>
          <w:p w14:paraId="41F5391E">
            <w:pPr>
              <w:spacing w:line="360" w:lineRule="auto"/>
              <w:jc w:val="both"/>
              <w:rPr>
                <w:rFonts w:hint="default" w:ascii="Arial" w:hAnsi="Arial" w:cs="Arial"/>
                <w:color w:val="auto"/>
                <w:sz w:val="24"/>
                <w:szCs w:val="24"/>
              </w:rPr>
            </w:pPr>
            <w:r>
              <w:rPr>
                <w:rFonts w:hint="default" w:ascii="Arial" w:hAnsi="Arial" w:cs="Arial"/>
                <w:color w:val="auto"/>
                <w:sz w:val="24"/>
                <w:szCs w:val="24"/>
              </w:rPr>
              <w:t>$35,468</w:t>
            </w:r>
          </w:p>
        </w:tc>
      </w:tr>
      <w:tr w14:paraId="363CD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6" w:type="dxa"/>
          </w:tcPr>
          <w:p w14:paraId="3DCC6C48">
            <w:pPr>
              <w:spacing w:line="360" w:lineRule="auto"/>
              <w:jc w:val="both"/>
              <w:rPr>
                <w:rFonts w:hint="default" w:ascii="Arial" w:hAnsi="Arial" w:cs="Arial"/>
                <w:color w:val="auto"/>
                <w:sz w:val="24"/>
                <w:szCs w:val="24"/>
              </w:rPr>
            </w:pPr>
            <w:r>
              <w:rPr>
                <w:rFonts w:hint="default" w:ascii="Arial" w:hAnsi="Arial" w:cs="Arial"/>
                <w:color w:val="auto"/>
                <w:sz w:val="24"/>
                <w:szCs w:val="24"/>
              </w:rPr>
              <w:t>December</w:t>
            </w:r>
          </w:p>
        </w:tc>
        <w:tc>
          <w:tcPr>
            <w:tcW w:w="3166" w:type="dxa"/>
          </w:tcPr>
          <w:p w14:paraId="5F5B72D2">
            <w:pPr>
              <w:spacing w:line="360" w:lineRule="auto"/>
              <w:jc w:val="both"/>
              <w:rPr>
                <w:rFonts w:hint="default" w:ascii="Arial" w:hAnsi="Arial" w:cs="Arial"/>
                <w:color w:val="auto"/>
                <w:sz w:val="24"/>
                <w:szCs w:val="24"/>
              </w:rPr>
            </w:pPr>
            <w:r>
              <w:rPr>
                <w:rFonts w:hint="default" w:ascii="Arial" w:hAnsi="Arial" w:cs="Arial"/>
                <w:color w:val="auto"/>
                <w:sz w:val="24"/>
                <w:szCs w:val="24"/>
              </w:rPr>
              <w:t>$325,294</w:t>
            </w:r>
          </w:p>
        </w:tc>
        <w:tc>
          <w:tcPr>
            <w:tcW w:w="3166" w:type="dxa"/>
          </w:tcPr>
          <w:p w14:paraId="7375D994">
            <w:pPr>
              <w:spacing w:line="360" w:lineRule="auto"/>
              <w:jc w:val="both"/>
              <w:rPr>
                <w:rFonts w:hint="default" w:ascii="Arial" w:hAnsi="Arial" w:cs="Arial"/>
                <w:color w:val="auto"/>
                <w:sz w:val="24"/>
                <w:szCs w:val="24"/>
              </w:rPr>
            </w:pPr>
            <w:r>
              <w:rPr>
                <w:rFonts w:hint="default" w:ascii="Arial" w:hAnsi="Arial" w:cs="Arial"/>
                <w:color w:val="auto"/>
                <w:sz w:val="24"/>
                <w:szCs w:val="24"/>
              </w:rPr>
              <w:t>$43,369</w:t>
            </w:r>
          </w:p>
        </w:tc>
      </w:tr>
      <w:tr w14:paraId="0051D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6" w:type="dxa"/>
          </w:tcPr>
          <w:p w14:paraId="17DE95E6">
            <w:pPr>
              <w:spacing w:line="360" w:lineRule="auto"/>
              <w:jc w:val="both"/>
              <w:rPr>
                <w:rFonts w:hint="default" w:ascii="Arial" w:hAnsi="Arial" w:cs="Arial"/>
                <w:color w:val="auto"/>
                <w:sz w:val="24"/>
                <w:szCs w:val="24"/>
              </w:rPr>
            </w:pPr>
            <w:r>
              <w:rPr>
                <w:rFonts w:hint="default" w:ascii="Arial" w:hAnsi="Arial" w:cs="Arial"/>
                <w:color w:val="auto"/>
                <w:sz w:val="24"/>
                <w:szCs w:val="24"/>
              </w:rPr>
              <w:t>September</w:t>
            </w:r>
          </w:p>
        </w:tc>
        <w:tc>
          <w:tcPr>
            <w:tcW w:w="3166" w:type="dxa"/>
          </w:tcPr>
          <w:p w14:paraId="27358FC5">
            <w:pPr>
              <w:spacing w:line="360" w:lineRule="auto"/>
              <w:jc w:val="both"/>
              <w:rPr>
                <w:rFonts w:hint="default" w:ascii="Arial" w:hAnsi="Arial" w:cs="Arial"/>
                <w:color w:val="auto"/>
                <w:sz w:val="24"/>
                <w:szCs w:val="24"/>
              </w:rPr>
            </w:pPr>
            <w:r>
              <w:rPr>
                <w:rFonts w:hint="default" w:ascii="Arial" w:hAnsi="Arial" w:cs="Arial"/>
                <w:color w:val="auto"/>
                <w:sz w:val="24"/>
                <w:szCs w:val="24"/>
              </w:rPr>
              <w:t>$307,650</w:t>
            </w:r>
          </w:p>
        </w:tc>
        <w:tc>
          <w:tcPr>
            <w:tcW w:w="3166" w:type="dxa"/>
          </w:tcPr>
          <w:p w14:paraId="1CC932C3">
            <w:pPr>
              <w:spacing w:line="360" w:lineRule="auto"/>
              <w:jc w:val="both"/>
              <w:rPr>
                <w:rFonts w:hint="default" w:ascii="Arial" w:hAnsi="Arial" w:cs="Arial"/>
                <w:color w:val="auto"/>
                <w:sz w:val="24"/>
                <w:szCs w:val="24"/>
              </w:rPr>
            </w:pPr>
            <w:r>
              <w:rPr>
                <w:rFonts w:hint="default" w:ascii="Arial" w:hAnsi="Arial" w:cs="Arial"/>
                <w:color w:val="auto"/>
                <w:sz w:val="24"/>
                <w:szCs w:val="24"/>
              </w:rPr>
              <w:t>$36,857</w:t>
            </w:r>
          </w:p>
        </w:tc>
      </w:tr>
      <w:tr w14:paraId="095B1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6" w:type="dxa"/>
          </w:tcPr>
          <w:p w14:paraId="2079736C">
            <w:pPr>
              <w:spacing w:line="360" w:lineRule="auto"/>
              <w:jc w:val="both"/>
              <w:rPr>
                <w:rFonts w:hint="default" w:ascii="Arial" w:hAnsi="Arial" w:cs="Arial"/>
                <w:color w:val="auto"/>
                <w:sz w:val="24"/>
                <w:szCs w:val="24"/>
              </w:rPr>
            </w:pPr>
            <w:r>
              <w:rPr>
                <w:rFonts w:hint="default" w:ascii="Arial" w:hAnsi="Arial" w:cs="Arial"/>
                <w:color w:val="auto"/>
                <w:sz w:val="24"/>
                <w:szCs w:val="24"/>
              </w:rPr>
              <w:t>March</w:t>
            </w:r>
          </w:p>
        </w:tc>
        <w:tc>
          <w:tcPr>
            <w:tcW w:w="3166" w:type="dxa"/>
          </w:tcPr>
          <w:p w14:paraId="19AE7395">
            <w:pPr>
              <w:spacing w:line="360" w:lineRule="auto"/>
              <w:jc w:val="both"/>
              <w:rPr>
                <w:rFonts w:hint="default" w:ascii="Arial" w:hAnsi="Arial" w:cs="Arial"/>
                <w:color w:val="auto"/>
                <w:sz w:val="24"/>
                <w:szCs w:val="24"/>
              </w:rPr>
            </w:pPr>
            <w:r>
              <w:rPr>
                <w:rFonts w:hint="default" w:ascii="Arial" w:hAnsi="Arial" w:cs="Arial"/>
                <w:color w:val="auto"/>
                <w:sz w:val="24"/>
                <w:szCs w:val="24"/>
              </w:rPr>
              <w:t>$205,005</w:t>
            </w:r>
          </w:p>
        </w:tc>
        <w:tc>
          <w:tcPr>
            <w:tcW w:w="3166" w:type="dxa"/>
          </w:tcPr>
          <w:p w14:paraId="7B2AD63E">
            <w:pPr>
              <w:spacing w:line="360" w:lineRule="auto"/>
              <w:jc w:val="both"/>
              <w:rPr>
                <w:rFonts w:hint="default" w:ascii="Arial" w:hAnsi="Arial" w:cs="Arial"/>
                <w:color w:val="auto"/>
                <w:sz w:val="24"/>
                <w:szCs w:val="24"/>
              </w:rPr>
            </w:pPr>
            <w:r>
              <w:rPr>
                <w:rFonts w:hint="default" w:ascii="Arial" w:hAnsi="Arial" w:cs="Arial"/>
                <w:color w:val="auto"/>
                <w:sz w:val="24"/>
                <w:szCs w:val="24"/>
              </w:rPr>
              <w:t>$28,595</w:t>
            </w:r>
          </w:p>
        </w:tc>
      </w:tr>
      <w:tr w14:paraId="64A1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6" w:type="dxa"/>
          </w:tcPr>
          <w:p w14:paraId="0E18A571">
            <w:pPr>
              <w:spacing w:line="360" w:lineRule="auto"/>
              <w:jc w:val="both"/>
              <w:rPr>
                <w:rFonts w:hint="default" w:ascii="Arial" w:hAnsi="Arial" w:cs="Arial"/>
                <w:color w:val="auto"/>
                <w:sz w:val="24"/>
                <w:szCs w:val="24"/>
              </w:rPr>
            </w:pPr>
            <w:r>
              <w:rPr>
                <w:rFonts w:hint="default" w:ascii="Arial" w:hAnsi="Arial" w:cs="Arial"/>
                <w:color w:val="auto"/>
                <w:sz w:val="24"/>
                <w:szCs w:val="24"/>
              </w:rPr>
              <w:t>February (lowest)</w:t>
            </w:r>
          </w:p>
        </w:tc>
        <w:tc>
          <w:tcPr>
            <w:tcW w:w="3166" w:type="dxa"/>
          </w:tcPr>
          <w:p w14:paraId="65B6C96F">
            <w:pPr>
              <w:spacing w:line="360" w:lineRule="auto"/>
              <w:jc w:val="both"/>
              <w:rPr>
                <w:rFonts w:hint="default" w:ascii="Arial" w:hAnsi="Arial" w:cs="Arial"/>
                <w:color w:val="auto"/>
                <w:sz w:val="24"/>
                <w:szCs w:val="24"/>
              </w:rPr>
            </w:pPr>
            <w:r>
              <w:rPr>
                <w:rFonts w:hint="default" w:ascii="Arial" w:hAnsi="Arial" w:cs="Arial"/>
                <w:color w:val="auto"/>
                <w:sz w:val="24"/>
                <w:szCs w:val="24"/>
              </w:rPr>
              <w:t>$59,751</w:t>
            </w:r>
          </w:p>
        </w:tc>
        <w:tc>
          <w:tcPr>
            <w:tcW w:w="3166" w:type="dxa"/>
          </w:tcPr>
          <w:p w14:paraId="07C5585B">
            <w:pPr>
              <w:spacing w:line="360" w:lineRule="auto"/>
              <w:jc w:val="both"/>
              <w:rPr>
                <w:rFonts w:hint="default" w:ascii="Arial" w:hAnsi="Arial" w:cs="Arial"/>
                <w:color w:val="auto"/>
                <w:sz w:val="24"/>
                <w:szCs w:val="24"/>
              </w:rPr>
            </w:pPr>
            <w:r>
              <w:rPr>
                <w:rFonts w:hint="default" w:ascii="Arial" w:hAnsi="Arial" w:cs="Arial"/>
                <w:color w:val="auto"/>
                <w:sz w:val="24"/>
                <w:szCs w:val="24"/>
              </w:rPr>
              <w:t>$10,295</w:t>
            </w:r>
          </w:p>
        </w:tc>
      </w:tr>
      <w:tr w14:paraId="7EB89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66" w:type="dxa"/>
          </w:tcPr>
          <w:p w14:paraId="4F39FB38">
            <w:pPr>
              <w:spacing w:line="360" w:lineRule="auto"/>
              <w:jc w:val="both"/>
              <w:rPr>
                <w:rFonts w:hint="default" w:ascii="Arial" w:hAnsi="Arial" w:cs="Arial"/>
                <w:color w:val="auto"/>
                <w:sz w:val="24"/>
                <w:szCs w:val="24"/>
              </w:rPr>
            </w:pPr>
            <w:r>
              <w:rPr>
                <w:rFonts w:hint="default" w:ascii="Arial" w:hAnsi="Arial" w:cs="Arial"/>
                <w:color w:val="auto"/>
                <w:sz w:val="24"/>
                <w:szCs w:val="24"/>
              </w:rPr>
              <w:t>January (2nd lowest)</w:t>
            </w:r>
          </w:p>
        </w:tc>
        <w:tc>
          <w:tcPr>
            <w:tcW w:w="3166" w:type="dxa"/>
          </w:tcPr>
          <w:p w14:paraId="74E2D987">
            <w:pPr>
              <w:spacing w:line="360" w:lineRule="auto"/>
              <w:jc w:val="both"/>
              <w:rPr>
                <w:rFonts w:hint="default" w:ascii="Arial" w:hAnsi="Arial" w:cs="Arial"/>
                <w:color w:val="auto"/>
                <w:sz w:val="24"/>
                <w:szCs w:val="24"/>
              </w:rPr>
            </w:pPr>
            <w:r>
              <w:rPr>
                <w:rFonts w:hint="default" w:ascii="Arial" w:hAnsi="Arial" w:cs="Arial"/>
                <w:color w:val="auto"/>
                <w:sz w:val="24"/>
                <w:szCs w:val="24"/>
              </w:rPr>
              <w:t>$94,925</w:t>
            </w:r>
          </w:p>
        </w:tc>
        <w:tc>
          <w:tcPr>
            <w:tcW w:w="3166" w:type="dxa"/>
          </w:tcPr>
          <w:p w14:paraId="365798E2">
            <w:pPr>
              <w:spacing w:line="360" w:lineRule="auto"/>
              <w:jc w:val="both"/>
              <w:rPr>
                <w:rFonts w:hint="default" w:ascii="Arial" w:hAnsi="Arial" w:cs="Arial"/>
                <w:color w:val="auto"/>
                <w:sz w:val="24"/>
                <w:szCs w:val="24"/>
              </w:rPr>
            </w:pPr>
            <w:r>
              <w:rPr>
                <w:rFonts w:hint="default" w:ascii="Arial" w:hAnsi="Arial" w:cs="Arial"/>
                <w:color w:val="auto"/>
                <w:sz w:val="24"/>
                <w:szCs w:val="24"/>
              </w:rPr>
              <w:t>$9,134</w:t>
            </w:r>
          </w:p>
        </w:tc>
      </w:tr>
    </w:tbl>
    <w:p w14:paraId="58B1AFCF">
      <w:pPr>
        <w:spacing w:after="120" w:line="360" w:lineRule="auto"/>
        <w:jc w:val="both"/>
        <w:rPr>
          <w:rFonts w:hint="default" w:ascii="Arial" w:hAnsi="Arial" w:cs="Arial"/>
          <w:color w:val="auto"/>
          <w:sz w:val="24"/>
          <w:szCs w:val="24"/>
        </w:rPr>
      </w:pPr>
      <w:r>
        <w:rPr>
          <w:rFonts w:hint="default" w:ascii="Arial" w:hAnsi="Arial" w:cs="Arial"/>
          <w:color w:val="auto"/>
          <w:sz w:val="24"/>
          <w:szCs w:val="24"/>
        </w:rPr>
        <w:t>There's a clear Q4 peak (Sep–Dec) and a Q1 trough (Jan–Feb) every year. December is actually the strongest month for profit, even though November has higher sales — meaning December orders carry a better margin, likely because there's less heavy discounting than around November's sales pushes.</w:t>
      </w:r>
    </w:p>
    <w:p w14:paraId="78E28A8D">
      <w:pPr>
        <w:pStyle w:val="3"/>
        <w:spacing w:before="220" w:after="100" w:line="360" w:lineRule="auto"/>
        <w:jc w:val="both"/>
        <w:rPr>
          <w:rFonts w:hint="default" w:ascii="Arial" w:hAnsi="Arial" w:cs="Arial"/>
          <w:color w:val="auto"/>
          <w:sz w:val="24"/>
          <w:szCs w:val="24"/>
        </w:rPr>
      </w:pPr>
      <w:r>
        <w:rPr>
          <w:rFonts w:hint="default" w:ascii="Arial" w:hAnsi="Arial" w:cs="Arial"/>
          <w:color w:val="auto"/>
          <w:sz w:val="24"/>
          <w:szCs w:val="24"/>
        </w:rPr>
        <w:t>Quarterly Trend</w:t>
      </w:r>
    </w:p>
    <w:p w14:paraId="2785A3EB">
      <w:pPr>
        <w:spacing w:after="120" w:line="360" w:lineRule="auto"/>
        <w:jc w:val="both"/>
        <w:rPr>
          <w:rFonts w:hint="default" w:ascii="Arial" w:hAnsi="Arial" w:cs="Arial"/>
          <w:color w:val="auto"/>
          <w:sz w:val="24"/>
          <w:szCs w:val="24"/>
        </w:rPr>
      </w:pPr>
      <w:r>
        <w:rPr>
          <w:rFonts w:hint="default" w:ascii="Arial" w:hAnsi="Arial" w:cs="Arial"/>
          <w:color w:val="auto"/>
          <w:sz w:val="24"/>
          <w:szCs w:val="24"/>
        </w:rPr>
        <w:t>Q4 is consistently the strongest quarter across all four years (2014–2017), and profit grew faster than sales in three of those four years. 2017 is the exception  sales grew 20.4% but profit only 14.2%  which lines up with the margin compression flagged in section 2.2.</w:t>
      </w:r>
    </w:p>
    <w:p w14:paraId="6E89F270">
      <w:pPr>
        <w:pStyle w:val="2"/>
        <w:spacing w:before="300" w:after="150" w:line="360" w:lineRule="auto"/>
        <w:jc w:val="both"/>
        <w:rPr>
          <w:rFonts w:hint="default" w:ascii="Arial" w:hAnsi="Arial" w:cs="Arial"/>
          <w:b/>
          <w:bCs/>
          <w:color w:val="auto"/>
          <w:sz w:val="28"/>
          <w:szCs w:val="28"/>
        </w:rPr>
      </w:pPr>
      <w:r>
        <w:rPr>
          <w:rFonts w:hint="default" w:ascii="Arial" w:hAnsi="Arial" w:cs="Arial"/>
          <w:b/>
          <w:bCs/>
          <w:color w:val="auto"/>
          <w:sz w:val="28"/>
          <w:szCs w:val="28"/>
        </w:rPr>
        <w:t>4. Business Problem Investigation</w:t>
      </w:r>
    </w:p>
    <w:p w14:paraId="268F1780">
      <w:pPr>
        <w:spacing w:before="160" w:after="80" w:line="360" w:lineRule="auto"/>
        <w:jc w:val="both"/>
        <w:rPr>
          <w:rFonts w:hint="default" w:ascii="Arial" w:hAnsi="Arial" w:cs="Arial"/>
          <w:color w:val="auto"/>
          <w:sz w:val="24"/>
          <w:szCs w:val="24"/>
        </w:rPr>
      </w:pPr>
      <w:r>
        <w:rPr>
          <w:rFonts w:hint="default" w:ascii="Arial" w:hAnsi="Arial" w:cs="Arial"/>
          <w:b/>
          <w:bCs/>
          <w:color w:val="auto"/>
          <w:sz w:val="24"/>
          <w:szCs w:val="24"/>
        </w:rPr>
        <w:t>Problem 1</w:t>
      </w:r>
      <w:r>
        <w:rPr>
          <w:rFonts w:hint="default" w:ascii="Arial" w:hAnsi="Arial" w:cs="Arial"/>
          <w:b/>
          <w:bCs/>
          <w:color w:val="auto"/>
          <w:sz w:val="24"/>
          <w:szCs w:val="24"/>
          <w:lang w:val="en-US"/>
        </w:rPr>
        <w:t xml:space="preserve">: </w:t>
      </w:r>
      <w:r>
        <w:rPr>
          <w:rFonts w:hint="default" w:ascii="Arial" w:hAnsi="Arial" w:cs="Arial"/>
          <w:b/>
          <w:bCs/>
          <w:color w:val="auto"/>
          <w:sz w:val="24"/>
          <w:szCs w:val="24"/>
        </w:rPr>
        <w:t>High Sales, Low Profit: Furniture</w:t>
      </w:r>
    </w:p>
    <w:p w14:paraId="5A65EE21">
      <w:pPr>
        <w:spacing w:after="120" w:line="360" w:lineRule="auto"/>
        <w:jc w:val="both"/>
        <w:rPr>
          <w:rFonts w:hint="default" w:ascii="Arial" w:hAnsi="Arial" w:cs="Arial"/>
          <w:color w:val="auto"/>
          <w:sz w:val="24"/>
          <w:szCs w:val="24"/>
        </w:rPr>
      </w:pPr>
      <w:r>
        <w:rPr>
          <w:rFonts w:hint="default" w:ascii="Arial" w:hAnsi="Arial" w:cs="Arial"/>
          <w:color w:val="auto"/>
          <w:sz w:val="24"/>
          <w:szCs w:val="24"/>
        </w:rPr>
        <w:t>Furniture brings in $742K in sales (the 2nd highest category) but only $18.5K in profit — a 2.5% margin, versus 17%+ for the other two categories. The cause is now isolated: Tables (-8.6% margin, -$17,725) and Bookcases (-3.0% margin, -$3,473) are actively losing money and dragging the whole category down, while Chairs and Furnishings are both healthy.</w:t>
      </w:r>
    </w:p>
    <w:p w14:paraId="50B78599">
      <w:pPr>
        <w:spacing w:before="160" w:after="80" w:line="360" w:lineRule="auto"/>
        <w:jc w:val="both"/>
        <w:rPr>
          <w:rFonts w:hint="default" w:ascii="Arial" w:hAnsi="Arial" w:cs="Arial"/>
          <w:color w:val="auto"/>
          <w:sz w:val="24"/>
          <w:szCs w:val="24"/>
        </w:rPr>
      </w:pPr>
      <w:r>
        <w:rPr>
          <w:rFonts w:hint="default" w:ascii="Arial" w:hAnsi="Arial" w:cs="Arial"/>
          <w:b/>
          <w:bCs/>
          <w:color w:val="auto"/>
          <w:sz w:val="24"/>
          <w:szCs w:val="24"/>
        </w:rPr>
        <w:t>Problem 2</w:t>
      </w:r>
      <w:r>
        <w:rPr>
          <w:rFonts w:hint="default" w:ascii="Arial" w:hAnsi="Arial" w:cs="Arial"/>
          <w:b/>
          <w:bCs/>
          <w:color w:val="auto"/>
          <w:sz w:val="24"/>
          <w:szCs w:val="24"/>
          <w:lang w:val="en-US"/>
        </w:rPr>
        <w:t xml:space="preserve">: </w:t>
      </w:r>
      <w:r>
        <w:rPr>
          <w:rFonts w:hint="default" w:ascii="Arial" w:hAnsi="Arial" w:cs="Arial"/>
          <w:b/>
          <w:bCs/>
          <w:color w:val="auto"/>
          <w:sz w:val="24"/>
          <w:szCs w:val="24"/>
        </w:rPr>
        <w:t>Loss-Making Products &amp; Discounting</w:t>
      </w:r>
    </w:p>
    <w:p w14:paraId="1F566750">
      <w:pPr>
        <w:spacing w:after="120" w:line="360" w:lineRule="auto"/>
        <w:jc w:val="both"/>
        <w:rPr>
          <w:rFonts w:hint="default" w:ascii="Arial" w:hAnsi="Arial" w:cs="Arial"/>
          <w:color w:val="auto"/>
          <w:sz w:val="24"/>
          <w:szCs w:val="24"/>
        </w:rPr>
      </w:pPr>
      <w:r>
        <w:rPr>
          <w:rFonts w:hint="default" w:ascii="Arial" w:hAnsi="Arial" w:cs="Arial"/>
          <w:color w:val="auto"/>
          <w:sz w:val="24"/>
          <w:szCs w:val="24"/>
        </w:rPr>
        <w:t>1,871 line items (18.7% of all lines) are sold at a loss. The single biggest offender is the Cubify CubeX 3D Printer (Double Head), losing $8,880 on $11,100 of sales — an 80% loss rate. This lines up directly with the discount finding above: virtually every order discounted above 20% loses money, and the loss accelerates sharply past 30%. It looks like discounting policy above 20%, not the products themselves, is the real driver.</w:t>
      </w:r>
    </w:p>
    <w:p w14:paraId="028E559D">
      <w:pPr>
        <w:spacing w:before="160" w:after="80" w:line="360" w:lineRule="auto"/>
        <w:jc w:val="both"/>
        <w:rPr>
          <w:rFonts w:hint="default" w:ascii="Arial" w:hAnsi="Arial" w:cs="Arial"/>
          <w:color w:val="auto"/>
          <w:sz w:val="24"/>
          <w:szCs w:val="24"/>
        </w:rPr>
      </w:pPr>
      <w:r>
        <w:rPr>
          <w:rFonts w:hint="default" w:ascii="Arial" w:hAnsi="Arial" w:cs="Arial"/>
          <w:b/>
          <w:bCs/>
          <w:color w:val="auto"/>
          <w:sz w:val="24"/>
          <w:szCs w:val="24"/>
        </w:rPr>
        <w:t>Problem 3</w:t>
      </w:r>
      <w:r>
        <w:rPr>
          <w:rFonts w:hint="default" w:ascii="Arial" w:hAnsi="Arial" w:cs="Arial"/>
          <w:b/>
          <w:bCs/>
          <w:color w:val="auto"/>
          <w:sz w:val="24"/>
          <w:szCs w:val="24"/>
          <w:lang w:val="en-US"/>
        </w:rPr>
        <w:t xml:space="preserve">: </w:t>
      </w:r>
      <w:r>
        <w:rPr>
          <w:rFonts w:hint="default" w:ascii="Arial" w:hAnsi="Arial" w:cs="Arial"/>
          <w:b/>
          <w:bCs/>
          <w:color w:val="auto"/>
          <w:sz w:val="24"/>
          <w:szCs w:val="24"/>
        </w:rPr>
        <w:t>Regional Underperformance Below the Region Level</w:t>
      </w:r>
    </w:p>
    <w:p w14:paraId="5F751CC6">
      <w:pPr>
        <w:spacing w:after="120" w:line="360" w:lineRule="auto"/>
        <w:jc w:val="both"/>
        <w:rPr>
          <w:rFonts w:hint="default" w:ascii="Arial" w:hAnsi="Arial" w:cs="Arial"/>
          <w:color w:val="auto"/>
          <w:sz w:val="24"/>
          <w:szCs w:val="24"/>
        </w:rPr>
      </w:pPr>
      <w:r>
        <w:rPr>
          <w:rFonts w:hint="default" w:ascii="Arial" w:hAnsi="Arial" w:cs="Arial"/>
          <w:color w:val="auto"/>
          <w:sz w:val="24"/>
          <w:szCs w:val="24"/>
        </w:rPr>
        <w:t>Week 2 flagged the South region as weakest overall, but state-level analysis shows the real problem is more concentrated: Texas, Ohio, Pennsylvania, Illinois and North Carolina are each losing money outright (margins from -13% to -22%), while California, New York and Washington are the company's strongest markets. This is a more useful finding than ‘the South is weak’ it points to five specific states worth investigating (pricing, shipping costs, local discounting practices).</w:t>
      </w:r>
    </w:p>
    <w:p w14:paraId="0EB0F4C1">
      <w:pPr>
        <w:spacing w:before="160" w:after="80" w:line="360" w:lineRule="auto"/>
        <w:jc w:val="both"/>
        <w:rPr>
          <w:rFonts w:hint="default" w:ascii="Arial" w:hAnsi="Arial" w:cs="Arial"/>
          <w:color w:val="auto"/>
          <w:sz w:val="24"/>
          <w:szCs w:val="24"/>
        </w:rPr>
      </w:pPr>
      <w:r>
        <w:rPr>
          <w:rFonts w:hint="default" w:ascii="Arial" w:hAnsi="Arial" w:cs="Arial"/>
          <w:b/>
          <w:bCs/>
          <w:color w:val="auto"/>
          <w:sz w:val="24"/>
          <w:szCs w:val="24"/>
        </w:rPr>
        <w:t>Problem 4</w:t>
      </w:r>
      <w:r>
        <w:rPr>
          <w:rFonts w:hint="default" w:ascii="Arial" w:hAnsi="Arial" w:cs="Arial"/>
          <w:b/>
          <w:bCs/>
          <w:color w:val="auto"/>
          <w:sz w:val="24"/>
          <w:szCs w:val="24"/>
          <w:lang w:val="en-US"/>
        </w:rPr>
        <w:t xml:space="preserve">: </w:t>
      </w:r>
      <w:r>
        <w:rPr>
          <w:rFonts w:hint="default" w:ascii="Arial" w:hAnsi="Arial" w:cs="Arial"/>
          <w:b/>
          <w:bCs/>
          <w:color w:val="auto"/>
          <w:sz w:val="24"/>
          <w:szCs w:val="24"/>
        </w:rPr>
        <w:t>Segment Profitability Mismatch</w:t>
      </w:r>
    </w:p>
    <w:p w14:paraId="36E1BDEB">
      <w:pPr>
        <w:spacing w:after="120" w:line="360" w:lineRule="auto"/>
        <w:jc w:val="both"/>
        <w:rPr>
          <w:rFonts w:hint="default" w:ascii="Arial" w:hAnsi="Arial" w:cs="Arial"/>
          <w:color w:val="auto"/>
          <w:sz w:val="24"/>
          <w:szCs w:val="24"/>
        </w:rPr>
      </w:pPr>
      <w:r>
        <w:rPr>
          <w:rFonts w:hint="default" w:ascii="Arial" w:hAnsi="Arial" w:cs="Arial"/>
          <w:color w:val="auto"/>
          <w:sz w:val="24"/>
          <w:szCs w:val="24"/>
        </w:rPr>
        <w:t>Consumer is the largest segment by revenue (50.6% of sales) but has the lowest margin (11.5%) of the three segments. Home Office is the smallest segment by volume but the most profitable (14.0%). Pushing the Consumer segment harder to grow sales, without addressing why its margin lags, would grow revenue while diluting overall profitability.</w:t>
      </w:r>
    </w:p>
    <w:p w14:paraId="1834DE87">
      <w:pPr>
        <w:pStyle w:val="2"/>
        <w:spacing w:before="300" w:after="150" w:line="360" w:lineRule="auto"/>
        <w:jc w:val="both"/>
        <w:rPr>
          <w:rFonts w:hint="default" w:ascii="Arial" w:hAnsi="Arial" w:cs="Arial"/>
          <w:b/>
          <w:bCs/>
          <w:color w:val="auto"/>
          <w:sz w:val="28"/>
          <w:szCs w:val="28"/>
        </w:rPr>
      </w:pPr>
      <w:r>
        <w:rPr>
          <w:rFonts w:hint="default" w:ascii="Arial" w:hAnsi="Arial" w:cs="Arial"/>
          <w:b/>
          <w:bCs/>
          <w:color w:val="auto"/>
          <w:sz w:val="28"/>
          <w:szCs w:val="28"/>
        </w:rPr>
        <w:t>Conclusion</w:t>
      </w:r>
    </w:p>
    <w:p w14:paraId="0B5B0149">
      <w:pPr>
        <w:spacing w:after="120" w:line="360" w:lineRule="auto"/>
        <w:jc w:val="both"/>
        <w:rPr>
          <w:rFonts w:hint="default" w:ascii="Arial" w:hAnsi="Arial" w:cs="Arial"/>
          <w:color w:val="auto"/>
          <w:sz w:val="24"/>
          <w:szCs w:val="24"/>
        </w:rPr>
      </w:pPr>
      <w:r>
        <w:rPr>
          <w:rFonts w:hint="default" w:ascii="Arial" w:hAnsi="Arial" w:cs="Arial"/>
          <w:color w:val="auto"/>
          <w:sz w:val="24"/>
          <w:szCs w:val="24"/>
        </w:rPr>
        <w:t>The Week 2 view showed a healthy business overall 12.5% margin, growing sales. This deeper look shows that headline number is sitting on top of a few specific, fixable problems: two Furniture sub-categories, discounting above 20%, and five underperforming states. None of these require slowing the business down</w:t>
      </w:r>
      <w:r>
        <w:rPr>
          <w:rFonts w:hint="default" w:ascii="Arial" w:hAnsi="Arial" w:cs="Arial"/>
          <w:color w:val="auto"/>
          <w:sz w:val="24"/>
          <w:szCs w:val="24"/>
          <w:lang w:val="en-US"/>
        </w:rPr>
        <w:t xml:space="preserve"> </w:t>
      </w:r>
      <w:r>
        <w:rPr>
          <w:rFonts w:hint="default" w:ascii="Arial" w:hAnsi="Arial" w:cs="Arial"/>
          <w:color w:val="auto"/>
          <w:sz w:val="24"/>
          <w:szCs w:val="24"/>
        </w:rPr>
        <w:t>they're targeted fixes that should lift the overall margin without giving up sales growth.</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FEF2835"/>
    <w:rsid w:val="7F8431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1216</Words>
  <Characters>6723</Characters>
  <TotalTime>5</TotalTime>
  <ScaleCrop>false</ScaleCrop>
  <LinksUpToDate>false</LinksUpToDate>
  <CharactersWithSpaces>7702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2026-08-22T23:05:00Z</dcterms:created>
  <dc:creator>Un-named</dc:creator>
  <cp:lastModifiedBy>WPS_1749282467</cp:lastModifiedBy>
  <dcterms:modified xsi:type="dcterms:W3CDTF">2026-08-22T23:12:10Z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eyJoZGlkIjoiYTk2N2U3NWQ2Y2ZkNDdmMWQ0ZmM3NTIzYWJiY2ZkNWIiLCJ1c2VySWQiOiIxNDg2MTIzODQ5NzgyMiJ9</vt:lpwstr>
  </property>
  <property fmtid="{D5CDD505-2E9C-101B-9397-08002B2CF9AE}" pid="3" name="KSOProductBuildVer">
    <vt:lpwstr>1033-12.1.0.28032</vt:lpwstr>
  </property>
  <property fmtid="{D5CDD505-2E9C-101B-9397-08002B2CF9AE}" pid="4" name="ICV">
    <vt:lpwstr>D54D137190F34CA6A8FD308C40DB48A2_12</vt:lpwstr>
  </property>
</Properties>
</file>