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9B99B">
      <w:pPr>
        <w:spacing w:after="6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32"/>
          <w:szCs w:val="32"/>
        </w:rPr>
        <w:t>ANALYSTLAB AFRICA</w:t>
      </w:r>
    </w:p>
    <w:p w14:paraId="557FEE5A">
      <w:pPr>
        <w:spacing w:after="4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Data Analytics Internship Programme</w:t>
      </w:r>
    </w:p>
    <w:p w14:paraId="689785AE">
      <w:pPr>
        <w:spacing w:after="4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Week 3: Business Insights and Recommendations Report</w:t>
      </w:r>
    </w:p>
    <w:p w14:paraId="73749F26">
      <w:pPr>
        <w:spacing w:after="2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i/>
          <w:iCs/>
          <w:color w:val="auto"/>
          <w:sz w:val="22"/>
          <w:szCs w:val="22"/>
        </w:rPr>
        <w:t>Superstore Sales &amp; Profitability — Advanced Analysis</w:t>
      </w:r>
    </w:p>
    <w:p w14:paraId="723A1E5E">
      <w:pPr>
        <w:spacing w:after="30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2"/>
          <w:szCs w:val="22"/>
        </w:rPr>
        <w:t>Prepared by: Lusani</w:t>
      </w:r>
    </w:p>
    <w:p w14:paraId="5EEFC464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Executive Overview</w:t>
      </w:r>
    </w:p>
    <w:p w14:paraId="5F976003">
      <w:pPr>
        <w:spacing w:after="12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Overall, Superstore i</w:t>
      </w:r>
      <w:bookmarkStart w:id="0" w:name="_GoBack"/>
      <w:bookmarkEnd w:id="0"/>
      <w:r>
        <w:rPr>
          <w:rFonts w:hint="default" w:ascii="Arial" w:hAnsi="Arial" w:cs="Arial"/>
          <w:color w:val="auto"/>
        </w:rPr>
        <w:t>s in good shape: $2,297,200.86 in sales and $286,397.02 in profit across 5,009 orders, working out to a 12.47% margin. But that top-line number hides a few specific problems once you dig in. Two Furniture sub-categories are quietly losing money, discounts above 20% almost always turn a sale unprofitable, and five states are in the red even though their regions look fine on average. None of these are big enough to be alarming, but they're worth fixing.</w:t>
      </w:r>
    </w:p>
    <w:p w14:paraId="3352EF1D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Key Metrics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 w14:paraId="51C6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750" w:type="dxa"/>
            <w:shd w:val="clear" w:color="auto" w:fill="000000" w:themeFill="text1"/>
          </w:tcPr>
          <w:p w14:paraId="72702153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</w:rPr>
              <w:t>Metric</w:t>
            </w:r>
          </w:p>
        </w:tc>
        <w:tc>
          <w:tcPr>
            <w:tcW w:w="4750" w:type="dxa"/>
            <w:shd w:val="clear" w:color="auto" w:fill="000000" w:themeFill="text1"/>
          </w:tcPr>
          <w:p w14:paraId="1E7D985B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</w:rPr>
              <w:t>Value</w:t>
            </w:r>
          </w:p>
        </w:tc>
      </w:tr>
      <w:tr w14:paraId="4CA62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</w:tcPr>
          <w:p w14:paraId="7AAD26AE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Total Sales</w:t>
            </w:r>
          </w:p>
        </w:tc>
        <w:tc>
          <w:tcPr>
            <w:tcW w:w="4750" w:type="dxa"/>
          </w:tcPr>
          <w:p w14:paraId="779E1DCA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$2,297,200.86</w:t>
            </w:r>
          </w:p>
        </w:tc>
      </w:tr>
      <w:tr w14:paraId="0FDD1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</w:tcPr>
          <w:p w14:paraId="700EA2B6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Total Profit</w:t>
            </w:r>
          </w:p>
        </w:tc>
        <w:tc>
          <w:tcPr>
            <w:tcW w:w="4750" w:type="dxa"/>
          </w:tcPr>
          <w:p w14:paraId="18B9E557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$286,397.02</w:t>
            </w:r>
          </w:p>
        </w:tc>
      </w:tr>
      <w:tr w14:paraId="5F00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</w:tcPr>
          <w:p w14:paraId="446A9FEE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Profit Margin</w:t>
            </w:r>
          </w:p>
        </w:tc>
        <w:tc>
          <w:tcPr>
            <w:tcW w:w="4750" w:type="dxa"/>
          </w:tcPr>
          <w:p w14:paraId="09608544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12.47%</w:t>
            </w:r>
          </w:p>
        </w:tc>
      </w:tr>
      <w:tr w14:paraId="26F0C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</w:tcPr>
          <w:p w14:paraId="2A5C542C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Total Orders</w:t>
            </w:r>
          </w:p>
        </w:tc>
        <w:tc>
          <w:tcPr>
            <w:tcW w:w="4750" w:type="dxa"/>
          </w:tcPr>
          <w:p w14:paraId="0604551E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5,009</w:t>
            </w:r>
          </w:p>
        </w:tc>
      </w:tr>
      <w:tr w14:paraId="7BC3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</w:tcPr>
          <w:p w14:paraId="129DF87D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Loss-Making Order Lines</w:t>
            </w:r>
          </w:p>
        </w:tc>
        <w:tc>
          <w:tcPr>
            <w:tcW w:w="4750" w:type="dxa"/>
          </w:tcPr>
          <w:p w14:paraId="6A085F3F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1,871 (18.7% of all lines)</w:t>
            </w:r>
          </w:p>
        </w:tc>
      </w:tr>
      <w:tr w14:paraId="6C6D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</w:tcPr>
          <w:p w14:paraId="634323A3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2016 → 2017 Sales Growth</w:t>
            </w:r>
          </w:p>
        </w:tc>
        <w:tc>
          <w:tcPr>
            <w:tcW w:w="4750" w:type="dxa"/>
          </w:tcPr>
          <w:p w14:paraId="60F11D6B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+20.4%</w:t>
            </w:r>
          </w:p>
        </w:tc>
      </w:tr>
      <w:tr w14:paraId="3DF29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</w:tcPr>
          <w:p w14:paraId="5F761252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2016 → 2017 Profit Growth</w:t>
            </w:r>
          </w:p>
        </w:tc>
        <w:tc>
          <w:tcPr>
            <w:tcW w:w="4750" w:type="dxa"/>
          </w:tcPr>
          <w:p w14:paraId="5853581F">
            <w:pPr>
              <w:spacing w:line="360" w:lineRule="auto"/>
              <w:jc w:val="both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</w:rPr>
              <w:t>+14.2%</w:t>
            </w:r>
          </w:p>
        </w:tc>
      </w:tr>
    </w:tbl>
    <w:p w14:paraId="2B83FF46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Five Key Business Insights</w:t>
      </w:r>
    </w:p>
    <w:p w14:paraId="7B7B3EF1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1. Furniture's problem is really just two products</w:t>
      </w:r>
    </w:p>
    <w:p w14:paraId="4BBB5BAF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Furniture brings in $741,999.80 in sales, second only to Technology, but only turns that into $18,451.27 of profit — a 2.5% margin, compared to 17%+ for the other two categories. It's tempting to write off "Furniture" as the weak spot, but that's not quite accurate. Tables are losing $17,725 (-8.6% margin) and Bookcases are losing $3,473 (-3.0%), while Chairs (8.1%) and Furnishings (14.2%) are doing fine. So the fix is narrow: two products, not a whole category.</w:t>
      </w:r>
    </w:p>
    <w:p w14:paraId="727F2CBF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2. Past a 20% discount, orders start losing money</w:t>
      </w:r>
    </w:p>
    <w:p w14:paraId="4A64831B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This is the clearest pattern in the whole dataset. Orders with no discount at all run a healthy 29.5% margin, and even 11-20% discounts still leave 11.6% margin. But once discounts pass 20%, margin goes negative — -10.0% in the 21-30% band, -24.8% in the 31-50% band, and past 50% the company is actually losing more than the item sold for (-119.2% margin). Discounting isn't the problem by itself; discounting past 20% is.</w:t>
      </w:r>
    </w:p>
    <w:p w14:paraId="7416FCBE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3. Five states are losing money, but you wouldn't know it from the regional numbers</w:t>
      </w:r>
    </w:p>
    <w:p w14:paraId="316AEB48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Week 2 flagged the South as the weakest region, which is true as far as it goes, but looking state by state tells a sharper story. Texas (-15.1% margin), Ohio (-21.7%), Pennsylvania (-13.4%), Illinois (-15.7%) and North Carolina (-13.5%) are all in the red — while California, New York and Washington are actually the company's best-performing markets. "The South is weak" is true but vague; these five states are the actual problem.</w:t>
      </w:r>
    </w:p>
    <w:p w14:paraId="62E93360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4. The biggest customer segment isn't the most profitable one</w:t>
      </w:r>
    </w:p>
    <w:p w14:paraId="3C0B2824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Consumer customers bring in just over half of all sales (50.56%, or $1,161,401) but only carry an 11.5% margin — the lowest of the three segments. Home Office is the smallest group by far (909 orders) but the most profitable at 14.0%. So the segment doing the most work for the business isn't the one making the most of each dollar.</w:t>
      </w:r>
    </w:p>
    <w:p w14:paraId="1B2F1658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5. Profit growth is starting to fall behind sales growth</w:t>
      </w:r>
    </w:p>
    <w:p w14:paraId="54015F6D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Between 2016 and 2017, sales grew 20.4% but profit only grew 14.2%. That's the first time in the dataset that profit growth has clearly lagged sales growth — in the two years before that, profit actually grew faster than sales. On its own this isn't a red flag, but it lines up with the discounting and Furniture issues above, and it's worth watching.</w:t>
      </w:r>
    </w:p>
    <w:p w14:paraId="47604701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Three Business Risks</w:t>
      </w:r>
    </w:p>
    <w:p w14:paraId="3DA41971">
      <w:pPr>
        <w:pStyle w:val="16"/>
        <w:numPr>
          <w:ilvl w:val="0"/>
          <w:numId w:val="1"/>
        </w:numPr>
        <w:spacing w:after="7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If discounting above 20% isn't reined in, it will keep quietly eating into margin, especially on Technology and Furniture where big-ticket items make deep discounts tempting.</w:t>
      </w:r>
    </w:p>
    <w:p w14:paraId="30DE7497">
      <w:pPr>
        <w:pStyle w:val="16"/>
        <w:numPr>
          <w:ilvl w:val="0"/>
          <w:numId w:val="1"/>
        </w:numPr>
        <w:spacing w:after="7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The five underperforming states will keep dragging down regional averages if nobody looks into what's actually going wrong in each one.</w:t>
      </w:r>
    </w:p>
    <w:p w14:paraId="6B4C6C4B">
      <w:pPr>
        <w:pStyle w:val="16"/>
        <w:numPr>
          <w:ilvl w:val="0"/>
          <w:numId w:val="1"/>
        </w:numPr>
        <w:spacing w:after="7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If profit growth keeps trailing sales growth the way it did in 2017, the business could end up in a position where growing bigger stops actually paying off.</w:t>
      </w:r>
    </w:p>
    <w:p w14:paraId="0F77F31B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Three Business Opportunities</w:t>
      </w:r>
    </w:p>
    <w:p w14:paraId="653AD0CB">
      <w:pPr>
        <w:pStyle w:val="16"/>
        <w:numPr>
          <w:ilvl w:val="0"/>
          <w:numId w:val="1"/>
        </w:numPr>
        <w:spacing w:after="7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Fixing (or scaling back) Tables and Bookcases specifically, without touching Chairs or Furnishings, could bring Furniture's margin much closer to the company average without giving up much sales volume.</w:t>
      </w:r>
    </w:p>
    <w:p w14:paraId="48A7B807">
      <w:pPr>
        <w:pStyle w:val="16"/>
        <w:numPr>
          <w:ilvl w:val="0"/>
          <w:numId w:val="1"/>
        </w:numPr>
        <w:spacing w:after="7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Putting a simple approval step on discounts above 20% could claw back a meaningful chunk of the roughly $135K currently being lost in those higher discount bands.</w:t>
      </w:r>
    </w:p>
    <w:p w14:paraId="6BEC7A01">
      <w:pPr>
        <w:pStyle w:val="16"/>
        <w:numPr>
          <w:ilvl w:val="0"/>
          <w:numId w:val="1"/>
        </w:numPr>
        <w:spacing w:after="7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Home Office's stronger margin suggests there's room to try similar approaches with Consumer customers — rather than relying on deeper discounts to grow that segment.</w:t>
      </w:r>
    </w:p>
    <w:p w14:paraId="3838FAAE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Five Recommendations</w:t>
      </w:r>
    </w:p>
    <w:p w14:paraId="0CE414C5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1. Put a cap on discounts above 20%</w:t>
      </w:r>
    </w:p>
    <w:p w14:paraId="415087A7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Require manager sign-off for any discount over 20% on Furniture and Technology orders specifically, since that's where the data shows discounting most reliably tips into a loss.</w:t>
      </w:r>
    </w:p>
    <w:p w14:paraId="53F6B9CA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2. Look at Tables and Bookcases on their own, not "Furniture" as a category</w:t>
      </w:r>
    </w:p>
    <w:p w14:paraId="779C246E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Dig into supplier costs, freight and pricing for just these two sub-categories. Chairs and Furnishings are healthy and don't need to be part of this review.</w:t>
      </w:r>
    </w:p>
    <w:p w14:paraId="38E634CD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3. Investigate the five underperforming states individually</w:t>
      </w:r>
    </w:p>
    <w:p w14:paraId="7CEDD479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Texas, Ohio, Pennsylvania, Illinois and North Carolina each deserve their own look at local pricing, shipping costs and discounting habits, rather than being lumped together as "the South."</w:t>
      </w:r>
    </w:p>
    <w:p w14:paraId="6FF14014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4. Grow Consumer sales without relying on discounts to do it</w:t>
      </w:r>
    </w:p>
    <w:p w14:paraId="210CF7EB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Since Consumer is already the lowest-margin segment, avoid leaning on discounts as the main way to grow it further consider segment-specific offers instead, closer to what seems to work for Home Office.</w:t>
      </w:r>
    </w:p>
    <w:p w14:paraId="453E1D7B">
      <w:pPr>
        <w:spacing w:before="20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5. Keep an eye on profit growth vs. sales growth going forward</w:t>
      </w:r>
    </w:p>
    <w:p w14:paraId="70B4F52F">
      <w:pPr>
        <w:spacing w:after="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Add the Sales Growth % and Profit Growth measures to a regular check-in so any future gap between the two gets caught early, rather than only showing up at year-end.</w:t>
      </w:r>
    </w:p>
    <w:p w14:paraId="62EBA0A6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Conclusion</w:t>
      </w:r>
    </w:p>
    <w:p w14:paraId="0D136760">
      <w:pPr>
        <w:spacing w:after="12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Taken as a whole, Superstore's numbers tell a good story  a healthy 12.47% margin, growing sales, and profit that's grown every single year in the dataset. The point of this deeper analysis isn't to contradict that; it's to show that the same healthy business has a few specific, fixable issues sitting just underneath: two products dragging Furniture down, a discount level where profitability quietly disappears, and five states that are losing money while their regions look fine. None of this calls for slowing down — just a handful of targeted fixes that should lift profitability without giving up the growth already in motion.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90480F"/>
    <w:rsid w:val="61326A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1005</Words>
  <Characters>5149</Characters>
  <TotalTime>3</TotalTime>
  <ScaleCrop>false</ScaleCrop>
  <LinksUpToDate>false</LinksUpToDate>
  <CharactersWithSpaces>6099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2026-08-22T22:45:00Z</dcterms:created>
  <dc:creator>Un-named</dc:creator>
  <cp:lastModifiedBy>WPS_1749282467</cp:lastModifiedBy>
  <dcterms:modified xsi:type="dcterms:W3CDTF">2026-08-22T22:53:15Z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eyJoZGlkIjoiYTk2N2U3NWQ2Y2ZkNDdmMWQ0ZmM3NTIzYWJiY2ZkNWIiLCJ1c2VySWQiOiIxNDg2MTIzODQ5NzgyMiJ9</vt:lpwstr>
  </property>
  <property fmtid="{D5CDD505-2E9C-101B-9397-08002B2CF9AE}" pid="3" name="KSOProductBuildVer">
    <vt:lpwstr>1033-12.1.0.28032</vt:lpwstr>
  </property>
  <property fmtid="{D5CDD505-2E9C-101B-9397-08002B2CF9AE}" pid="4" name="ICV">
    <vt:lpwstr>DD93E355F4AA436B8DCF4DD426CF7D97_12</vt:lpwstr>
  </property>
</Properties>
</file>