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D7D" w:rsidRDefault="00B21D7D" w:rsidP="00DC088C">
      <w:pPr>
        <w:jc w:val="both"/>
      </w:pPr>
      <w:r>
        <w:t>En el presente documento se describe brevemente las circunstancias en la que se solicita, por parte de la Caja de Jubilaciones y Pensiones Municipal de Victoria, la corrección de cobros erróneos de cuotas efectuados en el sistema de préstamos, y el procedimiento a seguir para solucionar esto.</w:t>
      </w:r>
    </w:p>
    <w:p w:rsidR="00B21D7D" w:rsidRDefault="00B21D7D" w:rsidP="00DC088C">
      <w:pPr>
        <w:jc w:val="both"/>
      </w:pPr>
      <w:r>
        <w:t xml:space="preserve">Durante los meses de Agosto, Septiembre y Octubre del corriente año, según informado por la Caja, se comenzó a afectar a garantes en el cobro de cuotas atrasadas. Debido a que un cierto grupo de garantes no se encontraba registrado en el sistema, ya que estos no fueron cargados al momento de otorgar el crédito, se trabajo el cobro de estas cuotas en forma manual. </w:t>
      </w:r>
    </w:p>
    <w:p w:rsidR="00B21D7D" w:rsidRDefault="00B21D7D" w:rsidP="00DC088C">
      <w:pPr>
        <w:jc w:val="both"/>
      </w:pPr>
      <w:r>
        <w:t xml:space="preserve">En cada mes se </w:t>
      </w:r>
      <w:r w:rsidR="002A3492">
        <w:t>envío</w:t>
      </w:r>
      <w:r>
        <w:t xml:space="preserve"> a la Municipalidad de Victoria dos fuentes de cobros:</w:t>
      </w:r>
    </w:p>
    <w:p w:rsidR="00B21D7D" w:rsidRDefault="00B21D7D" w:rsidP="00DC088C">
      <w:pPr>
        <w:jc w:val="both"/>
      </w:pPr>
      <w:r>
        <w:t xml:space="preserve">1) </w:t>
      </w:r>
      <w:r w:rsidR="00A24B10">
        <w:t>un archivo</w:t>
      </w:r>
      <w:r w:rsidR="002A3492">
        <w:t>,</w:t>
      </w:r>
      <w:r w:rsidR="00A24B10">
        <w:t xml:space="preserve"> con </w:t>
      </w:r>
      <w:r>
        <w:t>la liquidación de cobros de cuotas generada habitualmente por el sistema</w:t>
      </w:r>
    </w:p>
    <w:p w:rsidR="00B21D7D" w:rsidRDefault="00B21D7D" w:rsidP="00DC088C">
      <w:pPr>
        <w:jc w:val="both"/>
      </w:pPr>
      <w:r>
        <w:t xml:space="preserve">2) una nota impresa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sidR="002A3492">
        <w:t xml:space="preserve">con el detalle de los </w:t>
      </w:r>
      <w:r>
        <w:t>importe</w:t>
      </w:r>
      <w:r w:rsidR="002A3492">
        <w:t>s</w:t>
      </w:r>
      <w:r>
        <w:t xml:space="preserve"> a descontar a cada garante afectado NO registrado en el sistema.</w:t>
      </w:r>
    </w:p>
    <w:p w:rsidR="00B21D7D" w:rsidRDefault="00B21D7D" w:rsidP="00DC088C">
      <w:pPr>
        <w:jc w:val="both"/>
      </w:pPr>
      <w:r>
        <w:t>Luego</w:t>
      </w:r>
      <w:r w:rsidR="00A24B10">
        <w:t>,</w:t>
      </w:r>
      <w:r w:rsidR="009A4D29">
        <w:t xml:space="preserve"> desde la Municipalidad</w:t>
      </w:r>
      <w:r w:rsidR="00A24B10">
        <w:t xml:space="preserve"> </w:t>
      </w:r>
      <w:r>
        <w:t xml:space="preserve">se </w:t>
      </w:r>
      <w:r w:rsidR="00A24B10">
        <w:t>recibió</w:t>
      </w:r>
      <w:r>
        <w:t xml:space="preserve"> un solo archivo donde se agrupaban ambos casos.</w:t>
      </w:r>
    </w:p>
    <w:p w:rsidR="00B21D7D" w:rsidRDefault="009A4D29" w:rsidP="00DC088C">
      <w:pPr>
        <w:jc w:val="both"/>
      </w:pPr>
      <w:r>
        <w:t xml:space="preserve">Al importarse este archivo </w:t>
      </w:r>
      <w:r w:rsidR="002A3492">
        <w:t>en el</w:t>
      </w:r>
      <w:r w:rsidR="00A24B10">
        <w:t xml:space="preserve"> </w:t>
      </w:r>
      <w:r>
        <w:t xml:space="preserve">sistema se </w:t>
      </w:r>
      <w:r w:rsidR="002A3492">
        <w:t>introdujeron</w:t>
      </w:r>
      <w:r>
        <w:t xml:space="preserve"> montos erróneos</w:t>
      </w:r>
      <w:r w:rsidR="00E43A21">
        <w:t xml:space="preserve"> </w:t>
      </w:r>
      <w:r w:rsidR="002A3492">
        <w:t>que no se corresponden con la liquidación, originando excedente de dinero en las cuentas corrie</w:t>
      </w:r>
      <w:r w:rsidR="0052342F">
        <w:t>ntes afectadas, y cancelando cuotas no</w:t>
      </w:r>
      <w:r w:rsidR="00E73AA0">
        <w:t xml:space="preserve"> deberían haberse cobrado</w:t>
      </w:r>
      <w:r w:rsidR="0052342F">
        <w:t>. Por otro lado se registraron las cancelaciones de las cuotas que originaron las garantías</w:t>
      </w:r>
      <w:r w:rsidR="00E73AA0">
        <w:t xml:space="preserve"> </w:t>
      </w:r>
      <w:r w:rsidR="0052342F">
        <w:t>como cobros bancarios.</w:t>
      </w:r>
    </w:p>
    <w:p w:rsidR="001614D4" w:rsidRDefault="001614D4" w:rsidP="00DC088C">
      <w:pPr>
        <w:jc w:val="both"/>
      </w:pPr>
    </w:p>
    <w:p w:rsidR="009E1493" w:rsidRDefault="009E1493" w:rsidP="00DC088C">
      <w:pPr>
        <w:jc w:val="both"/>
      </w:pPr>
      <w:r>
        <w:t xml:space="preserve">Para solucionar estos inconvenientes, se reviso cada caso puntual con las indicaciones y la información recibida de la Caja. </w:t>
      </w:r>
    </w:p>
    <w:p w:rsidR="001614D4" w:rsidRPr="001614D4" w:rsidRDefault="001614D4" w:rsidP="00DC088C">
      <w:pPr>
        <w:jc w:val="both"/>
        <w:rPr>
          <w:u w:val="single"/>
        </w:rPr>
      </w:pPr>
      <w:r w:rsidRPr="001614D4">
        <w:rPr>
          <w:u w:val="single"/>
        </w:rPr>
        <w:t xml:space="preserve">Se observaron tres tipos de casos a evaluar: </w:t>
      </w:r>
    </w:p>
    <w:p w:rsidR="001614D4" w:rsidRDefault="001614D4" w:rsidP="001614D4">
      <w:pPr>
        <w:rPr>
          <w:u w:val="single"/>
        </w:rPr>
      </w:pPr>
    </w:p>
    <w:p w:rsidR="001614D4" w:rsidRPr="00CF1C13" w:rsidRDefault="001614D4" w:rsidP="001614D4">
      <w:pPr>
        <w:rPr>
          <w:b/>
          <w:color w:val="0070C0"/>
        </w:rPr>
      </w:pPr>
      <w:r w:rsidRPr="00CF1C13">
        <w:rPr>
          <w:b/>
          <w:color w:val="0070C0"/>
        </w:rPr>
        <w:t>Caso 1: persona con estado Pasivo en las 3 liquidaciones intervinientes</w:t>
      </w:r>
    </w:p>
    <w:tbl>
      <w:tblPr>
        <w:tblStyle w:val="Tablaconcuadrcula"/>
        <w:tblpPr w:leftFromText="141" w:rightFromText="141" w:vertAnchor="text" w:horzAnchor="margin" w:tblpXSpec="center" w:tblpY="490"/>
        <w:tblW w:w="11023" w:type="dxa"/>
        <w:tblLayout w:type="fixed"/>
        <w:tblLook w:val="01E0"/>
      </w:tblPr>
      <w:tblGrid>
        <w:gridCol w:w="1384"/>
        <w:gridCol w:w="2268"/>
        <w:gridCol w:w="1985"/>
        <w:gridCol w:w="2693"/>
        <w:gridCol w:w="2693"/>
      </w:tblGrid>
      <w:tr w:rsidR="001614D4" w:rsidRPr="00B45987" w:rsidTr="009211AD">
        <w:tc>
          <w:tcPr>
            <w:tcW w:w="1384" w:type="dxa"/>
          </w:tcPr>
          <w:p w:rsidR="001614D4" w:rsidRPr="00B45987" w:rsidRDefault="001614D4" w:rsidP="009211AD">
            <w:pPr>
              <w:rPr>
                <w:rFonts w:ascii="Arial" w:hAnsi="Arial" w:cs="Arial"/>
                <w:b/>
                <w:color w:val="000000" w:themeColor="text1"/>
                <w:sz w:val="16"/>
                <w:szCs w:val="16"/>
              </w:rPr>
            </w:pPr>
            <w:r w:rsidRPr="00B45987">
              <w:rPr>
                <w:rFonts w:ascii="Arial" w:hAnsi="Arial" w:cs="Arial"/>
                <w:b/>
                <w:color w:val="000000" w:themeColor="text1"/>
                <w:sz w:val="16"/>
                <w:szCs w:val="16"/>
              </w:rPr>
              <w:t>Legajo</w:t>
            </w:r>
          </w:p>
        </w:tc>
        <w:tc>
          <w:tcPr>
            <w:tcW w:w="2268" w:type="dxa"/>
          </w:tcPr>
          <w:p w:rsidR="001614D4" w:rsidRPr="00B45987" w:rsidRDefault="001614D4" w:rsidP="009211AD">
            <w:pPr>
              <w:rPr>
                <w:rFonts w:ascii="Arial" w:hAnsi="Arial" w:cs="Arial"/>
                <w:b/>
                <w:color w:val="000000" w:themeColor="text1"/>
                <w:sz w:val="16"/>
                <w:szCs w:val="16"/>
              </w:rPr>
            </w:pPr>
            <w:r w:rsidRPr="00B45987">
              <w:rPr>
                <w:rFonts w:ascii="Arial" w:hAnsi="Arial" w:cs="Arial"/>
                <w:b/>
                <w:color w:val="000000" w:themeColor="text1"/>
                <w:sz w:val="16"/>
                <w:szCs w:val="16"/>
              </w:rPr>
              <w:t>Nombre y apellido</w:t>
            </w:r>
          </w:p>
        </w:tc>
        <w:tc>
          <w:tcPr>
            <w:tcW w:w="1985" w:type="dxa"/>
          </w:tcPr>
          <w:p w:rsidR="001614D4" w:rsidRPr="00B45987" w:rsidRDefault="001614D4" w:rsidP="009211AD">
            <w:pPr>
              <w:rPr>
                <w:rFonts w:ascii="Arial" w:hAnsi="Arial" w:cs="Arial"/>
                <w:b/>
                <w:color w:val="000000" w:themeColor="text1"/>
                <w:sz w:val="16"/>
                <w:szCs w:val="16"/>
              </w:rPr>
            </w:pPr>
            <w:r w:rsidRPr="00B45987">
              <w:rPr>
                <w:rFonts w:ascii="Arial" w:hAnsi="Arial" w:cs="Arial"/>
                <w:b/>
                <w:color w:val="000000" w:themeColor="text1"/>
                <w:sz w:val="16"/>
                <w:szCs w:val="16"/>
              </w:rPr>
              <w:t>Periodo</w:t>
            </w:r>
          </w:p>
        </w:tc>
        <w:tc>
          <w:tcPr>
            <w:tcW w:w="2693" w:type="dxa"/>
          </w:tcPr>
          <w:p w:rsidR="001614D4" w:rsidRPr="00B45987" w:rsidRDefault="001614D4" w:rsidP="009211AD">
            <w:pPr>
              <w:rPr>
                <w:rFonts w:ascii="Arial" w:hAnsi="Arial" w:cs="Arial"/>
                <w:b/>
                <w:color w:val="000000" w:themeColor="text1"/>
                <w:sz w:val="16"/>
                <w:szCs w:val="16"/>
              </w:rPr>
            </w:pPr>
            <w:r w:rsidRPr="00B45987">
              <w:rPr>
                <w:rFonts w:ascii="Arial" w:hAnsi="Arial" w:cs="Arial"/>
                <w:b/>
                <w:color w:val="000000" w:themeColor="text1"/>
                <w:sz w:val="16"/>
                <w:szCs w:val="16"/>
              </w:rPr>
              <w:t>Créditos propios del garante</w:t>
            </w:r>
          </w:p>
        </w:tc>
        <w:tc>
          <w:tcPr>
            <w:tcW w:w="2693" w:type="dxa"/>
          </w:tcPr>
          <w:p w:rsidR="001614D4" w:rsidRPr="00B45987" w:rsidRDefault="001614D4" w:rsidP="009211AD">
            <w:pPr>
              <w:rPr>
                <w:rFonts w:ascii="Arial" w:hAnsi="Arial" w:cs="Arial"/>
                <w:b/>
                <w:color w:val="000000" w:themeColor="text1"/>
                <w:sz w:val="16"/>
                <w:szCs w:val="16"/>
              </w:rPr>
            </w:pPr>
            <w:r w:rsidRPr="00B45987">
              <w:rPr>
                <w:rFonts w:ascii="Arial" w:hAnsi="Arial" w:cs="Arial"/>
                <w:b/>
                <w:color w:val="000000" w:themeColor="text1"/>
                <w:sz w:val="16"/>
                <w:szCs w:val="16"/>
              </w:rPr>
              <w:t>Monto que pago como garantía</w:t>
            </w:r>
          </w:p>
        </w:tc>
      </w:tr>
      <w:tr w:rsidR="001614D4" w:rsidRPr="00B45987" w:rsidTr="009211AD">
        <w:tc>
          <w:tcPr>
            <w:tcW w:w="1384"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 xml:space="preserve">207 </w:t>
            </w:r>
            <w:r w:rsidRPr="00B45987">
              <w:rPr>
                <w:rFonts w:ascii="Arial" w:hAnsi="Arial" w:cs="Arial"/>
                <w:color w:val="FF0000"/>
                <w:sz w:val="16"/>
                <w:szCs w:val="16"/>
              </w:rPr>
              <w:t>(PASIVO)</w:t>
            </w:r>
          </w:p>
        </w:tc>
        <w:tc>
          <w:tcPr>
            <w:tcW w:w="2268"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LEONE RAMON PASCUAL</w:t>
            </w:r>
          </w:p>
        </w:tc>
        <w:tc>
          <w:tcPr>
            <w:tcW w:w="1985"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Agosto/2012</w:t>
            </w:r>
          </w:p>
        </w:tc>
        <w:tc>
          <w:tcPr>
            <w:tcW w:w="2693"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397</w:t>
            </w:r>
          </w:p>
        </w:tc>
        <w:tc>
          <w:tcPr>
            <w:tcW w:w="2693"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446</w:t>
            </w:r>
          </w:p>
        </w:tc>
      </w:tr>
      <w:tr w:rsidR="001614D4" w:rsidRPr="00B45987" w:rsidTr="009211AD">
        <w:tc>
          <w:tcPr>
            <w:tcW w:w="1384"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 xml:space="preserve">207 </w:t>
            </w:r>
            <w:r w:rsidRPr="00B45987">
              <w:rPr>
                <w:rFonts w:ascii="Arial" w:hAnsi="Arial" w:cs="Arial"/>
                <w:color w:val="FF0000"/>
                <w:sz w:val="16"/>
                <w:szCs w:val="16"/>
              </w:rPr>
              <w:t>(PASIVO)</w:t>
            </w:r>
          </w:p>
        </w:tc>
        <w:tc>
          <w:tcPr>
            <w:tcW w:w="2268"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LEONE RAMON PASCUAL</w:t>
            </w:r>
          </w:p>
        </w:tc>
        <w:tc>
          <w:tcPr>
            <w:tcW w:w="1985"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Septiembre/2012</w:t>
            </w:r>
          </w:p>
        </w:tc>
        <w:tc>
          <w:tcPr>
            <w:tcW w:w="2693"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397</w:t>
            </w:r>
          </w:p>
        </w:tc>
        <w:tc>
          <w:tcPr>
            <w:tcW w:w="2693"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446</w:t>
            </w:r>
          </w:p>
        </w:tc>
      </w:tr>
      <w:tr w:rsidR="001614D4" w:rsidRPr="00B45987" w:rsidTr="009211AD">
        <w:tc>
          <w:tcPr>
            <w:tcW w:w="1384"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 xml:space="preserve">207 </w:t>
            </w:r>
            <w:r w:rsidRPr="00B45987">
              <w:rPr>
                <w:rFonts w:ascii="Arial" w:hAnsi="Arial" w:cs="Arial"/>
                <w:color w:val="FF0000"/>
                <w:sz w:val="16"/>
                <w:szCs w:val="16"/>
              </w:rPr>
              <w:t>(PASIVO)</w:t>
            </w:r>
          </w:p>
        </w:tc>
        <w:tc>
          <w:tcPr>
            <w:tcW w:w="2268"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LEONE RAMON PASCUAL</w:t>
            </w:r>
          </w:p>
        </w:tc>
        <w:tc>
          <w:tcPr>
            <w:tcW w:w="1985"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Octubre/2012</w:t>
            </w:r>
          </w:p>
        </w:tc>
        <w:tc>
          <w:tcPr>
            <w:tcW w:w="2693"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379</w:t>
            </w:r>
          </w:p>
        </w:tc>
        <w:tc>
          <w:tcPr>
            <w:tcW w:w="2693"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428</w:t>
            </w:r>
          </w:p>
        </w:tc>
      </w:tr>
    </w:tbl>
    <w:p w:rsidR="001614D4" w:rsidRDefault="001614D4" w:rsidP="001614D4"/>
    <w:p w:rsidR="001614D4" w:rsidRDefault="001614D4" w:rsidP="001614D4">
      <w:r>
        <w:t xml:space="preserve">Al tratarse de una persona con estado Pasivo las liquidaciones no se envían a la Municipalidad, sino que se manejan internas en la Caja. Por ello, al no intervenir en la importación de archivo de la Municipalidad NO se altera la cuenta corriente de la persona </w:t>
      </w:r>
      <w:proofErr w:type="spellStart"/>
      <w:r>
        <w:t>Leone</w:t>
      </w:r>
      <w:proofErr w:type="spellEnd"/>
      <w:r>
        <w:t xml:space="preserve"> </w:t>
      </w:r>
      <w:proofErr w:type="spellStart"/>
      <w:r>
        <w:t>Ramon</w:t>
      </w:r>
      <w:proofErr w:type="spellEnd"/>
      <w:r>
        <w:t xml:space="preserve"> Pascual, y por lo tanto tampoco las cancelaciones de cuotas.</w:t>
      </w:r>
    </w:p>
    <w:p w:rsidR="001614D4" w:rsidRDefault="001614D4" w:rsidP="001614D4"/>
    <w:p w:rsidR="001614D4" w:rsidRDefault="001614D4" w:rsidP="001614D4"/>
    <w:p w:rsidR="001614D4" w:rsidRPr="00CF1C13" w:rsidRDefault="001614D4" w:rsidP="001614D4">
      <w:pPr>
        <w:rPr>
          <w:b/>
          <w:color w:val="0070C0"/>
        </w:rPr>
      </w:pPr>
      <w:r w:rsidRPr="00CF1C13">
        <w:rPr>
          <w:b/>
          <w:color w:val="0070C0"/>
        </w:rPr>
        <w:t>Caso 2: persona con estado Activo en las liquidaciones de Agosto y Septiembre; y estado Pasivo en la liquidación de Octubre</w:t>
      </w:r>
    </w:p>
    <w:tbl>
      <w:tblPr>
        <w:tblStyle w:val="Tablaconcuadrcula"/>
        <w:tblpPr w:leftFromText="141" w:rightFromText="141" w:vertAnchor="text" w:horzAnchor="margin" w:tblpXSpec="center" w:tblpY="490"/>
        <w:tblW w:w="10981" w:type="dxa"/>
        <w:tblLayout w:type="fixed"/>
        <w:tblLook w:val="01E0"/>
      </w:tblPr>
      <w:tblGrid>
        <w:gridCol w:w="1384"/>
        <w:gridCol w:w="2226"/>
        <w:gridCol w:w="1985"/>
        <w:gridCol w:w="2693"/>
        <w:gridCol w:w="2693"/>
      </w:tblGrid>
      <w:tr w:rsidR="001614D4" w:rsidRPr="00B45987" w:rsidTr="009211AD">
        <w:tc>
          <w:tcPr>
            <w:tcW w:w="1384" w:type="dxa"/>
          </w:tcPr>
          <w:p w:rsidR="001614D4" w:rsidRPr="00B45987" w:rsidRDefault="001614D4" w:rsidP="009211AD">
            <w:pPr>
              <w:rPr>
                <w:rFonts w:ascii="Arial" w:hAnsi="Arial" w:cs="Arial"/>
                <w:b/>
                <w:color w:val="000000" w:themeColor="text1"/>
                <w:sz w:val="16"/>
                <w:szCs w:val="16"/>
              </w:rPr>
            </w:pPr>
            <w:r w:rsidRPr="00B45987">
              <w:rPr>
                <w:rFonts w:ascii="Arial" w:hAnsi="Arial" w:cs="Arial"/>
                <w:b/>
                <w:color w:val="000000" w:themeColor="text1"/>
                <w:sz w:val="16"/>
                <w:szCs w:val="16"/>
              </w:rPr>
              <w:t>Legajo</w:t>
            </w:r>
          </w:p>
        </w:tc>
        <w:tc>
          <w:tcPr>
            <w:tcW w:w="2226" w:type="dxa"/>
          </w:tcPr>
          <w:p w:rsidR="001614D4" w:rsidRPr="00B45987" w:rsidRDefault="001614D4" w:rsidP="009211AD">
            <w:pPr>
              <w:rPr>
                <w:rFonts w:ascii="Arial" w:hAnsi="Arial" w:cs="Arial"/>
                <w:b/>
                <w:color w:val="000000" w:themeColor="text1"/>
                <w:sz w:val="16"/>
                <w:szCs w:val="16"/>
              </w:rPr>
            </w:pPr>
            <w:r w:rsidRPr="00B45987">
              <w:rPr>
                <w:rFonts w:ascii="Arial" w:hAnsi="Arial" w:cs="Arial"/>
                <w:b/>
                <w:color w:val="000000" w:themeColor="text1"/>
                <w:sz w:val="16"/>
                <w:szCs w:val="16"/>
              </w:rPr>
              <w:t>Nombre y apellido</w:t>
            </w:r>
          </w:p>
        </w:tc>
        <w:tc>
          <w:tcPr>
            <w:tcW w:w="1985" w:type="dxa"/>
          </w:tcPr>
          <w:p w:rsidR="001614D4" w:rsidRPr="00B45987" w:rsidRDefault="001614D4" w:rsidP="009211AD">
            <w:pPr>
              <w:rPr>
                <w:rFonts w:ascii="Arial" w:hAnsi="Arial" w:cs="Arial"/>
                <w:b/>
                <w:color w:val="000000" w:themeColor="text1"/>
                <w:sz w:val="16"/>
                <w:szCs w:val="16"/>
              </w:rPr>
            </w:pPr>
            <w:r w:rsidRPr="00B45987">
              <w:rPr>
                <w:rFonts w:ascii="Arial" w:hAnsi="Arial" w:cs="Arial"/>
                <w:b/>
                <w:color w:val="000000" w:themeColor="text1"/>
                <w:sz w:val="16"/>
                <w:szCs w:val="16"/>
              </w:rPr>
              <w:t>Periodo</w:t>
            </w:r>
          </w:p>
        </w:tc>
        <w:tc>
          <w:tcPr>
            <w:tcW w:w="2693" w:type="dxa"/>
          </w:tcPr>
          <w:p w:rsidR="001614D4" w:rsidRPr="00B45987" w:rsidRDefault="001614D4" w:rsidP="009211AD">
            <w:pPr>
              <w:rPr>
                <w:rFonts w:ascii="Arial" w:hAnsi="Arial" w:cs="Arial"/>
                <w:b/>
                <w:color w:val="000000" w:themeColor="text1"/>
                <w:sz w:val="16"/>
                <w:szCs w:val="16"/>
              </w:rPr>
            </w:pPr>
            <w:r w:rsidRPr="00B45987">
              <w:rPr>
                <w:rFonts w:ascii="Arial" w:hAnsi="Arial" w:cs="Arial"/>
                <w:b/>
                <w:color w:val="000000" w:themeColor="text1"/>
                <w:sz w:val="16"/>
                <w:szCs w:val="16"/>
              </w:rPr>
              <w:t>Créditos propios del garante</w:t>
            </w:r>
          </w:p>
        </w:tc>
        <w:tc>
          <w:tcPr>
            <w:tcW w:w="2693" w:type="dxa"/>
          </w:tcPr>
          <w:p w:rsidR="001614D4" w:rsidRPr="00B45987" w:rsidRDefault="001614D4" w:rsidP="009211AD">
            <w:pPr>
              <w:rPr>
                <w:rFonts w:ascii="Arial" w:hAnsi="Arial" w:cs="Arial"/>
                <w:b/>
                <w:color w:val="000000" w:themeColor="text1"/>
                <w:sz w:val="16"/>
                <w:szCs w:val="16"/>
              </w:rPr>
            </w:pPr>
            <w:r w:rsidRPr="00B45987">
              <w:rPr>
                <w:rFonts w:ascii="Arial" w:hAnsi="Arial" w:cs="Arial"/>
                <w:b/>
                <w:color w:val="000000" w:themeColor="text1"/>
                <w:sz w:val="16"/>
                <w:szCs w:val="16"/>
              </w:rPr>
              <w:t>Monto que pago como garantía</w:t>
            </w:r>
          </w:p>
        </w:tc>
      </w:tr>
      <w:tr w:rsidR="001614D4" w:rsidRPr="00B45987" w:rsidTr="009211AD">
        <w:tc>
          <w:tcPr>
            <w:tcW w:w="1384"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 xml:space="preserve">113 </w:t>
            </w:r>
            <w:r w:rsidRPr="00CF1C13">
              <w:rPr>
                <w:rFonts w:ascii="Arial" w:hAnsi="Arial" w:cs="Arial"/>
                <w:color w:val="FF0000"/>
                <w:sz w:val="16"/>
                <w:szCs w:val="16"/>
              </w:rPr>
              <w:t>(ACTIVO)</w:t>
            </w:r>
          </w:p>
        </w:tc>
        <w:tc>
          <w:tcPr>
            <w:tcW w:w="2226"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RIOS ARMANDO RAFAEL</w:t>
            </w:r>
          </w:p>
        </w:tc>
        <w:tc>
          <w:tcPr>
            <w:tcW w:w="1985"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Agosto/2012</w:t>
            </w:r>
          </w:p>
        </w:tc>
        <w:tc>
          <w:tcPr>
            <w:tcW w:w="2693"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307</w:t>
            </w:r>
          </w:p>
        </w:tc>
        <w:tc>
          <w:tcPr>
            <w:tcW w:w="2693"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356</w:t>
            </w:r>
          </w:p>
        </w:tc>
      </w:tr>
      <w:tr w:rsidR="001614D4" w:rsidRPr="00B45987" w:rsidTr="009211AD">
        <w:tc>
          <w:tcPr>
            <w:tcW w:w="1384"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 xml:space="preserve">113 </w:t>
            </w:r>
            <w:r w:rsidRPr="00CF1C13">
              <w:rPr>
                <w:rFonts w:ascii="Arial" w:hAnsi="Arial" w:cs="Arial"/>
                <w:color w:val="FF0000"/>
                <w:sz w:val="16"/>
                <w:szCs w:val="16"/>
              </w:rPr>
              <w:t>(ACTIVO)</w:t>
            </w:r>
          </w:p>
        </w:tc>
        <w:tc>
          <w:tcPr>
            <w:tcW w:w="2226"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RIOS ARMANDO RAFAEL</w:t>
            </w:r>
          </w:p>
        </w:tc>
        <w:tc>
          <w:tcPr>
            <w:tcW w:w="1985"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Septiembre/2012</w:t>
            </w:r>
          </w:p>
        </w:tc>
        <w:tc>
          <w:tcPr>
            <w:tcW w:w="2693"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307</w:t>
            </w:r>
          </w:p>
        </w:tc>
        <w:tc>
          <w:tcPr>
            <w:tcW w:w="2693"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356</w:t>
            </w:r>
          </w:p>
        </w:tc>
      </w:tr>
      <w:tr w:rsidR="001614D4" w:rsidRPr="00B45987" w:rsidTr="009211AD">
        <w:tc>
          <w:tcPr>
            <w:tcW w:w="1384"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 xml:space="preserve">223 </w:t>
            </w:r>
            <w:r w:rsidRPr="00CF1C13">
              <w:rPr>
                <w:rFonts w:ascii="Arial" w:hAnsi="Arial" w:cs="Arial"/>
                <w:color w:val="FF0000"/>
                <w:sz w:val="16"/>
                <w:szCs w:val="16"/>
              </w:rPr>
              <w:t>(PASIVO)</w:t>
            </w:r>
          </w:p>
        </w:tc>
        <w:tc>
          <w:tcPr>
            <w:tcW w:w="2226"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RIOS ARMANDO RAFAEL</w:t>
            </w:r>
          </w:p>
        </w:tc>
        <w:tc>
          <w:tcPr>
            <w:tcW w:w="1985" w:type="dxa"/>
          </w:tcPr>
          <w:p w:rsidR="001614D4" w:rsidRPr="00B45987" w:rsidRDefault="001614D4" w:rsidP="009211AD">
            <w:pPr>
              <w:rPr>
                <w:rFonts w:ascii="Arial" w:hAnsi="Arial" w:cs="Arial"/>
                <w:color w:val="000000" w:themeColor="text1"/>
                <w:sz w:val="16"/>
                <w:szCs w:val="16"/>
              </w:rPr>
            </w:pPr>
            <w:r w:rsidRPr="00B45987">
              <w:rPr>
                <w:rFonts w:ascii="Arial" w:hAnsi="Arial" w:cs="Arial"/>
                <w:color w:val="000000" w:themeColor="text1"/>
                <w:sz w:val="16"/>
                <w:szCs w:val="16"/>
              </w:rPr>
              <w:t>Octubre/2012</w:t>
            </w:r>
          </w:p>
        </w:tc>
        <w:tc>
          <w:tcPr>
            <w:tcW w:w="2693"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306</w:t>
            </w:r>
          </w:p>
        </w:tc>
        <w:tc>
          <w:tcPr>
            <w:tcW w:w="2693" w:type="dxa"/>
          </w:tcPr>
          <w:p w:rsidR="001614D4" w:rsidRPr="00CF1C13" w:rsidRDefault="001614D4" w:rsidP="009211AD">
            <w:pPr>
              <w:rPr>
                <w:rFonts w:ascii="Arial" w:hAnsi="Arial" w:cs="Arial"/>
                <w:color w:val="000000" w:themeColor="text1"/>
                <w:sz w:val="16"/>
                <w:szCs w:val="16"/>
              </w:rPr>
            </w:pPr>
            <w:r w:rsidRPr="00CF1C13">
              <w:rPr>
                <w:rFonts w:ascii="Arial" w:hAnsi="Arial" w:cs="Arial"/>
                <w:color w:val="000000" w:themeColor="text1"/>
                <w:sz w:val="16"/>
                <w:szCs w:val="16"/>
              </w:rPr>
              <w:t>355</w:t>
            </w:r>
          </w:p>
        </w:tc>
      </w:tr>
    </w:tbl>
    <w:p w:rsidR="001614D4" w:rsidRDefault="001614D4" w:rsidP="001614D4"/>
    <w:p w:rsidR="001614D4" w:rsidRDefault="001614D4" w:rsidP="001614D4">
      <w:r>
        <w:t>En este caso, al tratarse de una persona con estado Activo en las dos primeras liquidaciones (Agosto y Septiembre) el cobro de cuotas se realiza a través de la Municipalidad. Al importar el archivo recibido desde la Municipalidad SI se altera la cuenta corriente de la persona, dejando un sobrante de $98 ($ 49 en cada mes) y pudiendo originar cancelaciones de cuotas. Para el mes de octubre como se le cambio el estado a pasivo a esta persona  el cobro de cuotas no altera la cuenta corriente.</w:t>
      </w:r>
    </w:p>
    <w:p w:rsidR="001614D4" w:rsidRDefault="001614D4" w:rsidP="001614D4">
      <w:r>
        <w:t xml:space="preserve">Aquí solo se modificó el cobro de cuotas para el mes de agosto y septiembre siguiendo el procedimiento que se explica en el caso 3. </w:t>
      </w:r>
    </w:p>
    <w:p w:rsidR="001614D4" w:rsidRPr="001614D4" w:rsidRDefault="001614D4" w:rsidP="001614D4">
      <w:pPr>
        <w:rPr>
          <w:b/>
          <w:color w:val="0070C0"/>
        </w:rPr>
      </w:pPr>
      <w:r w:rsidRPr="001614D4">
        <w:rPr>
          <w:b/>
          <w:color w:val="0070C0"/>
        </w:rPr>
        <w:t>Caso 3</w:t>
      </w:r>
      <w:r w:rsidR="00F055C8" w:rsidRPr="001614D4">
        <w:rPr>
          <w:b/>
          <w:color w:val="0070C0"/>
        </w:rPr>
        <w:t xml:space="preserve">: </w:t>
      </w:r>
      <w:r w:rsidR="00F055C8">
        <w:rPr>
          <w:b/>
          <w:color w:val="0070C0"/>
        </w:rPr>
        <w:t>persona</w:t>
      </w:r>
      <w:r>
        <w:rPr>
          <w:b/>
          <w:color w:val="0070C0"/>
        </w:rPr>
        <w:t xml:space="preserve"> con estado Activo en las tres liquidaciones</w:t>
      </w:r>
    </w:p>
    <w:p w:rsidR="001614D4" w:rsidRDefault="001614D4" w:rsidP="001614D4">
      <w:r>
        <w:t xml:space="preserve">Para el grupo de personas Activas, se eliminaron los cobros por importación de archivos registrados en el mes de agosto, septiembre y octubre. Luego se edito cada archivo colocando el monto correspondiente y se los proceso nuevamente. </w:t>
      </w:r>
    </w:p>
    <w:p w:rsidR="001614D4" w:rsidRDefault="001614D4" w:rsidP="001614D4">
      <w:proofErr w:type="spellStart"/>
      <w:r>
        <w:t>Ej</w:t>
      </w:r>
      <w:proofErr w:type="spellEnd"/>
      <w:r>
        <w:t xml:space="preserve">: </w:t>
      </w:r>
    </w:p>
    <w:p w:rsidR="001614D4" w:rsidRPr="00F21F95" w:rsidRDefault="001614D4" w:rsidP="001614D4">
      <w:r>
        <w:rPr>
          <w:noProof/>
          <w:lang w:eastAsia="es-AR"/>
        </w:rPr>
        <w:pict>
          <v:rect id="_x0000_s1026" style="position:absolute;margin-left:-37.25pt;margin-top:32.25pt;width:523.35pt;height:14.5pt;z-index:251661312" filled="f" strokecolor="blue" strokeweight="1pt"/>
        </w:pict>
      </w:r>
      <w:r>
        <w:rPr>
          <w:noProof/>
          <w:lang w:eastAsia="es-AR"/>
        </w:rPr>
        <w:drawing>
          <wp:anchor distT="0" distB="0" distL="114300" distR="114300" simplePos="0" relativeHeight="251660288" behindDoc="1" locked="0" layoutInCell="1" allowOverlap="1">
            <wp:simplePos x="0" y="0"/>
            <wp:positionH relativeFrom="column">
              <wp:posOffset>-501650</wp:posOffset>
            </wp:positionH>
            <wp:positionV relativeFrom="paragraph">
              <wp:posOffset>320675</wp:posOffset>
            </wp:positionV>
            <wp:extent cx="6695440" cy="375285"/>
            <wp:effectExtent l="19050" t="0" r="0" b="0"/>
            <wp:wrapTight wrapText="bothSides">
              <wp:wrapPolygon edited="0">
                <wp:start x="-61" y="0"/>
                <wp:lineTo x="-61" y="20832"/>
                <wp:lineTo x="21571" y="20832"/>
                <wp:lineTo x="21571" y="0"/>
                <wp:lineTo x="-6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695440" cy="375285"/>
                    </a:xfrm>
                    <a:prstGeom prst="rect">
                      <a:avLst/>
                    </a:prstGeom>
                    <a:noFill/>
                    <a:ln w="9525">
                      <a:noFill/>
                      <a:miter lim="800000"/>
                      <a:headEnd/>
                      <a:tailEnd/>
                    </a:ln>
                  </pic:spPr>
                </pic:pic>
              </a:graphicData>
            </a:graphic>
          </wp:anchor>
        </w:drawing>
      </w:r>
      <w:r>
        <w:t xml:space="preserve">En el archivo </w:t>
      </w:r>
      <w:r w:rsidRPr="00D71A1D">
        <w:rPr>
          <w:b/>
        </w:rPr>
        <w:t>CR0712M.txt</w:t>
      </w:r>
      <w:r>
        <w:rPr>
          <w:b/>
        </w:rPr>
        <w:t xml:space="preserve"> </w:t>
      </w:r>
      <w:r w:rsidRPr="00F21F95">
        <w:t>se modificó la línea remarcada</w:t>
      </w:r>
    </w:p>
    <w:p w:rsidR="001614D4" w:rsidRPr="00F21F95" w:rsidRDefault="001614D4" w:rsidP="001614D4">
      <w:r>
        <w:rPr>
          <w:noProof/>
          <w:lang w:eastAsia="es-AR"/>
        </w:rPr>
        <w:pict>
          <v:rect id="_x0000_s1027" style="position:absolute;margin-left:378.1pt;margin-top:32.05pt;width:46.7pt;height:14.5pt;z-index:251663360" filled="f" strokecolor="blue" strokeweight="1pt"/>
        </w:pict>
      </w:r>
      <w:r w:rsidRPr="00F21F95">
        <w:rPr>
          <w:noProof/>
          <w:lang w:eastAsia="es-AR"/>
        </w:rPr>
        <w:drawing>
          <wp:anchor distT="0" distB="0" distL="114300" distR="114300" simplePos="0" relativeHeight="251662336" behindDoc="1" locked="0" layoutInCell="1" allowOverlap="1">
            <wp:simplePos x="0" y="0"/>
            <wp:positionH relativeFrom="column">
              <wp:posOffset>-487680</wp:posOffset>
            </wp:positionH>
            <wp:positionV relativeFrom="paragraph">
              <wp:posOffset>324485</wp:posOffset>
            </wp:positionV>
            <wp:extent cx="6680835" cy="340995"/>
            <wp:effectExtent l="19050" t="0" r="5715" b="0"/>
            <wp:wrapTight wrapText="bothSides">
              <wp:wrapPolygon edited="0">
                <wp:start x="-62" y="0"/>
                <wp:lineTo x="-62" y="20514"/>
                <wp:lineTo x="21618" y="20514"/>
                <wp:lineTo x="21618" y="0"/>
                <wp:lineTo x="-62"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680835" cy="340995"/>
                    </a:xfrm>
                    <a:prstGeom prst="rect">
                      <a:avLst/>
                    </a:prstGeom>
                    <a:noFill/>
                    <a:ln w="9525">
                      <a:noFill/>
                      <a:miter lim="800000"/>
                      <a:headEnd/>
                      <a:tailEnd/>
                    </a:ln>
                  </pic:spPr>
                </pic:pic>
              </a:graphicData>
            </a:graphic>
          </wp:anchor>
        </w:drawing>
      </w:r>
      <w:proofErr w:type="gramStart"/>
      <w:r>
        <w:t>p</w:t>
      </w:r>
      <w:r w:rsidRPr="00F21F95">
        <w:t>or</w:t>
      </w:r>
      <w:proofErr w:type="gramEnd"/>
      <w:r w:rsidRPr="00F21F95">
        <w:t xml:space="preserve"> </w:t>
      </w:r>
      <w:r>
        <w:t>:</w:t>
      </w:r>
    </w:p>
    <w:p w:rsidR="001614D4" w:rsidRDefault="001614D4" w:rsidP="001614D4"/>
    <w:p w:rsidR="001614D4" w:rsidRPr="00156883" w:rsidRDefault="001614D4" w:rsidP="001614D4">
      <w:pPr>
        <w:rPr>
          <w:color w:val="000000" w:themeColor="text1"/>
        </w:rPr>
      </w:pPr>
      <w:r w:rsidRPr="00156883">
        <w:rPr>
          <w:color w:val="000000" w:themeColor="text1"/>
        </w:rPr>
        <w:t xml:space="preserve">En todos los casos se restableció el monto sobrante de la cuenta corriente al estado </w:t>
      </w:r>
      <w:r w:rsidR="00156883" w:rsidRPr="00156883">
        <w:rPr>
          <w:color w:val="000000" w:themeColor="text1"/>
        </w:rPr>
        <w:t>previo al cobro erróneo,  para luego procesarlos corregidos.</w:t>
      </w:r>
    </w:p>
    <w:p w:rsidR="001614D4" w:rsidRPr="00A4361C" w:rsidRDefault="00552120" w:rsidP="001614D4">
      <w:pPr>
        <w:rPr>
          <w:color w:val="000000" w:themeColor="text1"/>
        </w:rPr>
      </w:pPr>
      <w:r w:rsidRPr="00A4361C">
        <w:rPr>
          <w:color w:val="000000" w:themeColor="text1"/>
        </w:rPr>
        <w:t>Sería conveniente aplicar esta solución antes del próximo vencimiento de cuotas.</w:t>
      </w:r>
    </w:p>
    <w:p w:rsidR="009715A7" w:rsidRDefault="002A3492" w:rsidP="00A4361C">
      <w:pPr>
        <w:jc w:val="both"/>
      </w:pPr>
      <w:r>
        <w:t>Costo: $ 810,00</w:t>
      </w:r>
    </w:p>
    <w:sectPr w:rsidR="009715A7" w:rsidSect="009715A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21D7D"/>
    <w:rsid w:val="00156883"/>
    <w:rsid w:val="001614D4"/>
    <w:rsid w:val="00202F2C"/>
    <w:rsid w:val="00215138"/>
    <w:rsid w:val="00224904"/>
    <w:rsid w:val="002666D8"/>
    <w:rsid w:val="002A3492"/>
    <w:rsid w:val="003040A8"/>
    <w:rsid w:val="0052342F"/>
    <w:rsid w:val="00552120"/>
    <w:rsid w:val="009715A7"/>
    <w:rsid w:val="009A4D29"/>
    <w:rsid w:val="009E1493"/>
    <w:rsid w:val="00A24B10"/>
    <w:rsid w:val="00A4361C"/>
    <w:rsid w:val="00B21D7D"/>
    <w:rsid w:val="00C87169"/>
    <w:rsid w:val="00DC088C"/>
    <w:rsid w:val="00E43A21"/>
    <w:rsid w:val="00E73AA0"/>
    <w:rsid w:val="00F055C8"/>
    <w:rsid w:val="00F062C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5A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614D4"/>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daiana</dc:creator>
  <cp:lastModifiedBy>daiana</cp:lastModifiedBy>
  <cp:revision>15</cp:revision>
  <dcterms:created xsi:type="dcterms:W3CDTF">2012-10-24T00:50:00Z</dcterms:created>
  <dcterms:modified xsi:type="dcterms:W3CDTF">2012-10-24T02:01:00Z</dcterms:modified>
</cp:coreProperties>
</file>