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D190E" w14:textId="77777777" w:rsidR="00BC4AAC" w:rsidRPr="008965FA" w:rsidRDefault="00BC4AAC" w:rsidP="00BC4AAC">
      <w:pPr>
        <w:spacing w:before="240" w:after="0"/>
        <w:jc w:val="center"/>
        <w:rPr>
          <w:rFonts w:ascii="Arial" w:hAnsi="Arial" w:cs="Arial"/>
          <w:sz w:val="24"/>
        </w:rPr>
      </w:pPr>
      <w:r w:rsidRPr="008965FA">
        <w:rPr>
          <w:rFonts w:ascii="Arial" w:hAnsi="Arial" w:cs="Arial"/>
          <w:sz w:val="24"/>
        </w:rPr>
        <w:t>UNIVERSIDADE ESTADUAL DE CAMPINAS</w:t>
      </w:r>
    </w:p>
    <w:p w14:paraId="5A472273" w14:textId="77777777" w:rsidR="00BC4AAC" w:rsidRPr="008965FA" w:rsidRDefault="00BC4AAC" w:rsidP="00BC4AAC">
      <w:pPr>
        <w:spacing w:before="240" w:after="0"/>
        <w:jc w:val="center"/>
        <w:rPr>
          <w:rFonts w:ascii="Arial" w:hAnsi="Arial" w:cs="Arial"/>
          <w:sz w:val="24"/>
        </w:rPr>
      </w:pPr>
      <w:r w:rsidRPr="008965FA">
        <w:rPr>
          <w:rFonts w:ascii="Arial" w:hAnsi="Arial" w:cs="Arial"/>
          <w:sz w:val="24"/>
        </w:rPr>
        <w:t>FACULDADE DE CIÊNCIAS MÉDICAS</w:t>
      </w:r>
    </w:p>
    <w:p w14:paraId="760172FC" w14:textId="77777777" w:rsidR="00BC4AAC" w:rsidRDefault="00BC4AAC" w:rsidP="00BC4AAC">
      <w:pPr>
        <w:jc w:val="center"/>
        <w:rPr>
          <w:rFonts w:ascii="Arial" w:hAnsi="Arial" w:cs="Arial"/>
          <w:sz w:val="24"/>
        </w:rPr>
      </w:pPr>
    </w:p>
    <w:p w14:paraId="30A52C40" w14:textId="77777777" w:rsidR="00BC4AAC" w:rsidRDefault="00BC4AAC" w:rsidP="00BC4AAC">
      <w:pPr>
        <w:jc w:val="center"/>
        <w:rPr>
          <w:rFonts w:ascii="Arial" w:hAnsi="Arial" w:cs="Arial"/>
          <w:sz w:val="24"/>
        </w:rPr>
      </w:pPr>
    </w:p>
    <w:p w14:paraId="4B9F7315" w14:textId="77777777" w:rsidR="00BC4AAC" w:rsidRDefault="00BC4AAC" w:rsidP="00BC4AAC">
      <w:pPr>
        <w:jc w:val="center"/>
        <w:rPr>
          <w:rFonts w:ascii="Arial" w:hAnsi="Arial" w:cs="Arial"/>
          <w:sz w:val="24"/>
        </w:rPr>
      </w:pPr>
    </w:p>
    <w:p w14:paraId="3F0ED2AE" w14:textId="77777777" w:rsidR="00BC4AAC" w:rsidRDefault="00BC4AAC" w:rsidP="00BC4AAC">
      <w:pPr>
        <w:jc w:val="center"/>
        <w:rPr>
          <w:rFonts w:ascii="Arial" w:hAnsi="Arial" w:cs="Arial"/>
          <w:sz w:val="24"/>
        </w:rPr>
      </w:pPr>
    </w:p>
    <w:p w14:paraId="36B54630" w14:textId="77777777" w:rsidR="00BC4AAC" w:rsidRDefault="00BC4AAC" w:rsidP="00BC4AAC">
      <w:pPr>
        <w:jc w:val="center"/>
        <w:rPr>
          <w:rFonts w:ascii="Arial" w:hAnsi="Arial" w:cs="Arial"/>
          <w:sz w:val="24"/>
        </w:rPr>
      </w:pPr>
      <w:r>
        <w:rPr>
          <w:rFonts w:ascii="Arial" w:hAnsi="Arial" w:cs="Arial"/>
          <w:sz w:val="24"/>
        </w:rPr>
        <w:t>JÚLIA JODJAHN FIGUEIREDO</w:t>
      </w:r>
    </w:p>
    <w:p w14:paraId="63526545" w14:textId="77777777" w:rsidR="00BC4AAC" w:rsidRDefault="00BC4AAC" w:rsidP="00BC4AAC">
      <w:pPr>
        <w:jc w:val="center"/>
        <w:rPr>
          <w:rFonts w:ascii="Arial" w:hAnsi="Arial" w:cs="Arial"/>
          <w:sz w:val="24"/>
        </w:rPr>
      </w:pPr>
    </w:p>
    <w:p w14:paraId="6B03ECFE" w14:textId="77777777" w:rsidR="00BC4AAC" w:rsidRDefault="00BC4AAC" w:rsidP="00BC4AAC">
      <w:pPr>
        <w:jc w:val="center"/>
        <w:rPr>
          <w:rFonts w:ascii="Arial" w:hAnsi="Arial" w:cs="Arial"/>
          <w:sz w:val="24"/>
        </w:rPr>
      </w:pPr>
    </w:p>
    <w:p w14:paraId="10A7BFD1" w14:textId="77777777" w:rsidR="00BC4AAC" w:rsidRDefault="00BC4AAC" w:rsidP="00BC4AAC">
      <w:pPr>
        <w:jc w:val="center"/>
        <w:rPr>
          <w:rFonts w:ascii="Arial" w:hAnsi="Arial" w:cs="Arial"/>
          <w:sz w:val="24"/>
        </w:rPr>
      </w:pPr>
    </w:p>
    <w:p w14:paraId="0E766C00" w14:textId="77777777" w:rsidR="00BC4AAC" w:rsidRDefault="00BC4AAC" w:rsidP="00BC4AAC">
      <w:pPr>
        <w:jc w:val="center"/>
        <w:rPr>
          <w:rFonts w:ascii="Arial" w:hAnsi="Arial" w:cs="Arial"/>
          <w:sz w:val="24"/>
        </w:rPr>
      </w:pPr>
      <w:r w:rsidRPr="00816802">
        <w:rPr>
          <w:rFonts w:ascii="Arial" w:hAnsi="Arial" w:cs="Arial"/>
          <w:sz w:val="24"/>
        </w:rPr>
        <w:t xml:space="preserve">Relação entre manifestações clínicas e </w:t>
      </w:r>
      <w:r>
        <w:rPr>
          <w:rFonts w:ascii="Arial" w:hAnsi="Arial" w:cs="Arial"/>
          <w:sz w:val="24"/>
        </w:rPr>
        <w:t xml:space="preserve">o tempo até o </w:t>
      </w:r>
      <w:r w:rsidRPr="00816802">
        <w:rPr>
          <w:rFonts w:ascii="Arial" w:hAnsi="Arial" w:cs="Arial"/>
          <w:sz w:val="24"/>
        </w:rPr>
        <w:t>diagnóstico da Doença Inflamatória Intestinal na faixa etária pediátrica</w:t>
      </w:r>
      <w:r>
        <w:rPr>
          <w:rFonts w:ascii="Arial" w:hAnsi="Arial" w:cs="Arial"/>
          <w:sz w:val="24"/>
        </w:rPr>
        <w:t xml:space="preserve"> em um ambulatório terciário.</w:t>
      </w:r>
    </w:p>
    <w:p w14:paraId="701A02E1" w14:textId="77777777" w:rsidR="00BC4AAC" w:rsidRDefault="00BC4AAC" w:rsidP="00BC4AAC">
      <w:pPr>
        <w:jc w:val="center"/>
        <w:rPr>
          <w:rFonts w:ascii="Arial" w:hAnsi="Arial" w:cs="Arial"/>
          <w:b/>
          <w:color w:val="FF0000"/>
          <w:sz w:val="24"/>
        </w:rPr>
      </w:pPr>
    </w:p>
    <w:p w14:paraId="30ED6B7F" w14:textId="77777777" w:rsidR="00BC4AAC" w:rsidRPr="00FA715A" w:rsidRDefault="00BC4AAC" w:rsidP="00BC4AAC">
      <w:pPr>
        <w:jc w:val="center"/>
        <w:rPr>
          <w:rFonts w:ascii="Arial" w:hAnsi="Arial" w:cs="Arial"/>
          <w:b/>
          <w:color w:val="FF0000"/>
          <w:sz w:val="24"/>
        </w:rPr>
      </w:pPr>
    </w:p>
    <w:p w14:paraId="1F41C76C" w14:textId="77777777" w:rsidR="00BC4AAC" w:rsidRDefault="00BC4AAC" w:rsidP="00BC4AAC">
      <w:pPr>
        <w:jc w:val="center"/>
        <w:rPr>
          <w:rFonts w:ascii="Arial" w:hAnsi="Arial" w:cs="Arial"/>
          <w:sz w:val="24"/>
        </w:rPr>
      </w:pPr>
    </w:p>
    <w:p w14:paraId="398C3D5F" w14:textId="77777777" w:rsidR="00BC4AAC" w:rsidRDefault="00BC4AAC" w:rsidP="00BC4AAC">
      <w:pPr>
        <w:jc w:val="center"/>
        <w:rPr>
          <w:rFonts w:ascii="Arial" w:hAnsi="Arial" w:cs="Arial"/>
          <w:i/>
          <w:sz w:val="24"/>
        </w:rPr>
      </w:pPr>
    </w:p>
    <w:p w14:paraId="541B35C2" w14:textId="77777777" w:rsidR="00BC4AAC" w:rsidRDefault="00BC4AAC" w:rsidP="00BC4AAC">
      <w:pPr>
        <w:jc w:val="center"/>
        <w:rPr>
          <w:rFonts w:ascii="Arial" w:hAnsi="Arial" w:cs="Arial"/>
          <w:sz w:val="24"/>
        </w:rPr>
      </w:pPr>
    </w:p>
    <w:p w14:paraId="27167129" w14:textId="77777777" w:rsidR="00BC4AAC" w:rsidRDefault="00BC4AAC" w:rsidP="00BC4AAC">
      <w:pPr>
        <w:jc w:val="center"/>
        <w:rPr>
          <w:rFonts w:ascii="Arial" w:hAnsi="Arial" w:cs="Arial"/>
          <w:sz w:val="24"/>
        </w:rPr>
      </w:pPr>
    </w:p>
    <w:p w14:paraId="52AF89E7" w14:textId="77777777" w:rsidR="00BC4AAC" w:rsidRDefault="00BC4AAC" w:rsidP="00BC4AAC">
      <w:pPr>
        <w:jc w:val="center"/>
        <w:rPr>
          <w:rFonts w:ascii="Arial" w:hAnsi="Arial" w:cs="Arial"/>
          <w:sz w:val="24"/>
        </w:rPr>
      </w:pPr>
    </w:p>
    <w:p w14:paraId="407D01FF" w14:textId="77777777" w:rsidR="00BC4AAC" w:rsidRDefault="00BC4AAC" w:rsidP="00BC4AAC">
      <w:pPr>
        <w:jc w:val="center"/>
        <w:rPr>
          <w:rFonts w:ascii="Arial" w:hAnsi="Arial" w:cs="Arial"/>
          <w:sz w:val="24"/>
        </w:rPr>
      </w:pPr>
    </w:p>
    <w:p w14:paraId="3ADABF68" w14:textId="77777777" w:rsidR="00BC4AAC" w:rsidRDefault="00BC4AAC" w:rsidP="00BC4AAC">
      <w:pPr>
        <w:jc w:val="center"/>
        <w:rPr>
          <w:rFonts w:ascii="Arial" w:hAnsi="Arial" w:cs="Arial"/>
          <w:sz w:val="24"/>
        </w:rPr>
      </w:pPr>
    </w:p>
    <w:p w14:paraId="64709B84" w14:textId="77777777" w:rsidR="00BC4AAC" w:rsidRDefault="00BC4AAC" w:rsidP="00BC4AAC">
      <w:pPr>
        <w:jc w:val="center"/>
        <w:rPr>
          <w:rFonts w:ascii="Arial" w:hAnsi="Arial" w:cs="Arial"/>
          <w:sz w:val="24"/>
        </w:rPr>
      </w:pPr>
    </w:p>
    <w:p w14:paraId="7453CFEE" w14:textId="77777777" w:rsidR="00BC4AAC" w:rsidRDefault="00BC4AAC" w:rsidP="00BC4AAC">
      <w:pPr>
        <w:jc w:val="center"/>
        <w:rPr>
          <w:rFonts w:ascii="Arial" w:hAnsi="Arial" w:cs="Arial"/>
          <w:sz w:val="24"/>
        </w:rPr>
      </w:pPr>
    </w:p>
    <w:p w14:paraId="31A5F580" w14:textId="77777777" w:rsidR="00BC4AAC" w:rsidRDefault="00BC4AAC" w:rsidP="00BC4AAC">
      <w:pPr>
        <w:jc w:val="center"/>
        <w:rPr>
          <w:rFonts w:ascii="Arial" w:hAnsi="Arial" w:cs="Arial"/>
          <w:sz w:val="24"/>
        </w:rPr>
      </w:pPr>
    </w:p>
    <w:p w14:paraId="32EA41EC" w14:textId="77777777" w:rsidR="00BC4AAC" w:rsidRDefault="00BC4AAC" w:rsidP="00BC4AAC">
      <w:pPr>
        <w:jc w:val="center"/>
        <w:rPr>
          <w:rFonts w:ascii="Arial" w:hAnsi="Arial" w:cs="Arial"/>
          <w:sz w:val="24"/>
        </w:rPr>
      </w:pPr>
    </w:p>
    <w:p w14:paraId="5FEFCA88" w14:textId="77777777" w:rsidR="00BC4AAC" w:rsidRDefault="00BC4AAC" w:rsidP="00BC4AAC">
      <w:pPr>
        <w:jc w:val="center"/>
        <w:rPr>
          <w:rFonts w:ascii="Arial" w:hAnsi="Arial" w:cs="Arial"/>
          <w:sz w:val="24"/>
        </w:rPr>
      </w:pPr>
    </w:p>
    <w:p w14:paraId="0D39AE68" w14:textId="77777777" w:rsidR="00BC4AAC" w:rsidRDefault="00BC4AAC" w:rsidP="00BC4AAC">
      <w:pPr>
        <w:jc w:val="center"/>
        <w:rPr>
          <w:rFonts w:ascii="Arial" w:hAnsi="Arial" w:cs="Arial"/>
          <w:sz w:val="24"/>
        </w:rPr>
      </w:pPr>
    </w:p>
    <w:p w14:paraId="78E48DF1" w14:textId="77777777" w:rsidR="00BC4AAC" w:rsidRDefault="00BC4AAC" w:rsidP="00BC4AAC">
      <w:pPr>
        <w:jc w:val="center"/>
        <w:rPr>
          <w:rFonts w:ascii="Arial" w:hAnsi="Arial" w:cs="Arial"/>
          <w:sz w:val="24"/>
        </w:rPr>
      </w:pPr>
    </w:p>
    <w:p w14:paraId="4EE5A119" w14:textId="77777777" w:rsidR="00BC4AAC" w:rsidRDefault="00BC4AAC" w:rsidP="00BC4AAC">
      <w:pPr>
        <w:jc w:val="center"/>
        <w:rPr>
          <w:rFonts w:ascii="Arial" w:hAnsi="Arial" w:cs="Arial"/>
          <w:sz w:val="24"/>
        </w:rPr>
      </w:pPr>
      <w:r>
        <w:rPr>
          <w:rFonts w:ascii="Arial" w:hAnsi="Arial" w:cs="Arial"/>
          <w:sz w:val="24"/>
        </w:rPr>
        <w:t>CAMPINAS</w:t>
      </w:r>
    </w:p>
    <w:p w14:paraId="527FEFC1" w14:textId="777E99F7" w:rsidR="00BC4AAC" w:rsidRDefault="00BC4AAC" w:rsidP="00BC4AAC">
      <w:pPr>
        <w:jc w:val="center"/>
      </w:pPr>
      <w:r>
        <w:rPr>
          <w:rFonts w:ascii="Arial" w:hAnsi="Arial" w:cs="Arial"/>
          <w:sz w:val="24"/>
        </w:rPr>
        <w:t>2027</w:t>
      </w:r>
    </w:p>
    <w:p w14:paraId="23C63C70" w14:textId="77777777" w:rsidR="00BC4AAC" w:rsidRDefault="00BC4AAC" w:rsidP="008A1E3C">
      <w:pPr>
        <w:ind w:left="720" w:hanging="360"/>
        <w:jc w:val="both"/>
      </w:pPr>
    </w:p>
    <w:p w14:paraId="038FA815" w14:textId="77777777" w:rsidR="00BC4AAC" w:rsidRDefault="00BC4AAC" w:rsidP="00BC4AAC">
      <w:pPr>
        <w:jc w:val="center"/>
        <w:rPr>
          <w:rFonts w:ascii="Arial" w:hAnsi="Arial" w:cs="Arial"/>
          <w:sz w:val="24"/>
        </w:rPr>
      </w:pPr>
      <w:r>
        <w:rPr>
          <w:rFonts w:ascii="Arial" w:hAnsi="Arial" w:cs="Arial"/>
          <w:sz w:val="24"/>
        </w:rPr>
        <w:lastRenderedPageBreak/>
        <w:t>JÚLIA JODJAHN FIGUEIREDO</w:t>
      </w:r>
    </w:p>
    <w:p w14:paraId="392FD4AB" w14:textId="77777777" w:rsidR="00BC4AAC" w:rsidRDefault="00BC4AAC" w:rsidP="00BC4AAC">
      <w:pPr>
        <w:jc w:val="center"/>
        <w:rPr>
          <w:rFonts w:ascii="Arial" w:hAnsi="Arial" w:cs="Arial"/>
          <w:sz w:val="24"/>
        </w:rPr>
      </w:pPr>
    </w:p>
    <w:p w14:paraId="7AFE6FF2" w14:textId="77777777" w:rsidR="00BC4AAC" w:rsidRDefault="00BC4AAC" w:rsidP="00BC4AAC">
      <w:pPr>
        <w:jc w:val="center"/>
        <w:rPr>
          <w:rFonts w:ascii="Arial" w:hAnsi="Arial" w:cs="Arial"/>
          <w:sz w:val="24"/>
        </w:rPr>
      </w:pPr>
    </w:p>
    <w:p w14:paraId="0E19903A" w14:textId="77777777" w:rsidR="00BC4AAC" w:rsidRDefault="00BC4AAC" w:rsidP="00BC4AAC">
      <w:pPr>
        <w:jc w:val="center"/>
        <w:rPr>
          <w:rFonts w:ascii="Arial" w:hAnsi="Arial" w:cs="Arial"/>
          <w:sz w:val="24"/>
        </w:rPr>
      </w:pPr>
      <w:r w:rsidRPr="00816802">
        <w:rPr>
          <w:rFonts w:ascii="Arial" w:hAnsi="Arial" w:cs="Arial"/>
          <w:sz w:val="24"/>
        </w:rPr>
        <w:t xml:space="preserve">Relação entre manifestações clínicas e </w:t>
      </w:r>
      <w:r>
        <w:rPr>
          <w:rFonts w:ascii="Arial" w:hAnsi="Arial" w:cs="Arial"/>
          <w:sz w:val="24"/>
        </w:rPr>
        <w:t xml:space="preserve">o tempo até o </w:t>
      </w:r>
      <w:r w:rsidRPr="00816802">
        <w:rPr>
          <w:rFonts w:ascii="Arial" w:hAnsi="Arial" w:cs="Arial"/>
          <w:sz w:val="24"/>
        </w:rPr>
        <w:t>diagnóstico da Doença Inflamatória Intestinal na faixa etária pediátrica</w:t>
      </w:r>
      <w:r>
        <w:rPr>
          <w:rFonts w:ascii="Arial" w:hAnsi="Arial" w:cs="Arial"/>
          <w:sz w:val="24"/>
        </w:rPr>
        <w:t xml:space="preserve"> em um ambulatório terciário.</w:t>
      </w:r>
    </w:p>
    <w:p w14:paraId="05BEB78C" w14:textId="77777777" w:rsidR="00BC4AAC" w:rsidRDefault="00BC4AAC" w:rsidP="00BC4AAC">
      <w:pPr>
        <w:rPr>
          <w:rFonts w:ascii="Arial" w:hAnsi="Arial" w:cs="Arial"/>
          <w:sz w:val="24"/>
        </w:rPr>
      </w:pPr>
    </w:p>
    <w:p w14:paraId="00942B5D" w14:textId="77777777" w:rsidR="00BC4AAC" w:rsidRDefault="00BC4AAC" w:rsidP="00BC4AAC">
      <w:pPr>
        <w:ind w:left="2124"/>
        <w:rPr>
          <w:rFonts w:ascii="Arial" w:hAnsi="Arial" w:cs="Arial"/>
        </w:rPr>
      </w:pPr>
    </w:p>
    <w:p w14:paraId="4F50366C" w14:textId="77777777" w:rsidR="00BC4AAC" w:rsidRDefault="00BC4AAC" w:rsidP="00BC4AAC">
      <w:pPr>
        <w:ind w:left="2124"/>
        <w:rPr>
          <w:rFonts w:ascii="Arial" w:hAnsi="Arial" w:cs="Arial"/>
        </w:rPr>
      </w:pPr>
    </w:p>
    <w:p w14:paraId="5344AA72" w14:textId="77777777" w:rsidR="00BC4AAC" w:rsidRDefault="00BC4AAC" w:rsidP="00BC4AAC">
      <w:pPr>
        <w:ind w:left="2124"/>
        <w:rPr>
          <w:rFonts w:ascii="Arial" w:hAnsi="Arial" w:cs="Arial"/>
        </w:rPr>
      </w:pPr>
    </w:p>
    <w:p w14:paraId="0C4BBB39" w14:textId="77777777" w:rsidR="00BC4AAC" w:rsidRDefault="00BC4AAC" w:rsidP="00BC4AAC">
      <w:pPr>
        <w:ind w:left="2124"/>
        <w:rPr>
          <w:rFonts w:ascii="Arial" w:hAnsi="Arial" w:cs="Arial"/>
        </w:rPr>
      </w:pPr>
    </w:p>
    <w:p w14:paraId="505A2B16" w14:textId="77777777" w:rsidR="00BC4AAC" w:rsidRDefault="00BC4AAC" w:rsidP="00BC4AAC">
      <w:pPr>
        <w:ind w:left="2124"/>
        <w:rPr>
          <w:rFonts w:ascii="Arial" w:hAnsi="Arial" w:cs="Arial"/>
        </w:rPr>
      </w:pPr>
    </w:p>
    <w:p w14:paraId="2E33B95E" w14:textId="77777777" w:rsidR="00BC4AAC" w:rsidRDefault="00BC4AAC" w:rsidP="00BC4AAC">
      <w:pPr>
        <w:spacing w:line="360" w:lineRule="auto"/>
        <w:ind w:left="4961"/>
        <w:jc w:val="both"/>
        <w:rPr>
          <w:rFonts w:ascii="Arial" w:hAnsi="Arial" w:cs="Arial"/>
        </w:rPr>
      </w:pPr>
      <w:r w:rsidRPr="00CC5300">
        <w:rPr>
          <w:rFonts w:ascii="Arial" w:hAnsi="Arial" w:cs="Arial"/>
        </w:rPr>
        <w:t xml:space="preserve">Monografia apresentada à </w:t>
      </w:r>
      <w:r>
        <w:rPr>
          <w:rFonts w:ascii="Arial" w:hAnsi="Arial" w:cs="Arial"/>
        </w:rPr>
        <w:t xml:space="preserve">Faculdade de Ciência Médicas da </w:t>
      </w:r>
      <w:r w:rsidRPr="00CC5300">
        <w:rPr>
          <w:rFonts w:ascii="Arial" w:hAnsi="Arial" w:cs="Arial"/>
        </w:rPr>
        <w:t>Universidade Estadual de</w:t>
      </w:r>
      <w:r>
        <w:rPr>
          <w:rFonts w:ascii="Arial" w:hAnsi="Arial" w:cs="Arial"/>
        </w:rPr>
        <w:t xml:space="preserve"> </w:t>
      </w:r>
      <w:r w:rsidRPr="00CC5300">
        <w:rPr>
          <w:rFonts w:ascii="Arial" w:hAnsi="Arial" w:cs="Arial"/>
        </w:rPr>
        <w:t>Campinas como parte dos requisitos</w:t>
      </w:r>
      <w:r>
        <w:rPr>
          <w:rFonts w:ascii="Arial" w:hAnsi="Arial" w:cs="Arial"/>
        </w:rPr>
        <w:t xml:space="preserve"> </w:t>
      </w:r>
      <w:r w:rsidRPr="00CC5300">
        <w:rPr>
          <w:rFonts w:ascii="Arial" w:hAnsi="Arial" w:cs="Arial"/>
        </w:rPr>
        <w:t>exigidos para a obtenção do título de</w:t>
      </w:r>
      <w:r>
        <w:rPr>
          <w:rFonts w:ascii="Arial" w:hAnsi="Arial" w:cs="Arial"/>
        </w:rPr>
        <w:t xml:space="preserve"> </w:t>
      </w:r>
      <w:r w:rsidRPr="00CC5300">
        <w:rPr>
          <w:rFonts w:ascii="Arial" w:hAnsi="Arial" w:cs="Arial"/>
        </w:rPr>
        <w:t>Especialista</w:t>
      </w:r>
      <w:r>
        <w:rPr>
          <w:rFonts w:ascii="Arial" w:hAnsi="Arial" w:cs="Arial"/>
        </w:rPr>
        <w:t xml:space="preserve"> em Gastroenterologia e Hepatologia pediátricas </w:t>
      </w:r>
      <w:r w:rsidRPr="00CC5300">
        <w:rPr>
          <w:rFonts w:ascii="Arial" w:hAnsi="Arial" w:cs="Arial"/>
        </w:rPr>
        <w:t>em</w:t>
      </w:r>
      <w:r>
        <w:rPr>
          <w:rFonts w:ascii="Arial" w:hAnsi="Arial" w:cs="Arial"/>
        </w:rPr>
        <w:t xml:space="preserve"> 2027.</w:t>
      </w:r>
      <w:r w:rsidRPr="00CC5300">
        <w:rPr>
          <w:rFonts w:ascii="Arial" w:hAnsi="Arial" w:cs="Arial"/>
        </w:rPr>
        <w:t xml:space="preserve"> </w:t>
      </w:r>
    </w:p>
    <w:p w14:paraId="115B24D7" w14:textId="77777777" w:rsidR="00BC4AAC" w:rsidRDefault="00BC4AAC" w:rsidP="00BC4AAC">
      <w:pPr>
        <w:rPr>
          <w:rFonts w:ascii="Arial" w:hAnsi="Arial" w:cs="Arial"/>
          <w:sz w:val="24"/>
        </w:rPr>
      </w:pPr>
    </w:p>
    <w:p w14:paraId="70A10FD7" w14:textId="77777777" w:rsidR="00BC4AAC" w:rsidRDefault="00BC4AAC" w:rsidP="00BC4AAC">
      <w:pPr>
        <w:spacing w:after="0" w:line="360" w:lineRule="auto"/>
        <w:ind w:left="567"/>
        <w:jc w:val="right"/>
        <w:rPr>
          <w:rFonts w:ascii="Arial" w:hAnsi="Arial" w:cs="Arial"/>
          <w:sz w:val="24"/>
        </w:rPr>
      </w:pPr>
    </w:p>
    <w:p w14:paraId="6DE98CBC" w14:textId="77777777" w:rsidR="00BC4AAC" w:rsidRDefault="00BC4AAC" w:rsidP="00BC4AAC">
      <w:pPr>
        <w:rPr>
          <w:rFonts w:ascii="Arial" w:hAnsi="Arial" w:cs="Arial"/>
          <w:sz w:val="24"/>
        </w:rPr>
      </w:pPr>
    </w:p>
    <w:p w14:paraId="33C8FC36" w14:textId="77777777" w:rsidR="00BC4AAC" w:rsidRDefault="00BC4AAC" w:rsidP="00BC4AAC">
      <w:pPr>
        <w:rPr>
          <w:rFonts w:ascii="Arial" w:hAnsi="Arial" w:cs="Arial"/>
          <w:sz w:val="24"/>
        </w:rPr>
      </w:pPr>
    </w:p>
    <w:p w14:paraId="40807D75" w14:textId="77777777" w:rsidR="00BC4AAC" w:rsidRPr="00CC5300" w:rsidRDefault="00BC4AAC" w:rsidP="00BC4AAC">
      <w:pPr>
        <w:rPr>
          <w:rFonts w:ascii="Arial" w:hAnsi="Arial" w:cs="Arial"/>
          <w:szCs w:val="24"/>
        </w:rPr>
      </w:pPr>
      <w:r w:rsidRPr="00CC5300">
        <w:rPr>
          <w:rFonts w:ascii="Arial" w:hAnsi="Arial" w:cs="Arial"/>
          <w:szCs w:val="24"/>
        </w:rPr>
        <w:t>ESTE EXEMPLAR CORRESPONDE À</w:t>
      </w:r>
    </w:p>
    <w:p w14:paraId="1C59C32E" w14:textId="77777777" w:rsidR="00BC4AAC" w:rsidRPr="00CC5300" w:rsidRDefault="00BC4AAC" w:rsidP="00BC4AAC">
      <w:pPr>
        <w:rPr>
          <w:rFonts w:ascii="Arial" w:hAnsi="Arial" w:cs="Arial"/>
          <w:szCs w:val="24"/>
        </w:rPr>
      </w:pPr>
      <w:r w:rsidRPr="00CC5300">
        <w:rPr>
          <w:rFonts w:ascii="Arial" w:hAnsi="Arial" w:cs="Arial"/>
          <w:szCs w:val="24"/>
        </w:rPr>
        <w:t>VERSÃO FINAL DA MONOGRAFIA</w:t>
      </w:r>
    </w:p>
    <w:p w14:paraId="3AA16EBD" w14:textId="77777777" w:rsidR="00BC4AAC" w:rsidRPr="00CC5300" w:rsidRDefault="00BC4AAC" w:rsidP="00BC4AAC">
      <w:pPr>
        <w:rPr>
          <w:rFonts w:ascii="Arial" w:hAnsi="Arial" w:cs="Arial"/>
          <w:szCs w:val="24"/>
        </w:rPr>
      </w:pPr>
      <w:r w:rsidRPr="00CC5300">
        <w:rPr>
          <w:rFonts w:ascii="Arial" w:hAnsi="Arial" w:cs="Arial"/>
          <w:szCs w:val="24"/>
        </w:rPr>
        <w:t>APRESENTADA PELO</w:t>
      </w:r>
    </w:p>
    <w:p w14:paraId="5E2216E2" w14:textId="77777777" w:rsidR="00BC4AAC" w:rsidRPr="00CC5300" w:rsidRDefault="00BC4AAC" w:rsidP="00BC4AAC">
      <w:pPr>
        <w:rPr>
          <w:rFonts w:ascii="Arial" w:hAnsi="Arial" w:cs="Arial"/>
          <w:szCs w:val="24"/>
        </w:rPr>
      </w:pPr>
      <w:r w:rsidRPr="00CC5300">
        <w:rPr>
          <w:rFonts w:ascii="Arial" w:hAnsi="Arial" w:cs="Arial"/>
          <w:szCs w:val="24"/>
        </w:rPr>
        <w:t>ALUNO</w:t>
      </w:r>
      <w:r>
        <w:rPr>
          <w:rFonts w:ascii="Arial" w:hAnsi="Arial" w:cs="Arial"/>
          <w:szCs w:val="24"/>
        </w:rPr>
        <w:t xml:space="preserve"> JÚLIA JODJAHN FIGUEIREDO</w:t>
      </w:r>
      <w:r w:rsidRPr="00CC5300">
        <w:rPr>
          <w:rFonts w:ascii="Arial" w:hAnsi="Arial" w:cs="Arial"/>
          <w:szCs w:val="24"/>
        </w:rPr>
        <w:t>, E</w:t>
      </w:r>
    </w:p>
    <w:p w14:paraId="5CD4CE37" w14:textId="77777777" w:rsidR="00BC4AAC" w:rsidRPr="00CC5300" w:rsidRDefault="00BC4AAC" w:rsidP="00BC4AAC">
      <w:pPr>
        <w:rPr>
          <w:rFonts w:ascii="Arial" w:hAnsi="Arial" w:cs="Arial"/>
          <w:szCs w:val="24"/>
        </w:rPr>
      </w:pPr>
      <w:r w:rsidRPr="00CC5300">
        <w:rPr>
          <w:rFonts w:ascii="Arial" w:hAnsi="Arial" w:cs="Arial"/>
          <w:szCs w:val="24"/>
        </w:rPr>
        <w:t>ORIENTADA PEL</w:t>
      </w:r>
      <w:r>
        <w:rPr>
          <w:rFonts w:ascii="Arial" w:hAnsi="Arial" w:cs="Arial"/>
          <w:szCs w:val="24"/>
        </w:rPr>
        <w:t xml:space="preserve">A </w:t>
      </w:r>
      <w:r w:rsidRPr="00CC5300">
        <w:rPr>
          <w:rFonts w:ascii="Arial" w:hAnsi="Arial" w:cs="Arial"/>
          <w:szCs w:val="24"/>
        </w:rPr>
        <w:t>PROFA.</w:t>
      </w:r>
    </w:p>
    <w:p w14:paraId="6AF80652" w14:textId="77777777" w:rsidR="00BC4AAC" w:rsidRDefault="00BC4AAC" w:rsidP="00BC4AAC">
      <w:pPr>
        <w:rPr>
          <w:rFonts w:ascii="Arial" w:hAnsi="Arial" w:cs="Arial"/>
          <w:szCs w:val="24"/>
        </w:rPr>
      </w:pPr>
      <w:r w:rsidRPr="00CC5300">
        <w:rPr>
          <w:rFonts w:ascii="Arial" w:hAnsi="Arial" w:cs="Arial"/>
          <w:szCs w:val="24"/>
        </w:rPr>
        <w:t xml:space="preserve">DRA. </w:t>
      </w:r>
      <w:r>
        <w:rPr>
          <w:rFonts w:ascii="Arial" w:hAnsi="Arial" w:cs="Arial"/>
          <w:szCs w:val="24"/>
        </w:rPr>
        <w:t>ELIZETE APARECIDA LOMAZI.</w:t>
      </w:r>
    </w:p>
    <w:p w14:paraId="481758AC" w14:textId="77777777" w:rsidR="00BC4AAC" w:rsidRDefault="00BC4AAC" w:rsidP="00BC4AAC">
      <w:pPr>
        <w:tabs>
          <w:tab w:val="center" w:pos="4252"/>
          <w:tab w:val="right" w:pos="8504"/>
        </w:tabs>
        <w:spacing w:after="0"/>
        <w:rPr>
          <w:rFonts w:ascii="Arial" w:hAnsi="Arial" w:cs="Arial"/>
          <w:szCs w:val="24"/>
        </w:rPr>
      </w:pPr>
    </w:p>
    <w:p w14:paraId="42B19314" w14:textId="77777777" w:rsidR="00BC4AAC" w:rsidRDefault="00BC4AAC" w:rsidP="00BC4AAC">
      <w:pPr>
        <w:jc w:val="center"/>
        <w:rPr>
          <w:rFonts w:ascii="Arial" w:hAnsi="Arial" w:cs="Arial"/>
        </w:rPr>
      </w:pPr>
    </w:p>
    <w:p w14:paraId="316442E1" w14:textId="77777777" w:rsidR="00BC4AAC" w:rsidRDefault="00BC4AAC" w:rsidP="00BC4AAC">
      <w:pPr>
        <w:jc w:val="center"/>
        <w:rPr>
          <w:rFonts w:ascii="Arial" w:hAnsi="Arial" w:cs="Arial"/>
        </w:rPr>
      </w:pPr>
    </w:p>
    <w:p w14:paraId="6E6678B1" w14:textId="77777777" w:rsidR="00BC4AAC" w:rsidRDefault="00BC4AAC" w:rsidP="00BC4AAC">
      <w:pPr>
        <w:jc w:val="center"/>
        <w:rPr>
          <w:rFonts w:ascii="Arial" w:hAnsi="Arial" w:cs="Arial"/>
        </w:rPr>
      </w:pPr>
      <w:r>
        <w:rPr>
          <w:rFonts w:ascii="Arial" w:hAnsi="Arial" w:cs="Arial"/>
        </w:rPr>
        <w:t>CAMPINAS</w:t>
      </w:r>
    </w:p>
    <w:p w14:paraId="0A3188C8" w14:textId="5DA9788F" w:rsidR="00BC4AAC" w:rsidRPr="00BC4AAC" w:rsidRDefault="00BC4AAC" w:rsidP="00BC4AAC">
      <w:pPr>
        <w:jc w:val="center"/>
        <w:rPr>
          <w:rFonts w:ascii="Arial" w:hAnsi="Arial" w:cs="Arial"/>
          <w:sz w:val="24"/>
        </w:rPr>
      </w:pPr>
      <w:r>
        <w:rPr>
          <w:rFonts w:ascii="Arial" w:hAnsi="Arial" w:cs="Arial"/>
          <w:sz w:val="24"/>
        </w:rPr>
        <w:t>2027</w:t>
      </w:r>
    </w:p>
    <w:p w14:paraId="4899F88E" w14:textId="1F7944BB" w:rsidR="008A1E3C" w:rsidRPr="00BC4AAC" w:rsidRDefault="008A1E3C" w:rsidP="00BC4AAC">
      <w:pPr>
        <w:numPr>
          <w:ilvl w:val="0"/>
          <w:numId w:val="1"/>
        </w:numPr>
        <w:jc w:val="both"/>
        <w:rPr>
          <w:rFonts w:ascii="Arial" w:hAnsi="Arial" w:cs="Arial"/>
          <w:sz w:val="24"/>
          <w:szCs w:val="24"/>
        </w:rPr>
      </w:pPr>
      <w:r w:rsidRPr="00BC4AAC">
        <w:rPr>
          <w:rFonts w:ascii="Arial" w:hAnsi="Arial" w:cs="Arial"/>
          <w:b/>
          <w:sz w:val="24"/>
          <w:szCs w:val="24"/>
        </w:rPr>
        <w:lastRenderedPageBreak/>
        <w:t>Introdução</w:t>
      </w:r>
      <w:r w:rsidRPr="00BC4AAC">
        <w:rPr>
          <w:rFonts w:ascii="Arial" w:hAnsi="Arial" w:cs="Arial"/>
          <w:sz w:val="24"/>
          <w:szCs w:val="24"/>
        </w:rPr>
        <w:t>.</w:t>
      </w:r>
    </w:p>
    <w:p w14:paraId="147BCE00" w14:textId="21A1166C" w:rsidR="003A717F" w:rsidRPr="003A717F" w:rsidRDefault="003A717F" w:rsidP="003A717F">
      <w:pPr>
        <w:jc w:val="both"/>
        <w:rPr>
          <w:rFonts w:ascii="Arial" w:hAnsi="Arial" w:cs="Arial"/>
          <w:sz w:val="24"/>
          <w:szCs w:val="24"/>
        </w:rPr>
      </w:pPr>
      <w:r w:rsidRPr="003A717F">
        <w:rPr>
          <w:rFonts w:ascii="Arial" w:hAnsi="Arial" w:cs="Arial"/>
          <w:sz w:val="24"/>
          <w:szCs w:val="24"/>
        </w:rPr>
        <w:t xml:space="preserve">As doenças inflamatórias intestinais (DII) são </w:t>
      </w:r>
      <w:r w:rsidR="003A4093">
        <w:rPr>
          <w:rFonts w:ascii="Arial" w:hAnsi="Arial" w:cs="Arial"/>
          <w:sz w:val="24"/>
          <w:szCs w:val="24"/>
        </w:rPr>
        <w:t>entidades nosológicas</w:t>
      </w:r>
      <w:r w:rsidR="003A4093" w:rsidRPr="003A717F">
        <w:rPr>
          <w:rFonts w:ascii="Arial" w:hAnsi="Arial" w:cs="Arial"/>
          <w:sz w:val="24"/>
          <w:szCs w:val="24"/>
        </w:rPr>
        <w:t xml:space="preserve"> </w:t>
      </w:r>
      <w:r w:rsidRPr="003A717F">
        <w:rPr>
          <w:rFonts w:ascii="Arial" w:hAnsi="Arial" w:cs="Arial"/>
          <w:sz w:val="24"/>
          <w:szCs w:val="24"/>
        </w:rPr>
        <w:t>crônic</w:t>
      </w:r>
      <w:r w:rsidR="003A4093">
        <w:rPr>
          <w:rFonts w:ascii="Arial" w:hAnsi="Arial" w:cs="Arial"/>
          <w:sz w:val="24"/>
          <w:szCs w:val="24"/>
        </w:rPr>
        <w:t>a</w:t>
      </w:r>
      <w:r w:rsidRPr="003A717F">
        <w:rPr>
          <w:rFonts w:ascii="Arial" w:hAnsi="Arial" w:cs="Arial"/>
          <w:sz w:val="24"/>
          <w:szCs w:val="24"/>
        </w:rPr>
        <w:t>s imunomediad</w:t>
      </w:r>
      <w:r w:rsidR="0000145C">
        <w:rPr>
          <w:rFonts w:ascii="Arial" w:hAnsi="Arial" w:cs="Arial"/>
          <w:sz w:val="24"/>
          <w:szCs w:val="24"/>
        </w:rPr>
        <w:t>a</w:t>
      </w:r>
      <w:r w:rsidRPr="003A717F">
        <w:rPr>
          <w:rFonts w:ascii="Arial" w:hAnsi="Arial" w:cs="Arial"/>
          <w:sz w:val="24"/>
          <w:szCs w:val="24"/>
        </w:rPr>
        <w:t>s que incluem a doença de Crohn (DC) e a colite ulcerativa (CU)</w:t>
      </w:r>
      <w:r w:rsidR="007558C8">
        <w:rPr>
          <w:rFonts w:ascii="Arial" w:hAnsi="Arial" w:cs="Arial"/>
          <w:sz w:val="24"/>
          <w:szCs w:val="24"/>
        </w:rPr>
        <w:t>.</w:t>
      </w:r>
      <w:r w:rsidRPr="003A717F">
        <w:rPr>
          <w:rFonts w:ascii="Arial" w:hAnsi="Arial" w:cs="Arial"/>
          <w:sz w:val="24"/>
          <w:szCs w:val="24"/>
        </w:rPr>
        <w:t xml:space="preserve"> </w:t>
      </w:r>
      <w:r w:rsidR="007558C8">
        <w:rPr>
          <w:rFonts w:ascii="Arial" w:hAnsi="Arial" w:cs="Arial"/>
          <w:sz w:val="24"/>
          <w:szCs w:val="24"/>
        </w:rPr>
        <w:t>Re</w:t>
      </w:r>
      <w:r w:rsidR="00F157AF">
        <w:rPr>
          <w:rFonts w:ascii="Arial" w:hAnsi="Arial" w:cs="Arial"/>
          <w:sz w:val="24"/>
          <w:szCs w:val="24"/>
        </w:rPr>
        <w:t>sultam</w:t>
      </w:r>
      <w:r w:rsidRPr="003A717F">
        <w:rPr>
          <w:rFonts w:ascii="Arial" w:hAnsi="Arial" w:cs="Arial"/>
          <w:sz w:val="24"/>
          <w:szCs w:val="24"/>
        </w:rPr>
        <w:t xml:space="preserve"> de resposta imune desregulada da mucosa à microbiota intestinal em indivíduos geneticamente predispostos (ROSEN et al. 2015). Aproximadamente 10% de todos os casos de DII têm início na faixa etária pediátrica</w:t>
      </w:r>
      <w:r w:rsidR="00642D5D">
        <w:rPr>
          <w:rFonts w:ascii="Arial" w:hAnsi="Arial" w:cs="Arial"/>
          <w:sz w:val="24"/>
          <w:szCs w:val="24"/>
        </w:rPr>
        <w:t xml:space="preserve"> e, nos últimos anos</w:t>
      </w:r>
      <w:r w:rsidR="00644510">
        <w:rPr>
          <w:rFonts w:ascii="Arial" w:hAnsi="Arial" w:cs="Arial"/>
          <w:sz w:val="24"/>
          <w:szCs w:val="24"/>
        </w:rPr>
        <w:t xml:space="preserve">, tem </w:t>
      </w:r>
      <w:r w:rsidR="00323C5D">
        <w:rPr>
          <w:rFonts w:ascii="Arial" w:hAnsi="Arial" w:cs="Arial"/>
          <w:sz w:val="24"/>
          <w:szCs w:val="24"/>
        </w:rPr>
        <w:t>apresentado</w:t>
      </w:r>
      <w:r w:rsidR="00644510">
        <w:rPr>
          <w:rFonts w:ascii="Arial" w:hAnsi="Arial" w:cs="Arial"/>
          <w:sz w:val="24"/>
          <w:szCs w:val="24"/>
        </w:rPr>
        <w:t xml:space="preserve"> </w:t>
      </w:r>
      <w:r w:rsidRPr="003A717F">
        <w:rPr>
          <w:rFonts w:ascii="Arial" w:hAnsi="Arial" w:cs="Arial"/>
          <w:sz w:val="24"/>
          <w:szCs w:val="24"/>
        </w:rPr>
        <w:t>incidência crescente (BOUHUYS et al. 2023).</w:t>
      </w:r>
    </w:p>
    <w:p w14:paraId="01D20564" w14:textId="3B6BF402" w:rsidR="003A717F" w:rsidRPr="003A717F" w:rsidRDefault="003A717F" w:rsidP="003A717F">
      <w:pPr>
        <w:jc w:val="both"/>
        <w:rPr>
          <w:rFonts w:ascii="Arial" w:hAnsi="Arial" w:cs="Arial"/>
          <w:sz w:val="24"/>
          <w:szCs w:val="24"/>
        </w:rPr>
      </w:pPr>
      <w:r w:rsidRPr="003A717F">
        <w:rPr>
          <w:rFonts w:ascii="Arial" w:hAnsi="Arial" w:cs="Arial"/>
          <w:sz w:val="24"/>
          <w:szCs w:val="24"/>
        </w:rPr>
        <w:t xml:space="preserve">As manifestações clínicas iniciais mais </w:t>
      </w:r>
      <w:r w:rsidR="004073B6">
        <w:rPr>
          <w:rFonts w:ascii="Arial" w:hAnsi="Arial" w:cs="Arial"/>
          <w:sz w:val="24"/>
          <w:szCs w:val="24"/>
        </w:rPr>
        <w:t>frequentes</w:t>
      </w:r>
      <w:r w:rsidRPr="003A717F">
        <w:rPr>
          <w:rFonts w:ascii="Arial" w:hAnsi="Arial" w:cs="Arial"/>
          <w:sz w:val="24"/>
          <w:szCs w:val="24"/>
        </w:rPr>
        <w:t xml:space="preserve"> incluem dor abdominal, diarreia, hematoquezia ou enterorragia e perda de peso involuntária. Contudo, cerca de 22% das crianças apresentam manifestações atípicas como sintoma inicial, tais como falha de crescimento, atraso puberal, anemia, doença perianal e manifestações extraintestinais isoladas (articulares, cutâneas, oculares ou hepatobiliares) (BOUHUYS et al. 2023; ROSEN et al. 2015). A DC pode acometer qualquer área do trato gastrointestinal, sendo mais comum o envolvimento </w:t>
      </w:r>
      <w:proofErr w:type="spellStart"/>
      <w:r w:rsidRPr="003A717F">
        <w:rPr>
          <w:rFonts w:ascii="Arial" w:hAnsi="Arial" w:cs="Arial"/>
          <w:sz w:val="24"/>
          <w:szCs w:val="24"/>
        </w:rPr>
        <w:t>ileocolônico</w:t>
      </w:r>
      <w:proofErr w:type="spellEnd"/>
      <w:r w:rsidRPr="003A717F">
        <w:rPr>
          <w:rFonts w:ascii="Arial" w:hAnsi="Arial" w:cs="Arial"/>
          <w:sz w:val="24"/>
          <w:szCs w:val="24"/>
        </w:rPr>
        <w:t>, enquanto a CU é tipicamente</w:t>
      </w:r>
      <w:r w:rsidR="00ED422B">
        <w:rPr>
          <w:rFonts w:ascii="Arial" w:hAnsi="Arial" w:cs="Arial"/>
          <w:sz w:val="24"/>
          <w:szCs w:val="24"/>
        </w:rPr>
        <w:t xml:space="preserve"> </w:t>
      </w:r>
      <w:r w:rsidR="005562F7">
        <w:rPr>
          <w:rFonts w:ascii="Arial" w:hAnsi="Arial" w:cs="Arial"/>
          <w:sz w:val="24"/>
          <w:szCs w:val="24"/>
        </w:rPr>
        <w:t xml:space="preserve">restrita </w:t>
      </w:r>
      <w:r w:rsidRPr="003A717F">
        <w:rPr>
          <w:rFonts w:ascii="Arial" w:hAnsi="Arial" w:cs="Arial"/>
          <w:sz w:val="24"/>
          <w:szCs w:val="24"/>
        </w:rPr>
        <w:t xml:space="preserve">ao cólon, </w:t>
      </w:r>
      <w:r w:rsidR="00F22ABD">
        <w:rPr>
          <w:rFonts w:ascii="Arial" w:hAnsi="Arial" w:cs="Arial"/>
          <w:sz w:val="24"/>
          <w:szCs w:val="24"/>
        </w:rPr>
        <w:t>e</w:t>
      </w:r>
      <w:r w:rsidRPr="003A717F">
        <w:rPr>
          <w:rFonts w:ascii="Arial" w:hAnsi="Arial" w:cs="Arial"/>
          <w:sz w:val="24"/>
          <w:szCs w:val="24"/>
        </w:rPr>
        <w:t xml:space="preserve"> </w:t>
      </w:r>
      <w:r w:rsidR="00F22ABD">
        <w:rPr>
          <w:rFonts w:ascii="Arial" w:hAnsi="Arial" w:cs="Arial"/>
          <w:sz w:val="24"/>
          <w:szCs w:val="24"/>
        </w:rPr>
        <w:t>a</w:t>
      </w:r>
      <w:r w:rsidR="003B4FB6">
        <w:rPr>
          <w:rFonts w:ascii="Arial" w:hAnsi="Arial" w:cs="Arial"/>
          <w:sz w:val="24"/>
          <w:szCs w:val="24"/>
        </w:rPr>
        <w:t xml:space="preserve"> </w:t>
      </w:r>
      <w:proofErr w:type="spellStart"/>
      <w:r w:rsidRPr="003A717F">
        <w:rPr>
          <w:rFonts w:ascii="Arial" w:hAnsi="Arial" w:cs="Arial"/>
          <w:sz w:val="24"/>
          <w:szCs w:val="24"/>
        </w:rPr>
        <w:t>pancolite</w:t>
      </w:r>
      <w:proofErr w:type="spellEnd"/>
      <w:r w:rsidRPr="003A717F">
        <w:rPr>
          <w:rFonts w:ascii="Arial" w:hAnsi="Arial" w:cs="Arial"/>
          <w:sz w:val="24"/>
          <w:szCs w:val="24"/>
        </w:rPr>
        <w:t xml:space="preserve"> </w:t>
      </w:r>
      <w:r w:rsidR="003B4FB6">
        <w:rPr>
          <w:rFonts w:ascii="Arial" w:hAnsi="Arial" w:cs="Arial"/>
          <w:sz w:val="24"/>
          <w:szCs w:val="24"/>
        </w:rPr>
        <w:t>é</w:t>
      </w:r>
      <w:r w:rsidRPr="003A717F">
        <w:rPr>
          <w:rFonts w:ascii="Arial" w:hAnsi="Arial" w:cs="Arial"/>
          <w:sz w:val="24"/>
          <w:szCs w:val="24"/>
        </w:rPr>
        <w:t xml:space="preserve"> a apresentação mais frequente em crianças (ROSEN et al. 2015; BOUSVAROS et al., 2007).</w:t>
      </w:r>
    </w:p>
    <w:p w14:paraId="452D4322" w14:textId="7E07E01C" w:rsidR="003A717F" w:rsidRDefault="003A717F" w:rsidP="003A717F">
      <w:pPr>
        <w:jc w:val="both"/>
        <w:rPr>
          <w:rFonts w:ascii="Arial" w:hAnsi="Arial" w:cs="Arial"/>
          <w:sz w:val="24"/>
          <w:szCs w:val="24"/>
        </w:rPr>
      </w:pPr>
      <w:r w:rsidRPr="003A717F">
        <w:rPr>
          <w:rFonts w:ascii="Arial" w:hAnsi="Arial" w:cs="Arial"/>
          <w:sz w:val="24"/>
          <w:szCs w:val="24"/>
        </w:rPr>
        <w:t xml:space="preserve">O atraso diagnóstico representa um desafio significativo na DII pediátrica. </w:t>
      </w:r>
      <w:r w:rsidR="00FB4699">
        <w:rPr>
          <w:rFonts w:ascii="Arial" w:hAnsi="Arial" w:cs="Arial"/>
          <w:sz w:val="24"/>
          <w:szCs w:val="24"/>
        </w:rPr>
        <w:t>R</w:t>
      </w:r>
      <w:r w:rsidRPr="003A717F">
        <w:rPr>
          <w:rFonts w:ascii="Arial" w:hAnsi="Arial" w:cs="Arial"/>
          <w:sz w:val="24"/>
          <w:szCs w:val="24"/>
        </w:rPr>
        <w:t>evisão sistemática recente</w:t>
      </w:r>
      <w:r w:rsidR="00E33169">
        <w:rPr>
          <w:rFonts w:ascii="Arial" w:hAnsi="Arial" w:cs="Arial"/>
          <w:sz w:val="24"/>
          <w:szCs w:val="24"/>
        </w:rPr>
        <w:t xml:space="preserve"> que incluiu</w:t>
      </w:r>
      <w:r w:rsidRPr="003A717F">
        <w:rPr>
          <w:rFonts w:ascii="Arial" w:hAnsi="Arial" w:cs="Arial"/>
          <w:sz w:val="24"/>
          <w:szCs w:val="24"/>
        </w:rPr>
        <w:t xml:space="preserve"> </w:t>
      </w:r>
      <w:r w:rsidR="00E33169">
        <w:rPr>
          <w:rFonts w:ascii="Arial" w:hAnsi="Arial" w:cs="Arial"/>
          <w:sz w:val="24"/>
          <w:szCs w:val="24"/>
        </w:rPr>
        <w:t xml:space="preserve"> mais </w:t>
      </w:r>
      <w:r w:rsidRPr="003A717F">
        <w:rPr>
          <w:rFonts w:ascii="Arial" w:hAnsi="Arial" w:cs="Arial"/>
          <w:sz w:val="24"/>
          <w:szCs w:val="24"/>
        </w:rPr>
        <w:t>de 7.000 crianças</w:t>
      </w:r>
      <w:r w:rsidR="0045247E">
        <w:rPr>
          <w:rFonts w:ascii="Arial" w:hAnsi="Arial" w:cs="Arial"/>
          <w:sz w:val="24"/>
          <w:szCs w:val="24"/>
        </w:rPr>
        <w:t xml:space="preserve"> </w:t>
      </w:r>
      <w:r w:rsidRPr="003A717F">
        <w:rPr>
          <w:rFonts w:ascii="Arial" w:hAnsi="Arial" w:cs="Arial"/>
          <w:sz w:val="24"/>
          <w:szCs w:val="24"/>
        </w:rPr>
        <w:t>destaca que a maioria dos estudos reporta intervalos de 4–6 meses para DC e 2–3 meses para CU (VERNON-ROBERTS et al., 2023).</w:t>
      </w:r>
      <w:r w:rsidR="00652BE3">
        <w:rPr>
          <w:rFonts w:ascii="Arial" w:hAnsi="Arial" w:cs="Arial"/>
          <w:sz w:val="24"/>
          <w:szCs w:val="24"/>
        </w:rPr>
        <w:t xml:space="preserve"> </w:t>
      </w:r>
    </w:p>
    <w:p w14:paraId="454AD4EC" w14:textId="2BB3A366" w:rsidR="00F22EC3" w:rsidRPr="003A717F" w:rsidRDefault="00977232" w:rsidP="003A717F">
      <w:pPr>
        <w:jc w:val="both"/>
        <w:rPr>
          <w:rFonts w:ascii="Arial" w:hAnsi="Arial" w:cs="Arial"/>
          <w:sz w:val="24"/>
          <w:szCs w:val="24"/>
        </w:rPr>
      </w:pPr>
      <w:r>
        <w:rPr>
          <w:rFonts w:ascii="Arial" w:hAnsi="Arial" w:cs="Arial"/>
          <w:sz w:val="24"/>
          <w:szCs w:val="24"/>
        </w:rPr>
        <w:t>H</w:t>
      </w:r>
      <w:r w:rsidR="00F22EC3" w:rsidRPr="00F22EC3">
        <w:rPr>
          <w:rFonts w:ascii="Arial" w:hAnsi="Arial" w:cs="Arial"/>
          <w:sz w:val="24"/>
          <w:szCs w:val="24"/>
        </w:rPr>
        <w:t>á evidências crescentes de que o acometimento ileal está associado ao maior risco de atraso na confirmação diagnóstica da DC, uma vez que esses pacientes apresentam menor probabilidade de desenvolver sintomas de alarme</w:t>
      </w:r>
      <w:r w:rsidR="000C0554">
        <w:rPr>
          <w:rFonts w:ascii="Arial" w:hAnsi="Arial" w:cs="Arial"/>
          <w:sz w:val="24"/>
          <w:szCs w:val="24"/>
        </w:rPr>
        <w:t xml:space="preserve">, tais quais </w:t>
      </w:r>
      <w:r w:rsidR="00F22EC3" w:rsidRPr="00F22EC3">
        <w:rPr>
          <w:rFonts w:ascii="Arial" w:hAnsi="Arial" w:cs="Arial"/>
          <w:sz w:val="24"/>
          <w:szCs w:val="24"/>
        </w:rPr>
        <w:t>sangramento nas fezes</w:t>
      </w:r>
      <w:r w:rsidR="00CA0FD9">
        <w:rPr>
          <w:rFonts w:ascii="Arial" w:hAnsi="Arial" w:cs="Arial"/>
          <w:sz w:val="24"/>
          <w:szCs w:val="24"/>
        </w:rPr>
        <w:t xml:space="preserve"> </w:t>
      </w:r>
      <w:r w:rsidR="00CA0FD9" w:rsidRPr="00CA0FD9">
        <w:rPr>
          <w:rFonts w:ascii="Arial" w:hAnsi="Arial" w:cs="Arial"/>
          <w:sz w:val="24"/>
          <w:szCs w:val="24"/>
        </w:rPr>
        <w:t>(ZAHARIE et al., 2016).</w:t>
      </w:r>
    </w:p>
    <w:p w14:paraId="0CA35AC6" w14:textId="1087DA20" w:rsidR="00A3207A" w:rsidRDefault="00AD6C1E" w:rsidP="003A717F">
      <w:pPr>
        <w:jc w:val="both"/>
        <w:rPr>
          <w:rFonts w:ascii="Arial" w:hAnsi="Arial" w:cs="Arial"/>
          <w:sz w:val="24"/>
          <w:szCs w:val="24"/>
        </w:rPr>
      </w:pPr>
      <w:r>
        <w:rPr>
          <w:rFonts w:ascii="Arial" w:hAnsi="Arial" w:cs="Arial"/>
          <w:sz w:val="24"/>
          <w:szCs w:val="24"/>
        </w:rPr>
        <w:t>O tem</w:t>
      </w:r>
      <w:r w:rsidR="00E8210D">
        <w:rPr>
          <w:rFonts w:ascii="Arial" w:hAnsi="Arial" w:cs="Arial"/>
          <w:sz w:val="24"/>
          <w:szCs w:val="24"/>
        </w:rPr>
        <w:t>po até a definição</w:t>
      </w:r>
      <w:r w:rsidR="003A717F" w:rsidRPr="003A717F">
        <w:rPr>
          <w:rFonts w:ascii="Arial" w:hAnsi="Arial" w:cs="Arial"/>
          <w:sz w:val="24"/>
          <w:szCs w:val="24"/>
        </w:rPr>
        <w:t xml:space="preserve"> </w:t>
      </w:r>
      <w:r w:rsidR="00E8210D">
        <w:rPr>
          <w:rFonts w:ascii="Arial" w:hAnsi="Arial" w:cs="Arial"/>
          <w:sz w:val="24"/>
          <w:szCs w:val="24"/>
        </w:rPr>
        <w:t xml:space="preserve">do diagnóstico </w:t>
      </w:r>
      <w:r w:rsidR="003A717F" w:rsidRPr="003A717F">
        <w:rPr>
          <w:rFonts w:ascii="Arial" w:hAnsi="Arial" w:cs="Arial"/>
          <w:sz w:val="24"/>
          <w:szCs w:val="24"/>
        </w:rPr>
        <w:t>é composto por dois períodos principais: o tempo entre o início dos sintomas e a primeira consulta médica, e o tempo entre a consulta médica e o diagnóstico endoscópico. O maior componente do atraso geralmente ocorre antes da primeira consulta médica, especialmente em casos com sintomas menos específicos (CHOI et al., 2026).</w:t>
      </w:r>
    </w:p>
    <w:p w14:paraId="55E5009A" w14:textId="67157BBD" w:rsidR="00F30BC2" w:rsidRDefault="00B926A3" w:rsidP="003A717F">
      <w:pPr>
        <w:jc w:val="both"/>
        <w:rPr>
          <w:rFonts w:ascii="Arial" w:hAnsi="Arial" w:cs="Arial"/>
          <w:sz w:val="24"/>
          <w:szCs w:val="24"/>
        </w:rPr>
      </w:pPr>
      <w:r w:rsidRPr="00B926A3">
        <w:rPr>
          <w:rFonts w:ascii="Arial" w:hAnsi="Arial" w:cs="Arial"/>
          <w:sz w:val="24"/>
          <w:szCs w:val="24"/>
        </w:rPr>
        <w:t xml:space="preserve">A ausência de biomarcadores confiáveis e não invasivos para rastreamento pré-clínico na população geral representa outra causa de apresentação tardia. </w:t>
      </w:r>
      <w:r w:rsidR="0081012F" w:rsidRPr="0081012F">
        <w:rPr>
          <w:rFonts w:ascii="Arial" w:hAnsi="Arial" w:cs="Arial"/>
          <w:sz w:val="24"/>
          <w:szCs w:val="24"/>
        </w:rPr>
        <w:t xml:space="preserve">A </w:t>
      </w:r>
      <w:proofErr w:type="spellStart"/>
      <w:r w:rsidR="0081012F" w:rsidRPr="0081012F">
        <w:rPr>
          <w:rFonts w:ascii="Arial" w:hAnsi="Arial" w:cs="Arial"/>
          <w:sz w:val="24"/>
          <w:szCs w:val="24"/>
        </w:rPr>
        <w:t>calprotectina</w:t>
      </w:r>
      <w:proofErr w:type="spellEnd"/>
      <w:r w:rsidR="0081012F" w:rsidRPr="0081012F">
        <w:rPr>
          <w:rFonts w:ascii="Arial" w:hAnsi="Arial" w:cs="Arial"/>
          <w:sz w:val="24"/>
          <w:szCs w:val="24"/>
        </w:rPr>
        <w:t xml:space="preserve"> fecal é um marcador de inflamação intestinal amplamente utilizado no diagnóstico diferencial. No entanto, seus níveis também podem estar elevados em outras condições, como infecções gastrointestinais, gastrite, pólipos ou diverticulite, além de sofrerem influência do uso crônico de medicamentos anti-inflamatórios não esteroidais</w:t>
      </w:r>
      <w:r w:rsidR="0081012F">
        <w:rPr>
          <w:rFonts w:ascii="Arial" w:hAnsi="Arial" w:cs="Arial"/>
          <w:sz w:val="24"/>
          <w:szCs w:val="24"/>
        </w:rPr>
        <w:t>.</w:t>
      </w:r>
      <w:r w:rsidR="00EE1818">
        <w:rPr>
          <w:rFonts w:ascii="Arial" w:hAnsi="Arial" w:cs="Arial"/>
          <w:sz w:val="24"/>
          <w:szCs w:val="24"/>
        </w:rPr>
        <w:t xml:space="preserve"> Dessa forma, f</w:t>
      </w:r>
      <w:r w:rsidRPr="00B926A3">
        <w:rPr>
          <w:rFonts w:ascii="Arial" w:hAnsi="Arial" w:cs="Arial"/>
          <w:sz w:val="24"/>
          <w:szCs w:val="24"/>
        </w:rPr>
        <w:t xml:space="preserve">requentemente, existe um longo período entre o início assintomático da doença e a primeira consulta médica, que </w:t>
      </w:r>
      <w:r w:rsidR="00724260">
        <w:rPr>
          <w:rFonts w:ascii="Arial" w:hAnsi="Arial" w:cs="Arial"/>
          <w:sz w:val="24"/>
          <w:szCs w:val="24"/>
        </w:rPr>
        <w:t xml:space="preserve">habitualmente </w:t>
      </w:r>
      <w:r w:rsidRPr="00B926A3">
        <w:rPr>
          <w:rFonts w:ascii="Arial" w:hAnsi="Arial" w:cs="Arial"/>
          <w:sz w:val="24"/>
          <w:szCs w:val="24"/>
        </w:rPr>
        <w:t>ocorre apenas diante da progressão do quadro e do surgimento de complicações</w:t>
      </w:r>
      <w:r w:rsidR="00891013">
        <w:rPr>
          <w:rFonts w:ascii="Arial" w:hAnsi="Arial" w:cs="Arial"/>
          <w:sz w:val="24"/>
          <w:szCs w:val="24"/>
        </w:rPr>
        <w:t xml:space="preserve"> </w:t>
      </w:r>
      <w:r w:rsidR="00A3207A" w:rsidRPr="00891013">
        <w:rPr>
          <w:rFonts w:ascii="Arial" w:hAnsi="Arial" w:cs="Arial"/>
          <w:sz w:val="24"/>
          <w:szCs w:val="24"/>
        </w:rPr>
        <w:t>(MINEA et al., 2025).</w:t>
      </w:r>
      <w:r w:rsidR="00F30BC2">
        <w:rPr>
          <w:rFonts w:ascii="Arial" w:hAnsi="Arial" w:cs="Arial"/>
          <w:sz w:val="24"/>
          <w:szCs w:val="24"/>
        </w:rPr>
        <w:t xml:space="preserve"> </w:t>
      </w:r>
    </w:p>
    <w:p w14:paraId="240B4CE0" w14:textId="03E0D7A4" w:rsidR="00181669" w:rsidRDefault="009F257A" w:rsidP="003A717F">
      <w:pPr>
        <w:jc w:val="both"/>
        <w:rPr>
          <w:rFonts w:ascii="Arial" w:hAnsi="Arial" w:cs="Arial"/>
          <w:sz w:val="24"/>
          <w:szCs w:val="24"/>
        </w:rPr>
      </w:pPr>
      <w:r>
        <w:rPr>
          <w:rFonts w:ascii="Arial" w:hAnsi="Arial" w:cs="Arial"/>
          <w:sz w:val="24"/>
          <w:szCs w:val="24"/>
        </w:rPr>
        <w:t>Por outro lado,</w:t>
      </w:r>
      <w:r w:rsidR="00A3207A">
        <w:rPr>
          <w:rFonts w:ascii="Arial" w:hAnsi="Arial" w:cs="Arial"/>
          <w:sz w:val="24"/>
          <w:szCs w:val="24"/>
        </w:rPr>
        <w:t xml:space="preserve"> q</w:t>
      </w:r>
      <w:r w:rsidR="00A3207A" w:rsidRPr="00A3207A">
        <w:rPr>
          <w:rFonts w:ascii="Arial" w:hAnsi="Arial" w:cs="Arial"/>
          <w:sz w:val="24"/>
          <w:szCs w:val="24"/>
        </w:rPr>
        <w:t>uando os pacientes apresentam formas leves da doença, podem não perceber a necessidade de avaliação médica urgente.</w:t>
      </w:r>
      <w:r w:rsidR="00F30BC2">
        <w:rPr>
          <w:rFonts w:ascii="Arial" w:hAnsi="Arial" w:cs="Arial"/>
          <w:sz w:val="24"/>
          <w:szCs w:val="24"/>
        </w:rPr>
        <w:t xml:space="preserve"> </w:t>
      </w:r>
      <w:r w:rsidR="00724260">
        <w:rPr>
          <w:rFonts w:ascii="Arial" w:hAnsi="Arial" w:cs="Arial"/>
          <w:sz w:val="24"/>
          <w:szCs w:val="24"/>
        </w:rPr>
        <w:t>B</w:t>
      </w:r>
      <w:r w:rsidR="00A3207A" w:rsidRPr="00A3207A">
        <w:rPr>
          <w:rFonts w:ascii="Arial" w:hAnsi="Arial" w:cs="Arial"/>
          <w:sz w:val="24"/>
          <w:szCs w:val="24"/>
        </w:rPr>
        <w:t xml:space="preserve">arreiras de acesso à saúde — como dificuldades logísticas, limitações financeiras e longos tempos </w:t>
      </w:r>
      <w:r w:rsidR="00A3207A" w:rsidRPr="00A3207A">
        <w:rPr>
          <w:rFonts w:ascii="Arial" w:hAnsi="Arial" w:cs="Arial"/>
          <w:sz w:val="24"/>
          <w:szCs w:val="24"/>
        </w:rPr>
        <w:lastRenderedPageBreak/>
        <w:t>de espera — também impactam esses pacientes de maneira semelhante</w:t>
      </w:r>
      <w:r w:rsidR="00A3207A">
        <w:rPr>
          <w:rFonts w:ascii="Arial" w:hAnsi="Arial" w:cs="Arial"/>
          <w:sz w:val="24"/>
          <w:szCs w:val="24"/>
        </w:rPr>
        <w:t xml:space="preserve"> </w:t>
      </w:r>
      <w:r w:rsidR="00A3207A" w:rsidRPr="00891013">
        <w:rPr>
          <w:rFonts w:ascii="Arial" w:hAnsi="Arial" w:cs="Arial"/>
          <w:sz w:val="24"/>
          <w:szCs w:val="24"/>
        </w:rPr>
        <w:t>(MINEA et al., 2025).</w:t>
      </w:r>
      <w:r w:rsidR="00A3207A">
        <w:rPr>
          <w:rFonts w:ascii="Arial" w:hAnsi="Arial" w:cs="Arial"/>
          <w:sz w:val="24"/>
          <w:szCs w:val="24"/>
        </w:rPr>
        <w:t xml:space="preserve"> </w:t>
      </w:r>
    </w:p>
    <w:p w14:paraId="5D500046" w14:textId="4E19A712" w:rsidR="00737D07" w:rsidRDefault="00737D07" w:rsidP="003A717F">
      <w:pPr>
        <w:jc w:val="both"/>
        <w:rPr>
          <w:rFonts w:ascii="Arial" w:hAnsi="Arial" w:cs="Arial"/>
          <w:sz w:val="24"/>
          <w:szCs w:val="24"/>
        </w:rPr>
      </w:pPr>
      <w:r w:rsidRPr="00737D07">
        <w:rPr>
          <w:rFonts w:ascii="Arial" w:hAnsi="Arial" w:cs="Arial"/>
          <w:sz w:val="24"/>
          <w:szCs w:val="24"/>
        </w:rPr>
        <w:t>O atraso diagnóstico está associado a desfechos adversos significativos, incluindo maior risco de complicações estruturantes e penetrantes na DC, necessidade de cirurgia e comprometimento do crescimento linear que pode persistir mesmo após o diagnóstico</w:t>
      </w:r>
      <w:r w:rsidR="00AF3629">
        <w:rPr>
          <w:rFonts w:ascii="Arial" w:hAnsi="Arial" w:cs="Arial"/>
          <w:sz w:val="24"/>
          <w:szCs w:val="24"/>
        </w:rPr>
        <w:t xml:space="preserve"> </w:t>
      </w:r>
      <w:r w:rsidR="00AF3629" w:rsidRPr="00AF3629">
        <w:rPr>
          <w:rFonts w:ascii="Arial" w:hAnsi="Arial" w:cs="Arial"/>
          <w:sz w:val="24"/>
          <w:szCs w:val="24"/>
        </w:rPr>
        <w:t>(BOUHUYS et al., 2023; VAN LIMBERGEN et al., 2018).</w:t>
      </w:r>
    </w:p>
    <w:p w14:paraId="6579551E" w14:textId="275BB47F" w:rsidR="009F257A" w:rsidRPr="00E46FB1" w:rsidRDefault="00727303" w:rsidP="003A717F">
      <w:pPr>
        <w:jc w:val="both"/>
        <w:rPr>
          <w:rFonts w:ascii="Arial" w:hAnsi="Arial" w:cs="Arial"/>
          <w:sz w:val="24"/>
          <w:szCs w:val="24"/>
        </w:rPr>
      </w:pPr>
      <w:r w:rsidRPr="00727303">
        <w:rPr>
          <w:rFonts w:ascii="Arial" w:hAnsi="Arial" w:cs="Arial"/>
          <w:sz w:val="24"/>
          <w:szCs w:val="24"/>
        </w:rPr>
        <w:t xml:space="preserve">O enfrentamento desses desafios requer uma abordagem multifatorial, que inclua o aprimoramento das ferramentas de triagem na atenção primária — como o uso combinado de sintomas, </w:t>
      </w:r>
      <w:r w:rsidR="00BE7B03">
        <w:rPr>
          <w:rFonts w:ascii="Arial" w:hAnsi="Arial" w:cs="Arial"/>
          <w:sz w:val="24"/>
          <w:szCs w:val="24"/>
        </w:rPr>
        <w:t>bio</w:t>
      </w:r>
      <w:r w:rsidRPr="00727303">
        <w:rPr>
          <w:rFonts w:ascii="Arial" w:hAnsi="Arial" w:cs="Arial"/>
          <w:sz w:val="24"/>
          <w:szCs w:val="24"/>
        </w:rPr>
        <w:t xml:space="preserve">marcadores sanguíneos e </w:t>
      </w:r>
      <w:proofErr w:type="spellStart"/>
      <w:r w:rsidRPr="00727303">
        <w:rPr>
          <w:rFonts w:ascii="Arial" w:hAnsi="Arial" w:cs="Arial"/>
          <w:sz w:val="24"/>
          <w:szCs w:val="24"/>
        </w:rPr>
        <w:t>calprotectina</w:t>
      </w:r>
      <w:proofErr w:type="spellEnd"/>
      <w:r w:rsidRPr="00727303">
        <w:rPr>
          <w:rFonts w:ascii="Arial" w:hAnsi="Arial" w:cs="Arial"/>
          <w:sz w:val="24"/>
          <w:szCs w:val="24"/>
        </w:rPr>
        <w:t xml:space="preserve"> fecal —, a melhoria da capacitação dos médicos generalistas para reconhecimento precoce de sinais de alarme, e a otimização dos fluxos de referenciamento para centros especializados</w:t>
      </w:r>
      <w:r w:rsidR="00747A00">
        <w:rPr>
          <w:rFonts w:ascii="Arial" w:hAnsi="Arial" w:cs="Arial"/>
          <w:sz w:val="24"/>
          <w:szCs w:val="24"/>
        </w:rPr>
        <w:t xml:space="preserve"> </w:t>
      </w:r>
      <w:r w:rsidR="00747A00" w:rsidRPr="00747A00">
        <w:rPr>
          <w:rFonts w:ascii="Arial" w:hAnsi="Arial" w:cs="Arial"/>
          <w:sz w:val="24"/>
          <w:szCs w:val="24"/>
        </w:rPr>
        <w:t>(RICCIUTO et al., 2018; SULKANEN et al., 2021).</w:t>
      </w:r>
    </w:p>
    <w:p w14:paraId="3A06578F" w14:textId="77777777" w:rsidR="008A1E3C" w:rsidRPr="006A4A98" w:rsidRDefault="008A1E3C" w:rsidP="008A1E3C">
      <w:pPr>
        <w:numPr>
          <w:ilvl w:val="0"/>
          <w:numId w:val="1"/>
        </w:numPr>
        <w:jc w:val="both"/>
        <w:rPr>
          <w:rFonts w:ascii="Arial" w:hAnsi="Arial" w:cs="Arial"/>
          <w:sz w:val="24"/>
          <w:szCs w:val="24"/>
        </w:rPr>
      </w:pPr>
      <w:r w:rsidRPr="006A4A98">
        <w:rPr>
          <w:rFonts w:ascii="Arial" w:hAnsi="Arial" w:cs="Arial"/>
          <w:sz w:val="24"/>
          <w:szCs w:val="24"/>
        </w:rPr>
        <w:t>Justificativa</w:t>
      </w:r>
    </w:p>
    <w:p w14:paraId="2059D587" w14:textId="77777777" w:rsidR="008A1E3C" w:rsidRPr="006A4A98" w:rsidRDefault="008A1E3C" w:rsidP="008A1E3C">
      <w:pPr>
        <w:jc w:val="both"/>
        <w:rPr>
          <w:rFonts w:ascii="Arial" w:hAnsi="Arial" w:cs="Arial"/>
          <w:sz w:val="24"/>
          <w:szCs w:val="24"/>
        </w:rPr>
      </w:pPr>
      <w:r w:rsidRPr="006A4A98">
        <w:rPr>
          <w:rFonts w:ascii="Arial" w:hAnsi="Arial" w:cs="Arial"/>
          <w:sz w:val="24"/>
          <w:szCs w:val="24"/>
        </w:rPr>
        <w:t>A Doença Inflamatória Intestinal na faixa etária pediátrica apresenta características clínicas heterogêneas, frequentemente inespecíficas, o que pode contribuir para atraso no reconhecimento da doença e no estabelecimento do diagnóstico definitivo. Em crianças e adolescentes, manifestações iniciais como dor abdominal, diarreia crônica, perda ponderal, atraso de crescimento e sintomas extraintestinais podem ser subvalorizadas ou atribuídas a condições mais comuns da infância, retardando a investigação especializada.</w:t>
      </w:r>
    </w:p>
    <w:p w14:paraId="316167F2" w14:textId="3A359954" w:rsidR="008A1E3C" w:rsidRPr="006A4A98" w:rsidRDefault="008A1E3C" w:rsidP="008A1E3C">
      <w:pPr>
        <w:jc w:val="both"/>
        <w:rPr>
          <w:rFonts w:ascii="Arial" w:hAnsi="Arial" w:cs="Arial"/>
          <w:sz w:val="24"/>
          <w:szCs w:val="24"/>
        </w:rPr>
      </w:pPr>
      <w:r w:rsidRPr="006A4A98">
        <w:rPr>
          <w:rFonts w:ascii="Arial" w:hAnsi="Arial" w:cs="Arial"/>
          <w:sz w:val="24"/>
          <w:szCs w:val="24"/>
        </w:rPr>
        <w:t xml:space="preserve">O atraso diagnóstico em pacientes pediátricos com Doença Inflamatória Intestinal está associado a maior risco de complicações, pior controle da atividade inflamatória, impacto negativo no crescimento e desenvolvimento puberal, além de maior necessidade de terapias mais agressivas ao longo da evolução da doença. </w:t>
      </w:r>
      <w:r w:rsidR="007A1D1A">
        <w:rPr>
          <w:rFonts w:ascii="Arial" w:hAnsi="Arial" w:cs="Arial"/>
          <w:sz w:val="24"/>
          <w:szCs w:val="24"/>
        </w:rPr>
        <w:t>A</w:t>
      </w:r>
      <w:r w:rsidRPr="006A4A98">
        <w:rPr>
          <w:rFonts w:ascii="Arial" w:hAnsi="Arial" w:cs="Arial"/>
          <w:sz w:val="24"/>
          <w:szCs w:val="24"/>
        </w:rPr>
        <w:t xml:space="preserve"> identificação precoce dos sinais e sintomas iniciais torna-se fundamental para otimizar o manejo clínico e melhorar o prognóstico desses pacientes.</w:t>
      </w:r>
    </w:p>
    <w:p w14:paraId="00DD88D5" w14:textId="0E8852AA" w:rsidR="008A1E3C" w:rsidRPr="006A4A98" w:rsidRDefault="008A1E3C" w:rsidP="008A1E3C">
      <w:pPr>
        <w:jc w:val="both"/>
        <w:rPr>
          <w:rFonts w:ascii="Arial" w:hAnsi="Arial" w:cs="Arial"/>
          <w:sz w:val="24"/>
          <w:szCs w:val="24"/>
        </w:rPr>
      </w:pPr>
      <w:r w:rsidRPr="006A4A98">
        <w:rPr>
          <w:rFonts w:ascii="Arial" w:hAnsi="Arial" w:cs="Arial"/>
          <w:sz w:val="24"/>
          <w:szCs w:val="24"/>
        </w:rPr>
        <w:t xml:space="preserve">Embora existam estudos na literatura abordando o atraso diagnóstico na Doença Inflamatória Intestinal, ainda são escassos os dados nacionais que avaliem, de forma sistemática, a relação entre as manifestações clínicas iniciais e o tempo até o diagnóstico confirmado por métodos endoscópicos na população pediátrica. Nesse contexto, a análise </w:t>
      </w:r>
      <w:r>
        <w:rPr>
          <w:rFonts w:ascii="Arial" w:hAnsi="Arial" w:cs="Arial"/>
          <w:sz w:val="24"/>
          <w:szCs w:val="24"/>
        </w:rPr>
        <w:t>dos</w:t>
      </w:r>
      <w:r w:rsidRPr="006A4A98">
        <w:rPr>
          <w:rFonts w:ascii="Arial" w:hAnsi="Arial" w:cs="Arial"/>
          <w:sz w:val="24"/>
          <w:szCs w:val="24"/>
        </w:rPr>
        <w:t xml:space="preserve"> pacientes acompanhados em um serviço terciário de referência, como o ambulatório de </w:t>
      </w:r>
      <w:r>
        <w:rPr>
          <w:rFonts w:ascii="Arial" w:hAnsi="Arial" w:cs="Arial"/>
          <w:sz w:val="24"/>
          <w:szCs w:val="24"/>
        </w:rPr>
        <w:t>G</w:t>
      </w:r>
      <w:r w:rsidRPr="006A4A98">
        <w:rPr>
          <w:rFonts w:ascii="Arial" w:hAnsi="Arial" w:cs="Arial"/>
          <w:sz w:val="24"/>
          <w:szCs w:val="24"/>
        </w:rPr>
        <w:t xml:space="preserve">astroenterologia </w:t>
      </w:r>
      <w:r>
        <w:rPr>
          <w:rFonts w:ascii="Arial" w:hAnsi="Arial" w:cs="Arial"/>
          <w:sz w:val="24"/>
          <w:szCs w:val="24"/>
        </w:rPr>
        <w:t>P</w:t>
      </w:r>
      <w:r w:rsidRPr="006A4A98">
        <w:rPr>
          <w:rFonts w:ascii="Arial" w:hAnsi="Arial" w:cs="Arial"/>
          <w:sz w:val="24"/>
          <w:szCs w:val="24"/>
        </w:rPr>
        <w:t>ediátrica da Universidade Estadual de Campinas</w:t>
      </w:r>
      <w:r>
        <w:rPr>
          <w:rFonts w:ascii="Arial" w:hAnsi="Arial" w:cs="Arial"/>
          <w:sz w:val="24"/>
          <w:szCs w:val="24"/>
        </w:rPr>
        <w:t xml:space="preserve"> (UNICAMP)</w:t>
      </w:r>
      <w:r w:rsidRPr="006A4A98">
        <w:rPr>
          <w:rFonts w:ascii="Arial" w:hAnsi="Arial" w:cs="Arial"/>
          <w:sz w:val="24"/>
          <w:szCs w:val="24"/>
        </w:rPr>
        <w:t>, permite contribuir para o melhor entendimento dessa relação em nossa realidade.</w:t>
      </w:r>
    </w:p>
    <w:p w14:paraId="4DD705A8" w14:textId="77777777" w:rsidR="008A1E3C" w:rsidRPr="006A4A98" w:rsidRDefault="008A1E3C" w:rsidP="008A1E3C">
      <w:pPr>
        <w:jc w:val="both"/>
        <w:rPr>
          <w:rFonts w:ascii="Arial" w:hAnsi="Arial" w:cs="Arial"/>
          <w:sz w:val="24"/>
          <w:szCs w:val="24"/>
        </w:rPr>
      </w:pPr>
      <w:r w:rsidRPr="006A4A98">
        <w:rPr>
          <w:rFonts w:ascii="Arial" w:hAnsi="Arial" w:cs="Arial"/>
          <w:sz w:val="24"/>
          <w:szCs w:val="24"/>
        </w:rPr>
        <w:t xml:space="preserve">Assim, o presente estudo justifica-se pela relevância clínica e científica de avaliar o intervalo entre o início das manifestações clínicas e o diagnóstico da Doença Inflamatória Intestinal em pacientes pediátricos, buscando identificar padrões de apresentação associados ao atraso diagnóstico. Os resultados poderão auxiliar na sensibilização de profissionais de saúde quanto aos sinais de alerta da doença, favorecendo o encaminhamento precoce, a realização oportuna de </w:t>
      </w:r>
      <w:r w:rsidRPr="006A4A98">
        <w:rPr>
          <w:rFonts w:ascii="Arial" w:hAnsi="Arial" w:cs="Arial"/>
          <w:sz w:val="24"/>
          <w:szCs w:val="24"/>
        </w:rPr>
        <w:lastRenderedPageBreak/>
        <w:t>endoscopia digestiva e colonoscopia com biópsia, e, consequentemente, a melhoria do cuidado prestado a essa população.</w:t>
      </w:r>
    </w:p>
    <w:p w14:paraId="4D00D34D" w14:textId="77777777" w:rsidR="008A1E3C" w:rsidRDefault="008A1E3C" w:rsidP="008A1E3C">
      <w:pPr>
        <w:jc w:val="both"/>
        <w:rPr>
          <w:rFonts w:ascii="Arial" w:hAnsi="Arial" w:cs="Arial"/>
          <w:sz w:val="24"/>
          <w:szCs w:val="24"/>
        </w:rPr>
      </w:pPr>
    </w:p>
    <w:p w14:paraId="33B70B0A" w14:textId="77777777" w:rsidR="008A1E3C" w:rsidRDefault="008A1E3C" w:rsidP="008A1E3C">
      <w:pPr>
        <w:pStyle w:val="PargrafodaLista"/>
        <w:rPr>
          <w:rFonts w:ascii="Arial" w:hAnsi="Arial" w:cs="Arial"/>
          <w:sz w:val="24"/>
          <w:szCs w:val="24"/>
        </w:rPr>
      </w:pPr>
    </w:p>
    <w:p w14:paraId="102F3ED9" w14:textId="77777777" w:rsidR="008A1E3C" w:rsidRDefault="008A1E3C" w:rsidP="008A1E3C">
      <w:pPr>
        <w:numPr>
          <w:ilvl w:val="0"/>
          <w:numId w:val="1"/>
        </w:numPr>
        <w:jc w:val="both"/>
        <w:rPr>
          <w:rFonts w:ascii="Arial" w:hAnsi="Arial" w:cs="Arial"/>
          <w:sz w:val="24"/>
          <w:szCs w:val="24"/>
        </w:rPr>
      </w:pPr>
      <w:r w:rsidRPr="00E46FB1">
        <w:rPr>
          <w:rFonts w:ascii="Arial" w:hAnsi="Arial" w:cs="Arial"/>
          <w:sz w:val="24"/>
          <w:szCs w:val="24"/>
        </w:rPr>
        <w:t>Objetivos:</w:t>
      </w:r>
    </w:p>
    <w:p w14:paraId="7F8AD7DB" w14:textId="77777777" w:rsidR="008A1E3C" w:rsidRDefault="008A1E3C" w:rsidP="008A1E3C">
      <w:pPr>
        <w:pStyle w:val="PargrafodaLista"/>
        <w:rPr>
          <w:rFonts w:ascii="Arial" w:hAnsi="Arial" w:cs="Arial"/>
          <w:sz w:val="24"/>
          <w:szCs w:val="24"/>
        </w:rPr>
      </w:pPr>
    </w:p>
    <w:p w14:paraId="0C87E246" w14:textId="77777777" w:rsidR="008A1E3C" w:rsidRPr="00825332" w:rsidRDefault="008A1E3C" w:rsidP="008A1E3C">
      <w:pPr>
        <w:numPr>
          <w:ilvl w:val="1"/>
          <w:numId w:val="1"/>
        </w:numPr>
        <w:jc w:val="both"/>
        <w:rPr>
          <w:rFonts w:ascii="Arial" w:hAnsi="Arial" w:cs="Arial"/>
          <w:sz w:val="24"/>
          <w:szCs w:val="24"/>
        </w:rPr>
      </w:pPr>
      <w:r w:rsidRPr="00825332">
        <w:rPr>
          <w:rFonts w:ascii="Arial" w:hAnsi="Arial" w:cs="Arial"/>
          <w:sz w:val="24"/>
          <w:szCs w:val="24"/>
        </w:rPr>
        <w:t>Objetivo geral:</w:t>
      </w:r>
    </w:p>
    <w:p w14:paraId="540058B1" w14:textId="77777777" w:rsidR="008A1E3C" w:rsidRDefault="008A1E3C" w:rsidP="008A1E3C">
      <w:pPr>
        <w:spacing w:line="240" w:lineRule="auto"/>
        <w:jc w:val="both"/>
        <w:rPr>
          <w:rFonts w:ascii="Arial" w:hAnsi="Arial" w:cs="Arial"/>
          <w:sz w:val="24"/>
          <w:szCs w:val="24"/>
        </w:rPr>
      </w:pPr>
      <w:r w:rsidRPr="00825332">
        <w:rPr>
          <w:rFonts w:ascii="Arial" w:hAnsi="Arial" w:cs="Arial"/>
          <w:sz w:val="24"/>
          <w:szCs w:val="24"/>
        </w:rPr>
        <w:t>Analisar a relação entre as manifestações clínicas iniciais e o tempo até o diagnóstico da Doença Inflamatória Intestinal em pacientes pediátricos atendidos no ambulatório de gastroenterologia pediátrica da UNICAMP.</w:t>
      </w:r>
    </w:p>
    <w:p w14:paraId="2C576029" w14:textId="77777777" w:rsidR="008A1E3C" w:rsidRDefault="008A1E3C" w:rsidP="008A1E3C">
      <w:pPr>
        <w:spacing w:line="240" w:lineRule="auto"/>
        <w:jc w:val="both"/>
        <w:rPr>
          <w:rFonts w:ascii="Arial" w:hAnsi="Arial" w:cs="Arial"/>
          <w:sz w:val="24"/>
          <w:szCs w:val="24"/>
        </w:rPr>
      </w:pPr>
    </w:p>
    <w:p w14:paraId="2F10C0EA" w14:textId="77777777" w:rsidR="008A1E3C" w:rsidRPr="00825332" w:rsidRDefault="008A1E3C" w:rsidP="008A1E3C">
      <w:pPr>
        <w:numPr>
          <w:ilvl w:val="1"/>
          <w:numId w:val="1"/>
        </w:numPr>
        <w:spacing w:line="240" w:lineRule="auto"/>
        <w:jc w:val="both"/>
        <w:rPr>
          <w:rFonts w:ascii="Arial" w:hAnsi="Arial" w:cs="Arial"/>
          <w:sz w:val="24"/>
          <w:szCs w:val="24"/>
        </w:rPr>
      </w:pPr>
      <w:r>
        <w:rPr>
          <w:rFonts w:ascii="Arial" w:hAnsi="Arial" w:cs="Arial"/>
          <w:sz w:val="24"/>
          <w:szCs w:val="24"/>
        </w:rPr>
        <w:t>Objetivos específicos:</w:t>
      </w:r>
    </w:p>
    <w:p w14:paraId="30C59771" w14:textId="520F8CDC" w:rsidR="008A1E3C" w:rsidRPr="00825332" w:rsidRDefault="008A1E3C" w:rsidP="008A1E3C">
      <w:pPr>
        <w:numPr>
          <w:ilvl w:val="0"/>
          <w:numId w:val="2"/>
        </w:numPr>
        <w:spacing w:line="240" w:lineRule="auto"/>
        <w:jc w:val="both"/>
        <w:rPr>
          <w:rFonts w:ascii="Arial" w:hAnsi="Arial" w:cs="Arial"/>
          <w:sz w:val="24"/>
          <w:szCs w:val="24"/>
        </w:rPr>
      </w:pPr>
      <w:r w:rsidRPr="00825332">
        <w:rPr>
          <w:rFonts w:ascii="Arial" w:hAnsi="Arial" w:cs="Arial"/>
          <w:sz w:val="24"/>
          <w:szCs w:val="24"/>
        </w:rPr>
        <w:t>Identificar as principais manifestações clínicas iniciais</w:t>
      </w:r>
      <w:r w:rsidR="00E43CDA">
        <w:rPr>
          <w:rFonts w:ascii="Arial" w:hAnsi="Arial" w:cs="Arial"/>
          <w:sz w:val="24"/>
          <w:szCs w:val="24"/>
        </w:rPr>
        <w:t>;</w:t>
      </w:r>
    </w:p>
    <w:p w14:paraId="274F9A00" w14:textId="34C2F15F" w:rsidR="008A1E3C" w:rsidRPr="00825332" w:rsidRDefault="00F944DE" w:rsidP="008A1E3C">
      <w:pPr>
        <w:numPr>
          <w:ilvl w:val="0"/>
          <w:numId w:val="2"/>
        </w:numPr>
        <w:spacing w:line="240" w:lineRule="auto"/>
        <w:jc w:val="both"/>
        <w:rPr>
          <w:rFonts w:ascii="Arial" w:hAnsi="Arial" w:cs="Arial"/>
          <w:sz w:val="24"/>
          <w:szCs w:val="24"/>
        </w:rPr>
      </w:pPr>
      <w:r>
        <w:rPr>
          <w:rFonts w:ascii="Arial" w:hAnsi="Arial" w:cs="Arial"/>
          <w:sz w:val="24"/>
          <w:szCs w:val="24"/>
        </w:rPr>
        <w:t>Registrar</w:t>
      </w:r>
      <w:r w:rsidR="008A1E3C" w:rsidRPr="00825332">
        <w:rPr>
          <w:rFonts w:ascii="Arial" w:hAnsi="Arial" w:cs="Arial"/>
          <w:sz w:val="24"/>
          <w:szCs w:val="24"/>
        </w:rPr>
        <w:t xml:space="preserve"> o intervalo de tempo entre o início dos sintomas e o diagnóstico da Doença Inflamatória Intestinal;</w:t>
      </w:r>
    </w:p>
    <w:p w14:paraId="33D3C492" w14:textId="6E7768AE" w:rsidR="008A1E3C" w:rsidRPr="00825332" w:rsidRDefault="00ED12D2" w:rsidP="008A1E3C">
      <w:pPr>
        <w:numPr>
          <w:ilvl w:val="0"/>
          <w:numId w:val="2"/>
        </w:numPr>
        <w:spacing w:line="240" w:lineRule="auto"/>
        <w:jc w:val="both"/>
        <w:rPr>
          <w:rFonts w:ascii="Arial" w:hAnsi="Arial" w:cs="Arial"/>
          <w:sz w:val="24"/>
          <w:szCs w:val="24"/>
        </w:rPr>
      </w:pPr>
      <w:r>
        <w:rPr>
          <w:rFonts w:ascii="Arial" w:hAnsi="Arial" w:cs="Arial"/>
          <w:sz w:val="24"/>
          <w:szCs w:val="24"/>
        </w:rPr>
        <w:t>Identificar</w:t>
      </w:r>
      <w:r w:rsidR="008A1E3C" w:rsidRPr="00825332">
        <w:rPr>
          <w:rFonts w:ascii="Arial" w:hAnsi="Arial" w:cs="Arial"/>
          <w:sz w:val="24"/>
          <w:szCs w:val="24"/>
        </w:rPr>
        <w:t xml:space="preserve"> associação entre tipos de manifestações clínicas iniciais</w:t>
      </w:r>
      <w:r w:rsidR="008A1E3C">
        <w:rPr>
          <w:rFonts w:ascii="Arial" w:hAnsi="Arial" w:cs="Arial"/>
          <w:sz w:val="24"/>
          <w:szCs w:val="24"/>
        </w:rPr>
        <w:t xml:space="preserve"> (intestinais ou extraintestinais)</w:t>
      </w:r>
      <w:r w:rsidR="008A1E3C" w:rsidRPr="00825332">
        <w:rPr>
          <w:rFonts w:ascii="Arial" w:hAnsi="Arial" w:cs="Arial"/>
          <w:sz w:val="24"/>
          <w:szCs w:val="24"/>
        </w:rPr>
        <w:t xml:space="preserve"> e o tempo até o diagnóstico;</w:t>
      </w:r>
    </w:p>
    <w:p w14:paraId="26DACB22" w14:textId="73C36118" w:rsidR="008A1E3C" w:rsidRDefault="008A1E3C" w:rsidP="008A1E3C">
      <w:pPr>
        <w:numPr>
          <w:ilvl w:val="0"/>
          <w:numId w:val="2"/>
        </w:numPr>
        <w:spacing w:line="240" w:lineRule="auto"/>
        <w:jc w:val="both"/>
        <w:rPr>
          <w:rFonts w:ascii="Arial" w:hAnsi="Arial" w:cs="Arial"/>
          <w:sz w:val="24"/>
          <w:szCs w:val="24"/>
        </w:rPr>
      </w:pPr>
      <w:r w:rsidRPr="00825332">
        <w:rPr>
          <w:rFonts w:ascii="Arial" w:hAnsi="Arial" w:cs="Arial"/>
          <w:sz w:val="24"/>
          <w:szCs w:val="24"/>
        </w:rPr>
        <w:t>Comparar o tempo até o diagnóstico entre Doença de Crohn e Retocolite Ulcerativa;</w:t>
      </w:r>
    </w:p>
    <w:p w14:paraId="697DC876" w14:textId="77777777" w:rsidR="00B81E8E" w:rsidRPr="00B81E8E" w:rsidRDefault="00B81E8E" w:rsidP="00B81E8E">
      <w:pPr>
        <w:spacing w:line="240" w:lineRule="auto"/>
        <w:ind w:left="720"/>
        <w:jc w:val="both"/>
        <w:rPr>
          <w:rFonts w:ascii="Arial" w:hAnsi="Arial" w:cs="Arial"/>
          <w:sz w:val="24"/>
          <w:szCs w:val="24"/>
        </w:rPr>
      </w:pPr>
    </w:p>
    <w:p w14:paraId="32AF9F6F" w14:textId="77777777" w:rsidR="008A1E3C" w:rsidRDefault="008A1E3C" w:rsidP="008A1E3C">
      <w:pPr>
        <w:numPr>
          <w:ilvl w:val="0"/>
          <w:numId w:val="1"/>
        </w:numPr>
        <w:spacing w:line="240" w:lineRule="auto"/>
        <w:jc w:val="both"/>
        <w:rPr>
          <w:rFonts w:ascii="Arial" w:hAnsi="Arial" w:cs="Arial"/>
          <w:sz w:val="24"/>
          <w:szCs w:val="24"/>
        </w:rPr>
      </w:pPr>
      <w:r>
        <w:rPr>
          <w:rFonts w:ascii="Arial" w:hAnsi="Arial" w:cs="Arial"/>
          <w:sz w:val="24"/>
          <w:szCs w:val="24"/>
        </w:rPr>
        <w:t>Metodologia</w:t>
      </w:r>
    </w:p>
    <w:p w14:paraId="16843520" w14:textId="77777777" w:rsidR="008A1E3C" w:rsidRPr="00182D6F" w:rsidRDefault="008A1E3C" w:rsidP="008A1E3C">
      <w:pPr>
        <w:numPr>
          <w:ilvl w:val="1"/>
          <w:numId w:val="1"/>
        </w:numPr>
        <w:spacing w:line="240" w:lineRule="auto"/>
        <w:jc w:val="both"/>
        <w:rPr>
          <w:rFonts w:ascii="Arial" w:hAnsi="Arial" w:cs="Arial"/>
          <w:sz w:val="24"/>
          <w:szCs w:val="24"/>
        </w:rPr>
      </w:pPr>
      <w:r w:rsidRPr="00182D6F">
        <w:rPr>
          <w:rFonts w:ascii="Arial" w:hAnsi="Arial" w:cs="Arial"/>
          <w:sz w:val="24"/>
          <w:szCs w:val="24"/>
        </w:rPr>
        <w:t>Desenho do estudo</w:t>
      </w:r>
    </w:p>
    <w:p w14:paraId="68F6D142" w14:textId="77777777" w:rsidR="008A1E3C" w:rsidRDefault="008A1E3C" w:rsidP="008A1E3C">
      <w:pPr>
        <w:spacing w:line="240" w:lineRule="auto"/>
        <w:ind w:left="360"/>
        <w:jc w:val="both"/>
        <w:rPr>
          <w:rFonts w:ascii="Arial" w:hAnsi="Arial" w:cs="Arial"/>
          <w:sz w:val="24"/>
          <w:szCs w:val="24"/>
        </w:rPr>
      </w:pPr>
      <w:r w:rsidRPr="00182D6F">
        <w:rPr>
          <w:rFonts w:ascii="Arial" w:hAnsi="Arial" w:cs="Arial"/>
          <w:sz w:val="24"/>
          <w:szCs w:val="24"/>
        </w:rPr>
        <w:t>Trata-se de um estudo retrospectivo, observacional e analítico, realizado a partir da análise de dados de prontuários médicos de pacientes pediátricos com diagnóstico de Doença Inflamatória Intestinal (DII), acompanhados em ambulatório terciário de gastroenterologia pediátrica.</w:t>
      </w:r>
    </w:p>
    <w:p w14:paraId="5FC6B980" w14:textId="77777777" w:rsidR="008A1E3C" w:rsidRPr="00182D6F" w:rsidRDefault="008A1E3C" w:rsidP="008A1E3C">
      <w:pPr>
        <w:spacing w:line="240" w:lineRule="auto"/>
        <w:ind w:left="360"/>
        <w:jc w:val="both"/>
        <w:rPr>
          <w:rFonts w:ascii="Arial" w:hAnsi="Arial" w:cs="Arial"/>
          <w:sz w:val="24"/>
          <w:szCs w:val="24"/>
        </w:rPr>
      </w:pPr>
    </w:p>
    <w:p w14:paraId="65C74C3F" w14:textId="77777777" w:rsidR="008A1E3C" w:rsidRPr="00182D6F" w:rsidRDefault="008A1E3C" w:rsidP="008A1E3C">
      <w:pPr>
        <w:numPr>
          <w:ilvl w:val="1"/>
          <w:numId w:val="1"/>
        </w:numPr>
        <w:spacing w:line="240" w:lineRule="auto"/>
        <w:jc w:val="both"/>
        <w:rPr>
          <w:rFonts w:ascii="Arial" w:hAnsi="Arial" w:cs="Arial"/>
          <w:sz w:val="24"/>
          <w:szCs w:val="24"/>
        </w:rPr>
      </w:pPr>
      <w:r w:rsidRPr="00182D6F">
        <w:rPr>
          <w:rFonts w:ascii="Arial" w:hAnsi="Arial" w:cs="Arial"/>
          <w:sz w:val="24"/>
          <w:szCs w:val="24"/>
        </w:rPr>
        <w:t>Local do estudo</w:t>
      </w:r>
    </w:p>
    <w:p w14:paraId="29C50A8B" w14:textId="1D461008" w:rsidR="008A1E3C" w:rsidRPr="00182D6F" w:rsidRDefault="008A1E3C" w:rsidP="008A1E3C">
      <w:pPr>
        <w:spacing w:line="240" w:lineRule="auto"/>
        <w:ind w:left="360"/>
        <w:jc w:val="both"/>
        <w:rPr>
          <w:rFonts w:ascii="Arial" w:hAnsi="Arial" w:cs="Arial"/>
          <w:sz w:val="24"/>
          <w:szCs w:val="24"/>
        </w:rPr>
      </w:pPr>
      <w:r w:rsidRPr="00182D6F">
        <w:rPr>
          <w:rFonts w:ascii="Arial" w:hAnsi="Arial" w:cs="Arial"/>
          <w:sz w:val="24"/>
          <w:szCs w:val="24"/>
        </w:rPr>
        <w:t xml:space="preserve">O estudo </w:t>
      </w:r>
      <w:r w:rsidR="0026587C">
        <w:rPr>
          <w:rFonts w:ascii="Arial" w:hAnsi="Arial" w:cs="Arial"/>
          <w:sz w:val="24"/>
          <w:szCs w:val="24"/>
        </w:rPr>
        <w:t>será</w:t>
      </w:r>
      <w:r w:rsidRPr="00182D6F">
        <w:rPr>
          <w:rFonts w:ascii="Arial" w:hAnsi="Arial" w:cs="Arial"/>
          <w:sz w:val="24"/>
          <w:szCs w:val="24"/>
        </w:rPr>
        <w:t xml:space="preserve"> conduzido no </w:t>
      </w:r>
      <w:r>
        <w:rPr>
          <w:rFonts w:ascii="Arial" w:hAnsi="Arial" w:cs="Arial"/>
          <w:sz w:val="24"/>
          <w:szCs w:val="24"/>
        </w:rPr>
        <w:t>A</w:t>
      </w:r>
      <w:r w:rsidRPr="00182D6F">
        <w:rPr>
          <w:rFonts w:ascii="Arial" w:hAnsi="Arial" w:cs="Arial"/>
          <w:sz w:val="24"/>
          <w:szCs w:val="24"/>
        </w:rPr>
        <w:t xml:space="preserve">mbulatório de </w:t>
      </w:r>
      <w:r>
        <w:rPr>
          <w:rFonts w:ascii="Arial" w:hAnsi="Arial" w:cs="Arial"/>
          <w:sz w:val="24"/>
          <w:szCs w:val="24"/>
        </w:rPr>
        <w:t>G</w:t>
      </w:r>
      <w:r w:rsidRPr="00182D6F">
        <w:rPr>
          <w:rFonts w:ascii="Arial" w:hAnsi="Arial" w:cs="Arial"/>
          <w:sz w:val="24"/>
          <w:szCs w:val="24"/>
        </w:rPr>
        <w:t xml:space="preserve">astroenterologia </w:t>
      </w:r>
      <w:r>
        <w:rPr>
          <w:rFonts w:ascii="Arial" w:hAnsi="Arial" w:cs="Arial"/>
          <w:sz w:val="24"/>
          <w:szCs w:val="24"/>
        </w:rPr>
        <w:t>P</w:t>
      </w:r>
      <w:r w:rsidRPr="00182D6F">
        <w:rPr>
          <w:rFonts w:ascii="Arial" w:hAnsi="Arial" w:cs="Arial"/>
          <w:sz w:val="24"/>
          <w:szCs w:val="24"/>
        </w:rPr>
        <w:t>ediátrica da UNICAMP, serviço de referência terciária para o acompanhamento de pacientes com doenças gastrointestinais crônicas na infância e adolescência.</w:t>
      </w:r>
    </w:p>
    <w:p w14:paraId="0732416E" w14:textId="77777777" w:rsidR="008A1E3C" w:rsidRPr="00182D6F" w:rsidRDefault="008A1E3C" w:rsidP="008A1E3C">
      <w:pPr>
        <w:spacing w:line="240" w:lineRule="auto"/>
        <w:ind w:left="360"/>
        <w:jc w:val="both"/>
        <w:rPr>
          <w:rFonts w:ascii="Arial" w:hAnsi="Arial" w:cs="Arial"/>
          <w:sz w:val="24"/>
          <w:szCs w:val="24"/>
        </w:rPr>
      </w:pPr>
    </w:p>
    <w:p w14:paraId="2E04BEA7" w14:textId="77777777" w:rsidR="008A1E3C" w:rsidRPr="00182D6F" w:rsidRDefault="008A1E3C" w:rsidP="008A1E3C">
      <w:pPr>
        <w:numPr>
          <w:ilvl w:val="1"/>
          <w:numId w:val="1"/>
        </w:numPr>
        <w:spacing w:line="240" w:lineRule="auto"/>
        <w:jc w:val="both"/>
        <w:rPr>
          <w:rFonts w:ascii="Arial" w:hAnsi="Arial" w:cs="Arial"/>
          <w:sz w:val="24"/>
          <w:szCs w:val="24"/>
        </w:rPr>
      </w:pPr>
      <w:r w:rsidRPr="00182D6F">
        <w:rPr>
          <w:rFonts w:ascii="Arial" w:hAnsi="Arial" w:cs="Arial"/>
          <w:sz w:val="24"/>
          <w:szCs w:val="24"/>
        </w:rPr>
        <w:t>População e amostra</w:t>
      </w:r>
    </w:p>
    <w:p w14:paraId="0712CE29" w14:textId="77777777" w:rsidR="008A1E3C" w:rsidRPr="00182D6F" w:rsidRDefault="008A1E3C" w:rsidP="008A1E3C">
      <w:pPr>
        <w:spacing w:line="240" w:lineRule="auto"/>
        <w:ind w:left="360"/>
        <w:jc w:val="both"/>
        <w:rPr>
          <w:rFonts w:ascii="Arial" w:hAnsi="Arial" w:cs="Arial"/>
          <w:sz w:val="24"/>
          <w:szCs w:val="24"/>
        </w:rPr>
      </w:pPr>
    </w:p>
    <w:p w14:paraId="777BA4ED" w14:textId="54D07AA1" w:rsidR="008A1E3C" w:rsidRPr="00182D6F" w:rsidRDefault="00BF11C3" w:rsidP="008A1E3C">
      <w:pPr>
        <w:spacing w:line="240" w:lineRule="auto"/>
        <w:ind w:left="360"/>
        <w:jc w:val="both"/>
        <w:rPr>
          <w:rFonts w:ascii="Arial" w:hAnsi="Arial" w:cs="Arial"/>
          <w:sz w:val="24"/>
          <w:szCs w:val="24"/>
        </w:rPr>
      </w:pPr>
      <w:r>
        <w:rPr>
          <w:rFonts w:ascii="Arial" w:hAnsi="Arial" w:cs="Arial"/>
          <w:sz w:val="24"/>
          <w:szCs w:val="24"/>
        </w:rPr>
        <w:t>Serão</w:t>
      </w:r>
      <w:r w:rsidR="008A1E3C" w:rsidRPr="00182D6F">
        <w:rPr>
          <w:rFonts w:ascii="Arial" w:hAnsi="Arial" w:cs="Arial"/>
          <w:sz w:val="24"/>
          <w:szCs w:val="24"/>
        </w:rPr>
        <w:t xml:space="preserve"> incluídos pacientes pediátricos, definidos como indivíduos com idade inferior a 18 anos no momento do diagnóstico, com diagnóstico de Doença </w:t>
      </w:r>
      <w:r w:rsidR="008A1E3C" w:rsidRPr="00182D6F">
        <w:rPr>
          <w:rFonts w:ascii="Arial" w:hAnsi="Arial" w:cs="Arial"/>
          <w:sz w:val="24"/>
          <w:szCs w:val="24"/>
        </w:rPr>
        <w:lastRenderedPageBreak/>
        <w:t xml:space="preserve">Inflamatória Intestinal, incluindo </w:t>
      </w:r>
      <w:r w:rsidR="008A1E3C">
        <w:rPr>
          <w:rFonts w:ascii="Arial" w:hAnsi="Arial" w:cs="Arial"/>
          <w:sz w:val="24"/>
          <w:szCs w:val="24"/>
        </w:rPr>
        <w:t xml:space="preserve">Colite não especificada, </w:t>
      </w:r>
      <w:r w:rsidR="008A1E3C" w:rsidRPr="00182D6F">
        <w:rPr>
          <w:rFonts w:ascii="Arial" w:hAnsi="Arial" w:cs="Arial"/>
          <w:sz w:val="24"/>
          <w:szCs w:val="24"/>
        </w:rPr>
        <w:t>Doença de Crohn e Retocolite Ulcerativa, acompanhados no referido ambulatório.</w:t>
      </w:r>
    </w:p>
    <w:p w14:paraId="5D73147A" w14:textId="2FDD1D18" w:rsidR="008A1E3C" w:rsidRPr="00182D6F" w:rsidRDefault="008A1E3C" w:rsidP="008A1E3C">
      <w:pPr>
        <w:spacing w:line="240" w:lineRule="auto"/>
        <w:ind w:left="360"/>
        <w:jc w:val="both"/>
        <w:rPr>
          <w:rFonts w:ascii="Arial" w:hAnsi="Arial" w:cs="Arial"/>
          <w:sz w:val="24"/>
          <w:szCs w:val="24"/>
        </w:rPr>
      </w:pPr>
      <w:r w:rsidRPr="00182D6F">
        <w:rPr>
          <w:rFonts w:ascii="Arial" w:hAnsi="Arial" w:cs="Arial"/>
          <w:sz w:val="24"/>
          <w:szCs w:val="24"/>
        </w:rPr>
        <w:t xml:space="preserve">A amostra </w:t>
      </w:r>
      <w:r w:rsidR="00D17AE8">
        <w:rPr>
          <w:rFonts w:ascii="Arial" w:hAnsi="Arial" w:cs="Arial"/>
          <w:sz w:val="24"/>
          <w:szCs w:val="24"/>
        </w:rPr>
        <w:t>será</w:t>
      </w:r>
      <w:r w:rsidRPr="00182D6F">
        <w:rPr>
          <w:rFonts w:ascii="Arial" w:hAnsi="Arial" w:cs="Arial"/>
          <w:sz w:val="24"/>
          <w:szCs w:val="24"/>
        </w:rPr>
        <w:t xml:space="preserve"> composta por 103 pacientes que mantinham seguimento ativo no ambulatório de gastroenterologia pediátrica até o ano de 202</w:t>
      </w:r>
      <w:r>
        <w:rPr>
          <w:rFonts w:ascii="Arial" w:hAnsi="Arial" w:cs="Arial"/>
          <w:sz w:val="24"/>
          <w:szCs w:val="24"/>
        </w:rPr>
        <w:t>6</w:t>
      </w:r>
      <w:r w:rsidRPr="00182D6F">
        <w:rPr>
          <w:rFonts w:ascii="Arial" w:hAnsi="Arial" w:cs="Arial"/>
          <w:sz w:val="24"/>
          <w:szCs w:val="24"/>
        </w:rPr>
        <w:t>.</w:t>
      </w:r>
    </w:p>
    <w:p w14:paraId="22E57A3E" w14:textId="77777777" w:rsidR="008A1E3C" w:rsidRPr="00182D6F" w:rsidRDefault="008A1E3C" w:rsidP="008A1E3C">
      <w:pPr>
        <w:spacing w:line="240" w:lineRule="auto"/>
        <w:ind w:left="360"/>
        <w:jc w:val="both"/>
        <w:rPr>
          <w:rFonts w:ascii="Arial" w:hAnsi="Arial" w:cs="Arial"/>
          <w:sz w:val="24"/>
          <w:szCs w:val="24"/>
        </w:rPr>
      </w:pPr>
    </w:p>
    <w:p w14:paraId="588F61E8" w14:textId="77777777" w:rsidR="008A1E3C" w:rsidRPr="00182D6F" w:rsidRDefault="008A1E3C" w:rsidP="008A1E3C">
      <w:pPr>
        <w:numPr>
          <w:ilvl w:val="1"/>
          <w:numId w:val="1"/>
        </w:numPr>
        <w:spacing w:line="240" w:lineRule="auto"/>
        <w:jc w:val="both"/>
        <w:rPr>
          <w:rFonts w:ascii="Arial" w:hAnsi="Arial" w:cs="Arial"/>
          <w:sz w:val="24"/>
          <w:szCs w:val="24"/>
        </w:rPr>
      </w:pPr>
      <w:r w:rsidRPr="00182D6F">
        <w:rPr>
          <w:rFonts w:ascii="Arial" w:hAnsi="Arial" w:cs="Arial"/>
          <w:sz w:val="24"/>
          <w:szCs w:val="24"/>
        </w:rPr>
        <w:t>Critérios de inclusão</w:t>
      </w:r>
    </w:p>
    <w:p w14:paraId="0FABE2C4" w14:textId="0605EE3D" w:rsidR="008A1E3C" w:rsidRDefault="00D17AE8" w:rsidP="008A1E3C">
      <w:pPr>
        <w:spacing w:line="240" w:lineRule="auto"/>
        <w:ind w:left="360"/>
        <w:jc w:val="both"/>
        <w:rPr>
          <w:rFonts w:ascii="Arial" w:hAnsi="Arial" w:cs="Arial"/>
          <w:sz w:val="24"/>
          <w:szCs w:val="24"/>
        </w:rPr>
      </w:pPr>
      <w:r>
        <w:rPr>
          <w:rFonts w:ascii="Arial" w:hAnsi="Arial" w:cs="Arial"/>
          <w:sz w:val="24"/>
          <w:szCs w:val="24"/>
        </w:rPr>
        <w:t>Serão</w:t>
      </w:r>
      <w:r w:rsidR="008A1E3C" w:rsidRPr="00182D6F">
        <w:rPr>
          <w:rFonts w:ascii="Arial" w:hAnsi="Arial" w:cs="Arial"/>
          <w:sz w:val="24"/>
          <w:szCs w:val="24"/>
        </w:rPr>
        <w:t xml:space="preserve"> incluídos no estudo pacientes que preencher</w:t>
      </w:r>
      <w:r w:rsidR="00E45C18">
        <w:rPr>
          <w:rFonts w:ascii="Arial" w:hAnsi="Arial" w:cs="Arial"/>
          <w:sz w:val="24"/>
          <w:szCs w:val="24"/>
        </w:rPr>
        <w:t>e</w:t>
      </w:r>
      <w:r w:rsidR="008A1E3C" w:rsidRPr="00182D6F">
        <w:rPr>
          <w:rFonts w:ascii="Arial" w:hAnsi="Arial" w:cs="Arial"/>
          <w:sz w:val="24"/>
          <w:szCs w:val="24"/>
        </w:rPr>
        <w:t>m os seguintes critérios:</w:t>
      </w:r>
    </w:p>
    <w:p w14:paraId="502738BE" w14:textId="77777777" w:rsidR="008A1E3C" w:rsidRPr="00182D6F" w:rsidRDefault="008A1E3C" w:rsidP="008A1E3C">
      <w:pPr>
        <w:spacing w:line="240" w:lineRule="auto"/>
        <w:ind w:left="360"/>
        <w:jc w:val="both"/>
        <w:rPr>
          <w:rFonts w:ascii="Arial" w:hAnsi="Arial" w:cs="Arial"/>
          <w:sz w:val="24"/>
          <w:szCs w:val="24"/>
        </w:rPr>
      </w:pPr>
      <w:r>
        <w:rPr>
          <w:rFonts w:ascii="Arial" w:hAnsi="Arial" w:cs="Arial"/>
          <w:sz w:val="24"/>
          <w:szCs w:val="24"/>
        </w:rPr>
        <w:t>- I</w:t>
      </w:r>
      <w:r w:rsidRPr="00182D6F">
        <w:rPr>
          <w:rFonts w:ascii="Arial" w:hAnsi="Arial" w:cs="Arial"/>
          <w:sz w:val="24"/>
          <w:szCs w:val="24"/>
        </w:rPr>
        <w:t>dade inferior a 18 anos no momento do diagnóstico;</w:t>
      </w:r>
    </w:p>
    <w:p w14:paraId="0BB8AC11" w14:textId="77777777" w:rsidR="008A1E3C" w:rsidRPr="00182D6F" w:rsidRDefault="008A1E3C" w:rsidP="008A1E3C">
      <w:pPr>
        <w:spacing w:line="240" w:lineRule="auto"/>
        <w:ind w:left="360"/>
        <w:jc w:val="both"/>
        <w:rPr>
          <w:rFonts w:ascii="Arial" w:hAnsi="Arial" w:cs="Arial"/>
          <w:sz w:val="24"/>
          <w:szCs w:val="24"/>
        </w:rPr>
      </w:pPr>
      <w:r>
        <w:rPr>
          <w:rFonts w:ascii="Arial" w:hAnsi="Arial" w:cs="Arial"/>
          <w:sz w:val="24"/>
          <w:szCs w:val="24"/>
        </w:rPr>
        <w:t>- D</w:t>
      </w:r>
      <w:r w:rsidRPr="00182D6F">
        <w:rPr>
          <w:rFonts w:ascii="Arial" w:hAnsi="Arial" w:cs="Arial"/>
          <w:sz w:val="24"/>
          <w:szCs w:val="24"/>
        </w:rPr>
        <w:t>iagnóstico de Doença Inflamatória Intestinal confirmado por colonoscopia e/ou endoscopia digestiva alta com biópsia;</w:t>
      </w:r>
    </w:p>
    <w:p w14:paraId="46ADAFE3" w14:textId="77777777" w:rsidR="008A1E3C" w:rsidRDefault="008A1E3C" w:rsidP="008A1E3C">
      <w:pPr>
        <w:spacing w:line="240" w:lineRule="auto"/>
        <w:ind w:left="360"/>
        <w:jc w:val="both"/>
        <w:rPr>
          <w:rFonts w:ascii="Arial" w:hAnsi="Arial" w:cs="Arial"/>
          <w:sz w:val="24"/>
          <w:szCs w:val="24"/>
        </w:rPr>
      </w:pPr>
      <w:r>
        <w:rPr>
          <w:rFonts w:ascii="Arial" w:hAnsi="Arial" w:cs="Arial"/>
          <w:sz w:val="24"/>
          <w:szCs w:val="24"/>
        </w:rPr>
        <w:t>- A</w:t>
      </w:r>
      <w:r w:rsidRPr="00182D6F">
        <w:rPr>
          <w:rFonts w:ascii="Arial" w:hAnsi="Arial" w:cs="Arial"/>
          <w:sz w:val="24"/>
          <w:szCs w:val="24"/>
        </w:rPr>
        <w:t>companhamento no ambulatório de gastroenterologia pediátrica da UNICAMP;</w:t>
      </w:r>
    </w:p>
    <w:p w14:paraId="10417BA6" w14:textId="77777777" w:rsidR="008A1E3C" w:rsidRPr="00182D6F" w:rsidRDefault="008A1E3C" w:rsidP="008A1E3C">
      <w:pPr>
        <w:spacing w:line="240" w:lineRule="auto"/>
        <w:ind w:left="360"/>
        <w:jc w:val="both"/>
        <w:rPr>
          <w:rFonts w:ascii="Arial" w:hAnsi="Arial" w:cs="Arial"/>
          <w:sz w:val="24"/>
          <w:szCs w:val="24"/>
        </w:rPr>
      </w:pPr>
      <w:r>
        <w:rPr>
          <w:rFonts w:ascii="Arial" w:hAnsi="Arial" w:cs="Arial"/>
          <w:sz w:val="24"/>
          <w:szCs w:val="24"/>
        </w:rPr>
        <w:t>-D</w:t>
      </w:r>
      <w:r w:rsidRPr="00182D6F">
        <w:rPr>
          <w:rFonts w:ascii="Arial" w:hAnsi="Arial" w:cs="Arial"/>
          <w:sz w:val="24"/>
          <w:szCs w:val="24"/>
        </w:rPr>
        <w:t>isponibilidade de dados clínicos suficientes nos prontuários para análise das manifestações clínicas iniciais e das datas de início dos sintomas e do diagnóstico.</w:t>
      </w:r>
    </w:p>
    <w:p w14:paraId="3B313D29" w14:textId="7DBEFDCD" w:rsidR="008A1E3C" w:rsidRPr="00182D6F" w:rsidRDefault="00D618EB" w:rsidP="008A1E3C">
      <w:pPr>
        <w:spacing w:line="240" w:lineRule="auto"/>
        <w:ind w:left="360"/>
        <w:jc w:val="both"/>
        <w:rPr>
          <w:rFonts w:ascii="Arial" w:hAnsi="Arial" w:cs="Arial"/>
          <w:sz w:val="24"/>
          <w:szCs w:val="24"/>
        </w:rPr>
      </w:pPr>
      <w:r>
        <w:rPr>
          <w:rFonts w:ascii="Arial" w:hAnsi="Arial" w:cs="Arial"/>
          <w:sz w:val="24"/>
          <w:szCs w:val="24"/>
        </w:rPr>
        <w:t xml:space="preserve">-Anuência em participar do estudo </w:t>
      </w:r>
      <w:r w:rsidR="002E204E">
        <w:rPr>
          <w:rFonts w:ascii="Arial" w:hAnsi="Arial" w:cs="Arial"/>
          <w:sz w:val="24"/>
          <w:szCs w:val="24"/>
        </w:rPr>
        <w:t>firmada pela assinatura do TCLE e TALE</w:t>
      </w:r>
    </w:p>
    <w:p w14:paraId="6B042E06" w14:textId="77777777" w:rsidR="008A1E3C" w:rsidRPr="00182D6F" w:rsidRDefault="008A1E3C" w:rsidP="008A1E3C">
      <w:pPr>
        <w:numPr>
          <w:ilvl w:val="1"/>
          <w:numId w:val="1"/>
        </w:numPr>
        <w:spacing w:line="240" w:lineRule="auto"/>
        <w:jc w:val="both"/>
        <w:rPr>
          <w:rFonts w:ascii="Arial" w:hAnsi="Arial" w:cs="Arial"/>
          <w:sz w:val="24"/>
          <w:szCs w:val="24"/>
        </w:rPr>
      </w:pPr>
      <w:r w:rsidRPr="00182D6F">
        <w:rPr>
          <w:rFonts w:ascii="Arial" w:hAnsi="Arial" w:cs="Arial"/>
          <w:sz w:val="24"/>
          <w:szCs w:val="24"/>
        </w:rPr>
        <w:t>Critérios de exclusão</w:t>
      </w:r>
    </w:p>
    <w:p w14:paraId="1A669E1C" w14:textId="67BCAC07" w:rsidR="008A1E3C" w:rsidRPr="00182D6F" w:rsidRDefault="00215A71" w:rsidP="008A1E3C">
      <w:pPr>
        <w:spacing w:line="240" w:lineRule="auto"/>
        <w:ind w:left="360"/>
        <w:jc w:val="both"/>
        <w:rPr>
          <w:rFonts w:ascii="Arial" w:hAnsi="Arial" w:cs="Arial"/>
          <w:sz w:val="24"/>
          <w:szCs w:val="24"/>
        </w:rPr>
      </w:pPr>
      <w:r>
        <w:rPr>
          <w:rFonts w:ascii="Arial" w:hAnsi="Arial" w:cs="Arial"/>
          <w:sz w:val="24"/>
          <w:szCs w:val="24"/>
        </w:rPr>
        <w:t>Serão</w:t>
      </w:r>
      <w:r w:rsidR="008A1E3C" w:rsidRPr="00182D6F">
        <w:rPr>
          <w:rFonts w:ascii="Arial" w:hAnsi="Arial" w:cs="Arial"/>
          <w:sz w:val="24"/>
          <w:szCs w:val="24"/>
        </w:rPr>
        <w:t xml:space="preserve"> excluídos pacientes com prontuários incompletos, que não permitir</w:t>
      </w:r>
      <w:r>
        <w:rPr>
          <w:rFonts w:ascii="Arial" w:hAnsi="Arial" w:cs="Arial"/>
          <w:sz w:val="24"/>
          <w:szCs w:val="24"/>
        </w:rPr>
        <w:t>e</w:t>
      </w:r>
      <w:r w:rsidR="008A1E3C" w:rsidRPr="00182D6F">
        <w:rPr>
          <w:rFonts w:ascii="Arial" w:hAnsi="Arial" w:cs="Arial"/>
          <w:sz w:val="24"/>
          <w:szCs w:val="24"/>
        </w:rPr>
        <w:t>m a determinação do intervalo entre o início das manifestações clínicas e o diagnóstico.</w:t>
      </w:r>
    </w:p>
    <w:p w14:paraId="6DCC4A72" w14:textId="062A318E" w:rsidR="008A1E3C" w:rsidRPr="00182D6F" w:rsidRDefault="008A1E3C" w:rsidP="008A1E3C">
      <w:pPr>
        <w:spacing w:line="240" w:lineRule="auto"/>
        <w:ind w:left="360"/>
        <w:jc w:val="both"/>
        <w:rPr>
          <w:rFonts w:ascii="Arial" w:hAnsi="Arial" w:cs="Arial"/>
          <w:sz w:val="24"/>
          <w:szCs w:val="24"/>
        </w:rPr>
      </w:pPr>
      <w:r w:rsidRPr="00CB2260">
        <w:rPr>
          <w:rFonts w:ascii="Arial" w:hAnsi="Arial" w:cs="Arial"/>
          <w:color w:val="EE0000"/>
          <w:sz w:val="24"/>
          <w:szCs w:val="24"/>
        </w:rPr>
        <w:t xml:space="preserve">Também </w:t>
      </w:r>
      <w:r w:rsidR="00CB2260" w:rsidRPr="00CB2260">
        <w:rPr>
          <w:rFonts w:ascii="Arial" w:hAnsi="Arial" w:cs="Arial"/>
          <w:color w:val="EE0000"/>
          <w:sz w:val="24"/>
          <w:szCs w:val="24"/>
        </w:rPr>
        <w:t>serão</w:t>
      </w:r>
      <w:r w:rsidRPr="00CB2260">
        <w:rPr>
          <w:rFonts w:ascii="Arial" w:hAnsi="Arial" w:cs="Arial"/>
          <w:color w:val="EE0000"/>
          <w:sz w:val="24"/>
          <w:szCs w:val="24"/>
        </w:rPr>
        <w:t xml:space="preserve"> excluídos pacientes que perderam seguimento no ambulatório de gastroenterologia pediátrica, seja por transição para o ambulatório de adultos ou por interrupção do acompanhamento na instituição</w:t>
      </w:r>
      <w:r w:rsidR="003772DC">
        <w:rPr>
          <w:rFonts w:ascii="Arial" w:hAnsi="Arial" w:cs="Arial"/>
          <w:sz w:val="24"/>
          <w:szCs w:val="24"/>
        </w:rPr>
        <w:t xml:space="preserve"> </w:t>
      </w:r>
      <w:r w:rsidR="003772DC" w:rsidRPr="003772DC">
        <w:rPr>
          <w:rFonts w:ascii="Arial" w:hAnsi="Arial" w:cs="Arial"/>
          <w:sz w:val="24"/>
          <w:szCs w:val="24"/>
        </w:rPr>
        <w:sym w:font="Wingdings" w:char="F0E0"/>
      </w:r>
      <w:r w:rsidR="003772DC">
        <w:rPr>
          <w:rFonts w:ascii="Arial" w:hAnsi="Arial" w:cs="Arial"/>
          <w:sz w:val="24"/>
          <w:szCs w:val="24"/>
        </w:rPr>
        <w:t xml:space="preserve"> não precisa excluir esses casos</w:t>
      </w:r>
      <w:r w:rsidRPr="00182D6F">
        <w:rPr>
          <w:rFonts w:ascii="Arial" w:hAnsi="Arial" w:cs="Arial"/>
          <w:sz w:val="24"/>
          <w:szCs w:val="24"/>
        </w:rPr>
        <w:t>.</w:t>
      </w:r>
    </w:p>
    <w:p w14:paraId="5150F30C" w14:textId="77777777" w:rsidR="008A1E3C" w:rsidRPr="00182D6F" w:rsidRDefault="008A1E3C" w:rsidP="008A1E3C">
      <w:pPr>
        <w:spacing w:line="240" w:lineRule="auto"/>
        <w:ind w:left="360"/>
        <w:jc w:val="both"/>
        <w:rPr>
          <w:rFonts w:ascii="Arial" w:hAnsi="Arial" w:cs="Arial"/>
          <w:sz w:val="24"/>
          <w:szCs w:val="24"/>
        </w:rPr>
      </w:pPr>
    </w:p>
    <w:p w14:paraId="2988E21C" w14:textId="77777777" w:rsidR="008A1E3C" w:rsidRPr="00182D6F" w:rsidRDefault="008A1E3C" w:rsidP="008A1E3C">
      <w:pPr>
        <w:numPr>
          <w:ilvl w:val="1"/>
          <w:numId w:val="1"/>
        </w:numPr>
        <w:spacing w:line="240" w:lineRule="auto"/>
        <w:jc w:val="both"/>
        <w:rPr>
          <w:rFonts w:ascii="Arial" w:hAnsi="Arial" w:cs="Arial"/>
          <w:sz w:val="24"/>
          <w:szCs w:val="24"/>
        </w:rPr>
      </w:pPr>
      <w:r>
        <w:rPr>
          <w:rFonts w:ascii="Arial" w:hAnsi="Arial" w:cs="Arial"/>
          <w:sz w:val="24"/>
          <w:szCs w:val="24"/>
        </w:rPr>
        <w:t xml:space="preserve"> </w:t>
      </w:r>
      <w:r w:rsidRPr="00182D6F">
        <w:rPr>
          <w:rFonts w:ascii="Arial" w:hAnsi="Arial" w:cs="Arial"/>
          <w:sz w:val="24"/>
          <w:szCs w:val="24"/>
        </w:rPr>
        <w:t>Coleta de dados</w:t>
      </w:r>
    </w:p>
    <w:p w14:paraId="03572258" w14:textId="65DCB9CB" w:rsidR="008A1E3C" w:rsidRDefault="008A1E3C" w:rsidP="008A1E3C">
      <w:pPr>
        <w:spacing w:line="240" w:lineRule="auto"/>
        <w:ind w:left="360"/>
        <w:jc w:val="both"/>
        <w:rPr>
          <w:rFonts w:ascii="Arial" w:hAnsi="Arial" w:cs="Arial"/>
          <w:sz w:val="24"/>
          <w:szCs w:val="24"/>
        </w:rPr>
      </w:pPr>
      <w:r w:rsidRPr="00182D6F">
        <w:rPr>
          <w:rFonts w:ascii="Arial" w:hAnsi="Arial" w:cs="Arial"/>
          <w:sz w:val="24"/>
          <w:szCs w:val="24"/>
        </w:rPr>
        <w:t xml:space="preserve">A coleta de dados </w:t>
      </w:r>
      <w:r w:rsidR="0057773B">
        <w:rPr>
          <w:rFonts w:ascii="Arial" w:hAnsi="Arial" w:cs="Arial"/>
          <w:sz w:val="24"/>
          <w:szCs w:val="24"/>
        </w:rPr>
        <w:t>será</w:t>
      </w:r>
      <w:r w:rsidRPr="00182D6F">
        <w:rPr>
          <w:rFonts w:ascii="Arial" w:hAnsi="Arial" w:cs="Arial"/>
          <w:sz w:val="24"/>
          <w:szCs w:val="24"/>
        </w:rPr>
        <w:t xml:space="preserve"> realizada por meio da revisão sistemática dos prontuários médicos, utilizando formulário padronizado previamente elaborado. </w:t>
      </w:r>
      <w:r w:rsidR="0057773B">
        <w:rPr>
          <w:rFonts w:ascii="Arial" w:hAnsi="Arial" w:cs="Arial"/>
          <w:sz w:val="24"/>
          <w:szCs w:val="24"/>
        </w:rPr>
        <w:t>Serão</w:t>
      </w:r>
      <w:r w:rsidRPr="00182D6F">
        <w:rPr>
          <w:rFonts w:ascii="Arial" w:hAnsi="Arial" w:cs="Arial"/>
          <w:sz w:val="24"/>
          <w:szCs w:val="24"/>
        </w:rPr>
        <w:t xml:space="preserve"> coletadas as seguintes variáveis:</w:t>
      </w:r>
    </w:p>
    <w:p w14:paraId="40CD3919" w14:textId="77777777" w:rsidR="008A1E3C" w:rsidRDefault="008A1E3C" w:rsidP="008A1E3C">
      <w:pPr>
        <w:numPr>
          <w:ilvl w:val="0"/>
          <w:numId w:val="3"/>
        </w:numPr>
        <w:spacing w:line="240" w:lineRule="auto"/>
        <w:jc w:val="both"/>
        <w:rPr>
          <w:rFonts w:ascii="Arial" w:hAnsi="Arial" w:cs="Arial"/>
          <w:sz w:val="24"/>
          <w:szCs w:val="24"/>
        </w:rPr>
      </w:pPr>
      <w:r>
        <w:rPr>
          <w:rFonts w:ascii="Arial" w:hAnsi="Arial" w:cs="Arial"/>
          <w:sz w:val="24"/>
          <w:szCs w:val="24"/>
        </w:rPr>
        <w:t>D</w:t>
      </w:r>
      <w:r w:rsidRPr="00182D6F">
        <w:rPr>
          <w:rFonts w:ascii="Arial" w:hAnsi="Arial" w:cs="Arial"/>
          <w:sz w:val="24"/>
          <w:szCs w:val="24"/>
        </w:rPr>
        <w:t>ados demográficos (idade e sexo);</w:t>
      </w:r>
    </w:p>
    <w:p w14:paraId="1C145797" w14:textId="549E2D77" w:rsidR="008A1E3C" w:rsidRDefault="008A1E3C" w:rsidP="008A1E3C">
      <w:pPr>
        <w:numPr>
          <w:ilvl w:val="0"/>
          <w:numId w:val="3"/>
        </w:numPr>
        <w:spacing w:line="240" w:lineRule="auto"/>
        <w:jc w:val="both"/>
        <w:rPr>
          <w:rFonts w:ascii="Arial" w:hAnsi="Arial" w:cs="Arial"/>
          <w:sz w:val="24"/>
          <w:szCs w:val="24"/>
        </w:rPr>
      </w:pPr>
      <w:r w:rsidRPr="006A4A98">
        <w:rPr>
          <w:rFonts w:ascii="Arial" w:hAnsi="Arial" w:cs="Arial"/>
          <w:sz w:val="24"/>
          <w:szCs w:val="24"/>
        </w:rPr>
        <w:t>Tipo de Doença Inflamatória Intestinal (</w:t>
      </w:r>
      <w:r w:rsidR="009D0334">
        <w:rPr>
          <w:rFonts w:ascii="Arial" w:hAnsi="Arial" w:cs="Arial"/>
          <w:sz w:val="24"/>
          <w:szCs w:val="24"/>
        </w:rPr>
        <w:t xml:space="preserve">Colite Indeterminada, </w:t>
      </w:r>
      <w:r w:rsidRPr="006A4A98">
        <w:rPr>
          <w:rFonts w:ascii="Arial" w:hAnsi="Arial" w:cs="Arial"/>
          <w:sz w:val="24"/>
          <w:szCs w:val="24"/>
        </w:rPr>
        <w:t>Doença de Crohn ou Retocolite Ulcerativa);</w:t>
      </w:r>
    </w:p>
    <w:p w14:paraId="5370F7B9" w14:textId="77777777" w:rsidR="008A1E3C" w:rsidRDefault="008A1E3C" w:rsidP="008A1E3C">
      <w:pPr>
        <w:numPr>
          <w:ilvl w:val="0"/>
          <w:numId w:val="3"/>
        </w:numPr>
        <w:spacing w:line="240" w:lineRule="auto"/>
        <w:jc w:val="both"/>
        <w:rPr>
          <w:rFonts w:ascii="Arial" w:hAnsi="Arial" w:cs="Arial"/>
          <w:sz w:val="24"/>
          <w:szCs w:val="24"/>
        </w:rPr>
      </w:pPr>
      <w:r w:rsidRPr="006A4A98">
        <w:rPr>
          <w:rFonts w:ascii="Arial" w:hAnsi="Arial" w:cs="Arial"/>
          <w:sz w:val="24"/>
          <w:szCs w:val="24"/>
        </w:rPr>
        <w:t>Manifestações clínicas iniciais, incluindo sintomas intestinais e extraintestinais;</w:t>
      </w:r>
    </w:p>
    <w:p w14:paraId="2FDC5311" w14:textId="77777777" w:rsidR="008A1E3C" w:rsidRDefault="008A1E3C" w:rsidP="008A1E3C">
      <w:pPr>
        <w:numPr>
          <w:ilvl w:val="0"/>
          <w:numId w:val="3"/>
        </w:numPr>
        <w:spacing w:line="240" w:lineRule="auto"/>
        <w:jc w:val="both"/>
        <w:rPr>
          <w:rFonts w:ascii="Arial" w:hAnsi="Arial" w:cs="Arial"/>
          <w:sz w:val="24"/>
          <w:szCs w:val="24"/>
        </w:rPr>
      </w:pPr>
      <w:r>
        <w:rPr>
          <w:rFonts w:ascii="Arial" w:hAnsi="Arial" w:cs="Arial"/>
          <w:sz w:val="24"/>
          <w:szCs w:val="24"/>
        </w:rPr>
        <w:t>D</w:t>
      </w:r>
      <w:r w:rsidRPr="006A4A98">
        <w:rPr>
          <w:rFonts w:ascii="Arial" w:hAnsi="Arial" w:cs="Arial"/>
          <w:sz w:val="24"/>
          <w:szCs w:val="24"/>
        </w:rPr>
        <w:t>ata referida de início dos sintomas;</w:t>
      </w:r>
    </w:p>
    <w:p w14:paraId="326B8B5E" w14:textId="77777777" w:rsidR="008A1E3C" w:rsidRDefault="008A1E3C" w:rsidP="008A1E3C">
      <w:pPr>
        <w:numPr>
          <w:ilvl w:val="0"/>
          <w:numId w:val="3"/>
        </w:numPr>
        <w:spacing w:line="240" w:lineRule="auto"/>
        <w:jc w:val="both"/>
        <w:rPr>
          <w:rFonts w:ascii="Arial" w:hAnsi="Arial" w:cs="Arial"/>
          <w:sz w:val="24"/>
          <w:szCs w:val="24"/>
        </w:rPr>
      </w:pPr>
      <w:r>
        <w:rPr>
          <w:rFonts w:ascii="Arial" w:hAnsi="Arial" w:cs="Arial"/>
          <w:sz w:val="24"/>
          <w:szCs w:val="24"/>
        </w:rPr>
        <w:t>D</w:t>
      </w:r>
      <w:r w:rsidRPr="006A4A98">
        <w:rPr>
          <w:rFonts w:ascii="Arial" w:hAnsi="Arial" w:cs="Arial"/>
          <w:sz w:val="24"/>
          <w:szCs w:val="24"/>
        </w:rPr>
        <w:t>ata do diagnóstico da Doença Inflamatória Intestinal;</w:t>
      </w:r>
    </w:p>
    <w:p w14:paraId="62CE66F8" w14:textId="77777777" w:rsidR="008A1E3C" w:rsidRDefault="008A1E3C" w:rsidP="008A1E3C">
      <w:pPr>
        <w:numPr>
          <w:ilvl w:val="0"/>
          <w:numId w:val="3"/>
        </w:numPr>
        <w:spacing w:line="240" w:lineRule="auto"/>
        <w:jc w:val="both"/>
        <w:rPr>
          <w:rFonts w:ascii="Arial" w:hAnsi="Arial" w:cs="Arial"/>
          <w:sz w:val="24"/>
          <w:szCs w:val="24"/>
        </w:rPr>
      </w:pPr>
      <w:r>
        <w:rPr>
          <w:rFonts w:ascii="Arial" w:hAnsi="Arial" w:cs="Arial"/>
          <w:sz w:val="24"/>
          <w:szCs w:val="24"/>
        </w:rPr>
        <w:t>M</w:t>
      </w:r>
      <w:r w:rsidRPr="006A4A98">
        <w:rPr>
          <w:rFonts w:ascii="Arial" w:hAnsi="Arial" w:cs="Arial"/>
          <w:sz w:val="24"/>
          <w:szCs w:val="24"/>
        </w:rPr>
        <w:t>étodo diagnóstico utilizado, com ênfase na confirmação endoscópica e histopatológica.</w:t>
      </w:r>
    </w:p>
    <w:p w14:paraId="23511F6C" w14:textId="77777777" w:rsidR="008A1E3C" w:rsidRPr="006A4A98" w:rsidRDefault="008A1E3C" w:rsidP="008A1E3C">
      <w:pPr>
        <w:spacing w:line="240" w:lineRule="auto"/>
        <w:ind w:left="360"/>
        <w:jc w:val="both"/>
        <w:rPr>
          <w:rFonts w:ascii="Arial" w:hAnsi="Arial" w:cs="Arial"/>
          <w:sz w:val="24"/>
          <w:szCs w:val="24"/>
        </w:rPr>
      </w:pPr>
      <w:r w:rsidRPr="006A4A98">
        <w:rPr>
          <w:rFonts w:ascii="Arial" w:hAnsi="Arial" w:cs="Arial"/>
          <w:sz w:val="24"/>
          <w:szCs w:val="24"/>
        </w:rPr>
        <w:lastRenderedPageBreak/>
        <w:t>O tempo até o diagnóstico foi definido como o intervalo, em meses, entre a data de início das manifestações clínicas iniciais e a data do diagnóstico definitivo da doença.</w:t>
      </w:r>
    </w:p>
    <w:p w14:paraId="7A2F3837" w14:textId="77777777" w:rsidR="008A1E3C" w:rsidRPr="00182D6F" w:rsidRDefault="008A1E3C" w:rsidP="008A1E3C">
      <w:pPr>
        <w:spacing w:line="240" w:lineRule="auto"/>
        <w:ind w:left="360"/>
        <w:jc w:val="both"/>
        <w:rPr>
          <w:rFonts w:ascii="Arial" w:hAnsi="Arial" w:cs="Arial"/>
          <w:sz w:val="24"/>
          <w:szCs w:val="24"/>
        </w:rPr>
      </w:pPr>
    </w:p>
    <w:p w14:paraId="008C88DA" w14:textId="77777777" w:rsidR="008A1E3C" w:rsidRPr="00182D6F" w:rsidRDefault="008A1E3C" w:rsidP="008A1E3C">
      <w:pPr>
        <w:numPr>
          <w:ilvl w:val="1"/>
          <w:numId w:val="1"/>
        </w:numPr>
        <w:spacing w:line="240" w:lineRule="auto"/>
        <w:jc w:val="both"/>
        <w:rPr>
          <w:rFonts w:ascii="Arial" w:hAnsi="Arial" w:cs="Arial"/>
          <w:sz w:val="24"/>
          <w:szCs w:val="24"/>
        </w:rPr>
      </w:pPr>
      <w:r w:rsidRPr="00182D6F">
        <w:rPr>
          <w:rFonts w:ascii="Arial" w:hAnsi="Arial" w:cs="Arial"/>
          <w:sz w:val="24"/>
          <w:szCs w:val="24"/>
        </w:rPr>
        <w:t>Análise dos dados</w:t>
      </w:r>
    </w:p>
    <w:p w14:paraId="4E3493D1" w14:textId="77777777" w:rsidR="008A1E3C" w:rsidRPr="00182D6F" w:rsidRDefault="008A1E3C" w:rsidP="008A1E3C">
      <w:pPr>
        <w:spacing w:line="240" w:lineRule="auto"/>
        <w:ind w:left="360"/>
        <w:jc w:val="both"/>
        <w:rPr>
          <w:rFonts w:ascii="Arial" w:hAnsi="Arial" w:cs="Arial"/>
          <w:sz w:val="24"/>
          <w:szCs w:val="24"/>
        </w:rPr>
      </w:pPr>
    </w:p>
    <w:p w14:paraId="5217A0C7" w14:textId="77777777" w:rsidR="008A1E3C" w:rsidRDefault="008A1E3C" w:rsidP="008A1E3C">
      <w:pPr>
        <w:numPr>
          <w:ilvl w:val="1"/>
          <w:numId w:val="1"/>
        </w:numPr>
        <w:spacing w:line="240" w:lineRule="auto"/>
        <w:jc w:val="both"/>
        <w:rPr>
          <w:rFonts w:ascii="Arial" w:hAnsi="Arial" w:cs="Arial"/>
          <w:sz w:val="24"/>
          <w:szCs w:val="24"/>
        </w:rPr>
      </w:pPr>
      <w:r w:rsidRPr="00182D6F">
        <w:rPr>
          <w:rFonts w:ascii="Arial" w:hAnsi="Arial" w:cs="Arial"/>
          <w:sz w:val="24"/>
          <w:szCs w:val="24"/>
        </w:rPr>
        <w:t>Aspectos éticos</w:t>
      </w:r>
    </w:p>
    <w:p w14:paraId="135CD652" w14:textId="7E93232A" w:rsidR="008A1E3C" w:rsidRPr="006A4A98" w:rsidRDefault="00AD4E33" w:rsidP="008A1E3C">
      <w:pPr>
        <w:spacing w:line="240" w:lineRule="auto"/>
        <w:ind w:left="360"/>
        <w:jc w:val="both"/>
        <w:rPr>
          <w:rFonts w:ascii="Arial" w:hAnsi="Arial" w:cs="Arial"/>
          <w:sz w:val="24"/>
          <w:szCs w:val="24"/>
        </w:rPr>
      </w:pPr>
      <w:r w:rsidRPr="00AD4E33">
        <w:rPr>
          <w:rFonts w:ascii="Arial" w:hAnsi="Arial" w:cs="Arial"/>
          <w:sz w:val="24"/>
          <w:szCs w:val="24"/>
        </w:rPr>
        <w:t>O estudo foi conduzido em conformidade com os princípios éticos da Declaração de Helsinque e com as normas vigentes para pesquisas envolvendo seres humanos. O projeto foi submetido à Plataforma Brasil e encaminhado ao Comitê de Ética em Pesquisa da Universidade Estadual de Campinas para apreciação, sob o Certificado de Apresentação de Apreciação Ética (CAAE) nº XXXXXXXX. Será realizada a aplicação do Termo de Consentimento Livre e Esclarecido aos</w:t>
      </w:r>
      <w:r>
        <w:rPr>
          <w:rFonts w:ascii="Arial" w:hAnsi="Arial" w:cs="Arial"/>
          <w:sz w:val="24"/>
          <w:szCs w:val="24"/>
        </w:rPr>
        <w:t xml:space="preserve"> </w:t>
      </w:r>
      <w:r w:rsidRPr="00AD4E33">
        <w:rPr>
          <w:rFonts w:ascii="Arial" w:hAnsi="Arial" w:cs="Arial"/>
          <w:sz w:val="24"/>
          <w:szCs w:val="24"/>
        </w:rPr>
        <w:t>responsáveis legais</w:t>
      </w:r>
      <w:r>
        <w:rPr>
          <w:rFonts w:ascii="Arial" w:hAnsi="Arial" w:cs="Arial"/>
          <w:sz w:val="24"/>
          <w:szCs w:val="24"/>
        </w:rPr>
        <w:t xml:space="preserve"> dos participantes</w:t>
      </w:r>
      <w:r w:rsidRPr="00AD4E33">
        <w:rPr>
          <w:rFonts w:ascii="Arial" w:hAnsi="Arial" w:cs="Arial"/>
          <w:sz w:val="24"/>
          <w:szCs w:val="24"/>
        </w:rPr>
        <w:t>, garantindo o respeito aos aspectos éticos, à confidencialidade das informações e à proteção da identidade dos pacientes.</w:t>
      </w:r>
    </w:p>
    <w:p w14:paraId="6B96CF58" w14:textId="77777777" w:rsidR="008A1E3C" w:rsidRDefault="008A1E3C" w:rsidP="008A1E3C">
      <w:pPr>
        <w:numPr>
          <w:ilvl w:val="0"/>
          <w:numId w:val="1"/>
        </w:numPr>
        <w:spacing w:line="240" w:lineRule="auto"/>
        <w:jc w:val="both"/>
        <w:rPr>
          <w:rFonts w:ascii="Arial" w:hAnsi="Arial" w:cs="Arial"/>
          <w:sz w:val="24"/>
          <w:szCs w:val="24"/>
        </w:rPr>
      </w:pPr>
      <w:r>
        <w:rPr>
          <w:rFonts w:ascii="Arial" w:hAnsi="Arial" w:cs="Arial"/>
          <w:sz w:val="24"/>
          <w:szCs w:val="24"/>
        </w:rPr>
        <w:t>Resultados</w:t>
      </w:r>
    </w:p>
    <w:p w14:paraId="76DD2D0C" w14:textId="77777777" w:rsidR="00BC4AAC" w:rsidRDefault="00BC4AAC" w:rsidP="00BC4AAC">
      <w:pPr>
        <w:spacing w:line="240" w:lineRule="auto"/>
        <w:ind w:left="720"/>
        <w:jc w:val="both"/>
        <w:rPr>
          <w:rFonts w:ascii="Arial" w:hAnsi="Arial" w:cs="Arial"/>
          <w:sz w:val="24"/>
          <w:szCs w:val="24"/>
        </w:rPr>
      </w:pPr>
    </w:p>
    <w:p w14:paraId="516425CD" w14:textId="77777777" w:rsidR="00BC4AAC" w:rsidRDefault="00BC4AAC" w:rsidP="00BC4AAC">
      <w:pPr>
        <w:spacing w:line="240" w:lineRule="auto"/>
        <w:ind w:left="720"/>
        <w:jc w:val="both"/>
        <w:rPr>
          <w:rFonts w:ascii="Arial" w:hAnsi="Arial" w:cs="Arial"/>
          <w:sz w:val="24"/>
          <w:szCs w:val="24"/>
        </w:rPr>
      </w:pPr>
    </w:p>
    <w:p w14:paraId="65EF2A30" w14:textId="77777777" w:rsidR="00BC4AAC" w:rsidRDefault="00BC4AAC" w:rsidP="00BC4AAC">
      <w:pPr>
        <w:spacing w:line="240" w:lineRule="auto"/>
        <w:ind w:left="720"/>
        <w:jc w:val="both"/>
        <w:rPr>
          <w:rFonts w:ascii="Arial" w:hAnsi="Arial" w:cs="Arial"/>
          <w:sz w:val="24"/>
          <w:szCs w:val="24"/>
        </w:rPr>
      </w:pPr>
    </w:p>
    <w:p w14:paraId="139D4EB8" w14:textId="77777777" w:rsidR="008A1E3C" w:rsidRDefault="008A1E3C" w:rsidP="008A1E3C">
      <w:pPr>
        <w:numPr>
          <w:ilvl w:val="0"/>
          <w:numId w:val="1"/>
        </w:numPr>
        <w:spacing w:line="240" w:lineRule="auto"/>
        <w:jc w:val="both"/>
        <w:rPr>
          <w:rFonts w:ascii="Arial" w:hAnsi="Arial" w:cs="Arial"/>
          <w:sz w:val="24"/>
          <w:szCs w:val="24"/>
        </w:rPr>
      </w:pPr>
      <w:r>
        <w:rPr>
          <w:rFonts w:ascii="Arial" w:hAnsi="Arial" w:cs="Arial"/>
          <w:sz w:val="24"/>
          <w:szCs w:val="24"/>
        </w:rPr>
        <w:t>Discussão</w:t>
      </w:r>
    </w:p>
    <w:p w14:paraId="3840D935" w14:textId="77777777" w:rsidR="00BC4AAC" w:rsidRDefault="00BC4AAC" w:rsidP="00BC4AAC">
      <w:pPr>
        <w:spacing w:line="240" w:lineRule="auto"/>
        <w:ind w:left="720"/>
        <w:jc w:val="both"/>
        <w:rPr>
          <w:rFonts w:ascii="Arial" w:hAnsi="Arial" w:cs="Arial"/>
          <w:sz w:val="24"/>
          <w:szCs w:val="24"/>
        </w:rPr>
      </w:pPr>
    </w:p>
    <w:p w14:paraId="5C69875A" w14:textId="77777777" w:rsidR="00BC4AAC" w:rsidRDefault="00BC4AAC" w:rsidP="00BC4AAC">
      <w:pPr>
        <w:spacing w:line="240" w:lineRule="auto"/>
        <w:ind w:left="720"/>
        <w:jc w:val="both"/>
        <w:rPr>
          <w:rFonts w:ascii="Arial" w:hAnsi="Arial" w:cs="Arial"/>
          <w:sz w:val="24"/>
          <w:szCs w:val="24"/>
        </w:rPr>
      </w:pPr>
    </w:p>
    <w:p w14:paraId="0D727124" w14:textId="77777777" w:rsidR="00BC4AAC" w:rsidRDefault="00BC4AAC" w:rsidP="00BC4AAC">
      <w:pPr>
        <w:spacing w:line="240" w:lineRule="auto"/>
        <w:ind w:left="720"/>
        <w:jc w:val="both"/>
        <w:rPr>
          <w:rFonts w:ascii="Arial" w:hAnsi="Arial" w:cs="Arial"/>
          <w:sz w:val="24"/>
          <w:szCs w:val="24"/>
        </w:rPr>
      </w:pPr>
    </w:p>
    <w:p w14:paraId="14E1A41D" w14:textId="77777777" w:rsidR="008A1E3C" w:rsidRDefault="008A1E3C" w:rsidP="008A1E3C">
      <w:pPr>
        <w:numPr>
          <w:ilvl w:val="0"/>
          <w:numId w:val="1"/>
        </w:numPr>
        <w:spacing w:line="240" w:lineRule="auto"/>
        <w:jc w:val="both"/>
        <w:rPr>
          <w:rFonts w:ascii="Arial" w:hAnsi="Arial" w:cs="Arial"/>
          <w:sz w:val="24"/>
          <w:szCs w:val="24"/>
        </w:rPr>
      </w:pPr>
      <w:r>
        <w:rPr>
          <w:rFonts w:ascii="Arial" w:hAnsi="Arial" w:cs="Arial"/>
          <w:sz w:val="24"/>
          <w:szCs w:val="24"/>
        </w:rPr>
        <w:t>Conclusão</w:t>
      </w:r>
    </w:p>
    <w:p w14:paraId="59AA0684" w14:textId="77777777" w:rsidR="00BC4AAC" w:rsidRDefault="00BC4AAC" w:rsidP="00BC4AAC">
      <w:pPr>
        <w:spacing w:line="240" w:lineRule="auto"/>
        <w:ind w:left="720"/>
        <w:jc w:val="both"/>
        <w:rPr>
          <w:rFonts w:ascii="Arial" w:hAnsi="Arial" w:cs="Arial"/>
          <w:sz w:val="24"/>
          <w:szCs w:val="24"/>
        </w:rPr>
      </w:pPr>
    </w:p>
    <w:p w14:paraId="7EE80396" w14:textId="77777777" w:rsidR="00BC4AAC" w:rsidRDefault="00BC4AAC" w:rsidP="00BC4AAC">
      <w:pPr>
        <w:spacing w:line="240" w:lineRule="auto"/>
        <w:ind w:left="720"/>
        <w:jc w:val="both"/>
        <w:rPr>
          <w:rFonts w:ascii="Arial" w:hAnsi="Arial" w:cs="Arial"/>
          <w:sz w:val="24"/>
          <w:szCs w:val="24"/>
        </w:rPr>
      </w:pPr>
    </w:p>
    <w:p w14:paraId="65CA73F2" w14:textId="77777777" w:rsidR="00BC4AAC" w:rsidRDefault="00BC4AAC" w:rsidP="00BC4AAC">
      <w:pPr>
        <w:spacing w:line="240" w:lineRule="auto"/>
        <w:ind w:left="720"/>
        <w:jc w:val="both"/>
        <w:rPr>
          <w:rFonts w:ascii="Arial" w:hAnsi="Arial" w:cs="Arial"/>
          <w:sz w:val="24"/>
          <w:szCs w:val="24"/>
        </w:rPr>
      </w:pPr>
    </w:p>
    <w:p w14:paraId="2F61BA03" w14:textId="77777777" w:rsidR="008A1E3C" w:rsidRDefault="008A1E3C" w:rsidP="008A1E3C">
      <w:pPr>
        <w:numPr>
          <w:ilvl w:val="0"/>
          <w:numId w:val="1"/>
        </w:numPr>
        <w:spacing w:line="240" w:lineRule="auto"/>
        <w:jc w:val="both"/>
        <w:rPr>
          <w:rFonts w:ascii="Arial" w:hAnsi="Arial" w:cs="Arial"/>
          <w:sz w:val="24"/>
          <w:szCs w:val="24"/>
        </w:rPr>
      </w:pPr>
      <w:r>
        <w:rPr>
          <w:rFonts w:ascii="Arial" w:hAnsi="Arial" w:cs="Arial"/>
          <w:sz w:val="24"/>
          <w:szCs w:val="24"/>
        </w:rPr>
        <w:t>Referências</w:t>
      </w:r>
    </w:p>
    <w:p w14:paraId="5F0B4295" w14:textId="46FF9FDE" w:rsidR="00647AC3" w:rsidRPr="00046D25" w:rsidRDefault="00647AC3" w:rsidP="00046D25">
      <w:pPr>
        <w:pStyle w:val="PargrafodaLista"/>
        <w:numPr>
          <w:ilvl w:val="0"/>
          <w:numId w:val="8"/>
        </w:numPr>
        <w:spacing w:line="240" w:lineRule="auto"/>
        <w:jc w:val="both"/>
        <w:rPr>
          <w:rFonts w:ascii="Arial" w:hAnsi="Arial" w:cs="Arial"/>
          <w:sz w:val="24"/>
          <w:szCs w:val="24"/>
          <w:lang w:val="en-US"/>
        </w:rPr>
      </w:pPr>
      <w:r w:rsidRPr="00046D25">
        <w:rPr>
          <w:rFonts w:ascii="Arial" w:hAnsi="Arial" w:cs="Arial"/>
          <w:b/>
          <w:bCs/>
          <w:sz w:val="24"/>
          <w:szCs w:val="24"/>
          <w:lang w:val="en-US"/>
        </w:rPr>
        <w:t xml:space="preserve">BOUSVAROS, A. </w:t>
      </w:r>
      <w:r w:rsidRPr="00046D25">
        <w:rPr>
          <w:rFonts w:ascii="Arial" w:hAnsi="Arial" w:cs="Arial"/>
          <w:b/>
          <w:bCs/>
          <w:i/>
          <w:iCs/>
          <w:sz w:val="24"/>
          <w:szCs w:val="24"/>
          <w:lang w:val="en-US"/>
        </w:rPr>
        <w:t>et al</w:t>
      </w:r>
      <w:r w:rsidRPr="00046D25">
        <w:rPr>
          <w:rFonts w:ascii="Arial" w:hAnsi="Arial" w:cs="Arial"/>
          <w:i/>
          <w:iCs/>
          <w:sz w:val="24"/>
          <w:szCs w:val="24"/>
          <w:lang w:val="en-US"/>
        </w:rPr>
        <w:t>.</w:t>
      </w:r>
      <w:r w:rsidRPr="00046D25">
        <w:rPr>
          <w:rFonts w:ascii="Arial" w:hAnsi="Arial" w:cs="Arial"/>
          <w:sz w:val="24"/>
          <w:szCs w:val="24"/>
          <w:lang w:val="en-US"/>
        </w:rPr>
        <w:t xml:space="preserve">  Differentiating ulcerative colitis from Crohn disease in children and young adults: report of a working group of the North American Society for Pediatric Gastroenterology, Hepatology, and Nutrition and the Crohn's and Colitis Foundation of America. </w:t>
      </w:r>
      <w:r w:rsidRPr="00046D25">
        <w:rPr>
          <w:rFonts w:ascii="Arial" w:hAnsi="Arial" w:cs="Arial"/>
          <w:i/>
          <w:iCs/>
          <w:sz w:val="24"/>
          <w:szCs w:val="24"/>
          <w:lang w:val="en-US"/>
        </w:rPr>
        <w:t>Journal of Pediatric Gastroenterology and Nutrition</w:t>
      </w:r>
      <w:r w:rsidRPr="00046D25">
        <w:rPr>
          <w:rFonts w:ascii="Arial" w:hAnsi="Arial" w:cs="Arial"/>
          <w:sz w:val="24"/>
          <w:szCs w:val="24"/>
          <w:lang w:val="en-US"/>
        </w:rPr>
        <w:t>, v. 44, n. 5, p. 653-674, 2007. DOI: https://doi.org/10.1097/MPG.0b013e31805563f3</w:t>
      </w:r>
    </w:p>
    <w:p w14:paraId="4B8EBF47" w14:textId="70A3C10B" w:rsidR="00C21E70" w:rsidRPr="00046D25" w:rsidRDefault="00C21E70" w:rsidP="00046D25">
      <w:pPr>
        <w:pStyle w:val="PargrafodaLista"/>
        <w:numPr>
          <w:ilvl w:val="0"/>
          <w:numId w:val="8"/>
        </w:numPr>
        <w:spacing w:line="240" w:lineRule="auto"/>
        <w:jc w:val="both"/>
        <w:rPr>
          <w:rFonts w:ascii="Arial" w:hAnsi="Arial" w:cs="Arial"/>
          <w:sz w:val="24"/>
          <w:szCs w:val="24"/>
        </w:rPr>
      </w:pPr>
      <w:r w:rsidRPr="00046D25">
        <w:rPr>
          <w:rFonts w:ascii="Arial" w:hAnsi="Arial" w:cs="Arial"/>
          <w:b/>
          <w:bCs/>
          <w:sz w:val="24"/>
          <w:szCs w:val="24"/>
          <w:lang w:val="en-US"/>
        </w:rPr>
        <w:t>BOUHUYS, M. et al.</w:t>
      </w:r>
      <w:r w:rsidRPr="00046D25">
        <w:rPr>
          <w:rFonts w:ascii="Arial" w:hAnsi="Arial" w:cs="Arial"/>
          <w:sz w:val="24"/>
          <w:szCs w:val="24"/>
          <w:lang w:val="en-US"/>
        </w:rPr>
        <w:t xml:space="preserve"> Pediatric inflammatory bowel disease. </w:t>
      </w:r>
      <w:proofErr w:type="spellStart"/>
      <w:r w:rsidRPr="00046D25">
        <w:rPr>
          <w:rFonts w:ascii="Arial" w:hAnsi="Arial" w:cs="Arial"/>
          <w:i/>
          <w:iCs/>
          <w:sz w:val="24"/>
          <w:szCs w:val="24"/>
        </w:rPr>
        <w:t>Pediatrics</w:t>
      </w:r>
      <w:proofErr w:type="spellEnd"/>
      <w:r w:rsidRPr="00046D25">
        <w:rPr>
          <w:rFonts w:ascii="Arial" w:hAnsi="Arial" w:cs="Arial"/>
          <w:sz w:val="24"/>
          <w:szCs w:val="24"/>
        </w:rPr>
        <w:t xml:space="preserve">, v. 151, n. 1, e2022058037, 2023. DOI: </w:t>
      </w:r>
      <w:hyperlink r:id="rId5" w:history="1">
        <w:r w:rsidR="00BC4AAC" w:rsidRPr="00046D25">
          <w:rPr>
            <w:rStyle w:val="Hyperlink"/>
            <w:rFonts w:ascii="Arial" w:hAnsi="Arial" w:cs="Arial"/>
            <w:sz w:val="24"/>
            <w:szCs w:val="24"/>
          </w:rPr>
          <w:t>https://doi.org/10.1542/peds.2022-058037</w:t>
        </w:r>
      </w:hyperlink>
    </w:p>
    <w:p w14:paraId="547E8D60" w14:textId="77777777" w:rsidR="00046D25" w:rsidRDefault="00655428" w:rsidP="00655428">
      <w:pPr>
        <w:pStyle w:val="PargrafodaLista"/>
        <w:numPr>
          <w:ilvl w:val="0"/>
          <w:numId w:val="8"/>
        </w:numPr>
        <w:spacing w:line="240" w:lineRule="auto"/>
        <w:jc w:val="both"/>
        <w:rPr>
          <w:rFonts w:ascii="Arial" w:hAnsi="Arial" w:cs="Arial"/>
          <w:sz w:val="24"/>
          <w:szCs w:val="24"/>
          <w:lang w:val="en-US"/>
        </w:rPr>
      </w:pPr>
      <w:r w:rsidRPr="00046D25">
        <w:rPr>
          <w:rFonts w:ascii="Arial" w:hAnsi="Arial" w:cs="Arial"/>
          <w:b/>
          <w:bCs/>
          <w:sz w:val="24"/>
          <w:szCs w:val="24"/>
          <w:lang w:val="en-US"/>
        </w:rPr>
        <w:lastRenderedPageBreak/>
        <w:t>CHOI, S. Y. et al</w:t>
      </w:r>
      <w:r w:rsidRPr="00046D25">
        <w:rPr>
          <w:rFonts w:ascii="Arial" w:hAnsi="Arial" w:cs="Arial"/>
          <w:sz w:val="24"/>
          <w:szCs w:val="24"/>
          <w:lang w:val="en-US"/>
        </w:rPr>
        <w:t>. “</w:t>
      </w:r>
      <w:r w:rsidRPr="00046D25">
        <w:rPr>
          <w:rFonts w:ascii="Arial" w:hAnsi="Arial" w:cs="Arial"/>
          <w:i/>
          <w:iCs/>
          <w:sz w:val="24"/>
          <w:szCs w:val="24"/>
          <w:lang w:val="en-US"/>
        </w:rPr>
        <w:t>Delays in Diagnosing Pediatric Inflammatory Bowel Disease in Korea: Impact on Disease Severity and the Need for Early Recognition</w:t>
      </w:r>
      <w:r w:rsidRPr="00046D25">
        <w:rPr>
          <w:rFonts w:ascii="Arial" w:hAnsi="Arial" w:cs="Arial"/>
          <w:sz w:val="24"/>
          <w:szCs w:val="24"/>
          <w:lang w:val="en-US"/>
        </w:rPr>
        <w:t>.” </w:t>
      </w:r>
      <w:r w:rsidRPr="00046D25">
        <w:rPr>
          <w:rFonts w:ascii="Arial" w:hAnsi="Arial" w:cs="Arial"/>
          <w:i/>
          <w:iCs/>
          <w:sz w:val="24"/>
          <w:szCs w:val="24"/>
          <w:lang w:val="en-US"/>
        </w:rPr>
        <w:t>Journal of Korean medical science</w:t>
      </w:r>
      <w:r w:rsidRPr="00046D25">
        <w:rPr>
          <w:rFonts w:ascii="Arial" w:hAnsi="Arial" w:cs="Arial"/>
          <w:sz w:val="24"/>
          <w:szCs w:val="24"/>
          <w:lang w:val="en-US"/>
        </w:rPr>
        <w:t> vol. 41,7 e73. 23 Feb. 2026, doi:10.3346/jkms.2026.41.e73</w:t>
      </w:r>
      <w:r w:rsidR="00046D25">
        <w:rPr>
          <w:rFonts w:ascii="Arial" w:hAnsi="Arial" w:cs="Arial"/>
          <w:sz w:val="24"/>
          <w:szCs w:val="24"/>
          <w:lang w:val="en-US"/>
        </w:rPr>
        <w:t xml:space="preserve"> </w:t>
      </w:r>
    </w:p>
    <w:p w14:paraId="33600AEA" w14:textId="77777777" w:rsidR="00046D25" w:rsidRDefault="00EE3839" w:rsidP="00655428">
      <w:pPr>
        <w:pStyle w:val="PargrafodaLista"/>
        <w:numPr>
          <w:ilvl w:val="0"/>
          <w:numId w:val="8"/>
        </w:numPr>
        <w:spacing w:line="240" w:lineRule="auto"/>
        <w:jc w:val="both"/>
        <w:rPr>
          <w:rFonts w:ascii="Arial" w:hAnsi="Arial" w:cs="Arial"/>
          <w:sz w:val="24"/>
          <w:szCs w:val="24"/>
          <w:lang w:val="en-US"/>
        </w:rPr>
      </w:pPr>
      <w:r w:rsidRPr="00046D25">
        <w:rPr>
          <w:rFonts w:ascii="Arial" w:hAnsi="Arial" w:cs="Arial"/>
          <w:b/>
          <w:bCs/>
          <w:sz w:val="24"/>
          <w:szCs w:val="24"/>
          <w:lang w:val="en-US"/>
        </w:rPr>
        <w:t>MINEA, H. et al.</w:t>
      </w:r>
      <w:r w:rsidRPr="00046D25">
        <w:rPr>
          <w:rFonts w:ascii="Arial" w:hAnsi="Arial" w:cs="Arial"/>
          <w:sz w:val="24"/>
          <w:szCs w:val="24"/>
          <w:lang w:val="en-US"/>
        </w:rPr>
        <w:t xml:space="preserve"> Patient and physician factors contributing to delays in inflammatory bowel diseases: enhancing timely diagnosis. </w:t>
      </w:r>
      <w:r w:rsidRPr="00046D25">
        <w:rPr>
          <w:rFonts w:ascii="Arial" w:hAnsi="Arial" w:cs="Arial"/>
          <w:i/>
          <w:iCs/>
          <w:sz w:val="24"/>
          <w:szCs w:val="24"/>
          <w:lang w:val="en-US"/>
        </w:rPr>
        <w:t>World Journal of Gastroenterology</w:t>
      </w:r>
      <w:r w:rsidRPr="00046D25">
        <w:rPr>
          <w:rFonts w:ascii="Arial" w:hAnsi="Arial" w:cs="Arial"/>
          <w:sz w:val="24"/>
          <w:szCs w:val="24"/>
          <w:lang w:val="en-US"/>
        </w:rPr>
        <w:t>, v. 31, n. 6, p. 100295, 2025. DOI: 10.3748/wjg.v31.i6.100295.</w:t>
      </w:r>
    </w:p>
    <w:p w14:paraId="240D80FC" w14:textId="77777777" w:rsidR="00046D25" w:rsidRPr="00FC740C" w:rsidRDefault="00160D62" w:rsidP="00655428">
      <w:pPr>
        <w:pStyle w:val="PargrafodaLista"/>
        <w:numPr>
          <w:ilvl w:val="0"/>
          <w:numId w:val="8"/>
        </w:numPr>
        <w:spacing w:line="240" w:lineRule="auto"/>
        <w:jc w:val="both"/>
        <w:rPr>
          <w:lang w:val="en-US"/>
        </w:rPr>
      </w:pPr>
      <w:r w:rsidRPr="00160D62">
        <w:rPr>
          <w:rFonts w:ascii="Arial" w:hAnsi="Arial" w:cs="Arial"/>
          <w:sz w:val="24"/>
          <w:szCs w:val="24"/>
          <w:lang w:val="en-US"/>
        </w:rPr>
        <w:t>RICCIUTO, A.</w:t>
      </w:r>
      <w:r w:rsidR="00046D25" w:rsidRPr="00046D25">
        <w:rPr>
          <w:rFonts w:ascii="Arial" w:hAnsi="Arial" w:cs="Arial"/>
          <w:sz w:val="24"/>
          <w:szCs w:val="24"/>
          <w:lang w:val="en-US"/>
        </w:rPr>
        <w:t xml:space="preserve"> </w:t>
      </w:r>
      <w:r w:rsidRPr="00160D62">
        <w:rPr>
          <w:rFonts w:ascii="Arial" w:hAnsi="Arial" w:cs="Arial"/>
          <w:sz w:val="24"/>
          <w:szCs w:val="24"/>
          <w:lang w:val="en-US"/>
        </w:rPr>
        <w:t xml:space="preserve">et al. Diagnostic delay in Canadian children with inflammatory bowel disease is more common in Crohn’s disease and is associated with decreased height. </w:t>
      </w:r>
      <w:r w:rsidRPr="00160D62">
        <w:rPr>
          <w:rFonts w:ascii="Arial" w:hAnsi="Arial" w:cs="Arial"/>
          <w:i/>
          <w:iCs/>
          <w:sz w:val="24"/>
          <w:szCs w:val="24"/>
          <w:lang w:val="en-US"/>
        </w:rPr>
        <w:t>Archives of Disease in Childhood</w:t>
      </w:r>
      <w:r w:rsidRPr="00160D62">
        <w:rPr>
          <w:rFonts w:ascii="Arial" w:hAnsi="Arial" w:cs="Arial"/>
          <w:sz w:val="24"/>
          <w:szCs w:val="24"/>
          <w:lang w:val="en-US"/>
        </w:rPr>
        <w:t>, v. 103, n. 4, p. 319–326, 2018. DOI: 10.1136/archdischild-2017-313030.</w:t>
      </w:r>
    </w:p>
    <w:p w14:paraId="2D29EA14" w14:textId="77777777" w:rsidR="00046D25" w:rsidRPr="00FC740C" w:rsidRDefault="00C21E70" w:rsidP="00160D62">
      <w:pPr>
        <w:pStyle w:val="PargrafodaLista"/>
        <w:numPr>
          <w:ilvl w:val="0"/>
          <w:numId w:val="8"/>
        </w:numPr>
        <w:spacing w:line="240" w:lineRule="auto"/>
        <w:jc w:val="both"/>
        <w:rPr>
          <w:rFonts w:ascii="Arial" w:hAnsi="Arial" w:cs="Arial"/>
          <w:sz w:val="24"/>
          <w:szCs w:val="24"/>
        </w:rPr>
      </w:pPr>
      <w:r w:rsidRPr="00046D25">
        <w:rPr>
          <w:rFonts w:ascii="Arial" w:hAnsi="Arial" w:cs="Arial"/>
          <w:b/>
          <w:bCs/>
          <w:sz w:val="24"/>
          <w:szCs w:val="24"/>
          <w:lang w:val="en-US"/>
        </w:rPr>
        <w:t>ROSEN, M. J. et al.</w:t>
      </w:r>
      <w:r w:rsidRPr="00046D25">
        <w:rPr>
          <w:rFonts w:ascii="Arial" w:hAnsi="Arial" w:cs="Arial"/>
          <w:sz w:val="24"/>
          <w:szCs w:val="24"/>
          <w:lang w:val="en-US"/>
        </w:rPr>
        <w:t xml:space="preserve"> Inflammatory bowel disease in children and adolescents. </w:t>
      </w:r>
      <w:r w:rsidRPr="00046D25">
        <w:rPr>
          <w:rFonts w:ascii="Arial" w:hAnsi="Arial" w:cs="Arial"/>
          <w:i/>
          <w:iCs/>
          <w:sz w:val="24"/>
          <w:szCs w:val="24"/>
        </w:rPr>
        <w:t xml:space="preserve">JAMA </w:t>
      </w:r>
      <w:proofErr w:type="spellStart"/>
      <w:r w:rsidRPr="00046D25">
        <w:rPr>
          <w:rFonts w:ascii="Arial" w:hAnsi="Arial" w:cs="Arial"/>
          <w:i/>
          <w:iCs/>
          <w:sz w:val="24"/>
          <w:szCs w:val="24"/>
        </w:rPr>
        <w:t>Pediatrics</w:t>
      </w:r>
      <w:proofErr w:type="spellEnd"/>
      <w:r w:rsidRPr="00046D25">
        <w:rPr>
          <w:rFonts w:ascii="Arial" w:hAnsi="Arial" w:cs="Arial"/>
          <w:sz w:val="24"/>
          <w:szCs w:val="24"/>
        </w:rPr>
        <w:t xml:space="preserve">, v. 169, n. 11, p. 1053–1060, 2015. DOI: </w:t>
      </w:r>
      <w:hyperlink r:id="rId6" w:history="1">
        <w:r w:rsidR="00BC4AAC" w:rsidRPr="00046D25">
          <w:rPr>
            <w:rStyle w:val="Hyperlink"/>
            <w:rFonts w:ascii="Arial" w:hAnsi="Arial" w:cs="Arial"/>
            <w:sz w:val="24"/>
            <w:szCs w:val="24"/>
          </w:rPr>
          <w:t>https://doi.org/10.1001/jamapediatrics.2015.1982</w:t>
        </w:r>
      </w:hyperlink>
    </w:p>
    <w:p w14:paraId="66657910" w14:textId="77777777" w:rsidR="00046D25" w:rsidRDefault="00160D62" w:rsidP="00221B53">
      <w:pPr>
        <w:pStyle w:val="PargrafodaLista"/>
        <w:numPr>
          <w:ilvl w:val="0"/>
          <w:numId w:val="8"/>
        </w:numPr>
        <w:spacing w:line="240" w:lineRule="auto"/>
        <w:jc w:val="both"/>
        <w:rPr>
          <w:rFonts w:ascii="Arial" w:hAnsi="Arial" w:cs="Arial"/>
          <w:sz w:val="24"/>
          <w:szCs w:val="24"/>
          <w:lang w:val="en-US"/>
        </w:rPr>
      </w:pPr>
      <w:r w:rsidRPr="00160D62">
        <w:rPr>
          <w:rFonts w:ascii="Arial" w:hAnsi="Arial" w:cs="Arial"/>
          <w:sz w:val="24"/>
          <w:szCs w:val="24"/>
          <w:lang w:val="en-US"/>
        </w:rPr>
        <w:t>SULKANEN, H.</w:t>
      </w:r>
      <w:r w:rsidR="00046D25" w:rsidRPr="00046D25">
        <w:rPr>
          <w:rFonts w:ascii="Arial" w:hAnsi="Arial" w:cs="Arial"/>
          <w:sz w:val="24"/>
          <w:szCs w:val="24"/>
          <w:lang w:val="en-US"/>
        </w:rPr>
        <w:t xml:space="preserve"> </w:t>
      </w:r>
      <w:r w:rsidRPr="00160D62">
        <w:rPr>
          <w:rFonts w:ascii="Arial" w:hAnsi="Arial" w:cs="Arial"/>
          <w:sz w:val="24"/>
          <w:szCs w:val="24"/>
          <w:lang w:val="en-US"/>
        </w:rPr>
        <w:t xml:space="preserve">et al. Impact of diagnostic delay on the clinical presentation and associated factors in pediatric inflammatory bowel disease. </w:t>
      </w:r>
      <w:r w:rsidRPr="00160D62">
        <w:rPr>
          <w:rFonts w:ascii="Arial" w:hAnsi="Arial" w:cs="Arial"/>
          <w:i/>
          <w:iCs/>
          <w:sz w:val="24"/>
          <w:szCs w:val="24"/>
          <w:lang w:val="en-US"/>
        </w:rPr>
        <w:t>BMC Gastroenterology</w:t>
      </w:r>
      <w:r w:rsidRPr="00160D62">
        <w:rPr>
          <w:rFonts w:ascii="Arial" w:hAnsi="Arial" w:cs="Arial"/>
          <w:sz w:val="24"/>
          <w:szCs w:val="24"/>
          <w:lang w:val="en-US"/>
        </w:rPr>
        <w:t>, v. 21, n. 1, p. 1–9, 2021. DOI: 10.1186/s12876-021-01938-8.</w:t>
      </w:r>
    </w:p>
    <w:p w14:paraId="4D3557DF" w14:textId="77777777" w:rsidR="00046D25" w:rsidRPr="00046D25" w:rsidRDefault="00046D25" w:rsidP="00221B53">
      <w:pPr>
        <w:pStyle w:val="PargrafodaLista"/>
        <w:numPr>
          <w:ilvl w:val="0"/>
          <w:numId w:val="8"/>
        </w:numPr>
        <w:spacing w:line="240" w:lineRule="auto"/>
        <w:jc w:val="both"/>
        <w:rPr>
          <w:rFonts w:ascii="Arial" w:hAnsi="Arial" w:cs="Arial"/>
          <w:sz w:val="24"/>
          <w:szCs w:val="24"/>
          <w:lang w:val="en-US"/>
        </w:rPr>
      </w:pPr>
      <w:r w:rsidRPr="00046D25">
        <w:rPr>
          <w:rFonts w:ascii="Arial" w:hAnsi="Arial" w:cs="Arial"/>
          <w:sz w:val="24"/>
          <w:szCs w:val="24"/>
          <w:lang w:val="en-US"/>
        </w:rPr>
        <w:t xml:space="preserve">VAN LIMBERGEN, J. et al. Definition of phenotypic characteristics of childhood-onset inflammatory bowel disease. </w:t>
      </w:r>
      <w:proofErr w:type="spellStart"/>
      <w:r w:rsidRPr="00046D25">
        <w:rPr>
          <w:rFonts w:ascii="Arial" w:hAnsi="Arial" w:cs="Arial"/>
          <w:i/>
          <w:iCs/>
          <w:sz w:val="24"/>
          <w:szCs w:val="24"/>
        </w:rPr>
        <w:t>Gastroenterology</w:t>
      </w:r>
      <w:proofErr w:type="spellEnd"/>
      <w:r w:rsidRPr="00046D25">
        <w:rPr>
          <w:rFonts w:ascii="Arial" w:hAnsi="Arial" w:cs="Arial"/>
          <w:sz w:val="24"/>
          <w:szCs w:val="24"/>
        </w:rPr>
        <w:t>, v. 154, n. 3, p. 589–598, 2018. DOI: 10.1053/j.gastro.2017.10.023.</w:t>
      </w:r>
    </w:p>
    <w:p w14:paraId="4D225C46" w14:textId="77777777" w:rsidR="00046D25" w:rsidRDefault="00221B53" w:rsidP="00221B53">
      <w:pPr>
        <w:pStyle w:val="PargrafodaLista"/>
        <w:numPr>
          <w:ilvl w:val="0"/>
          <w:numId w:val="8"/>
        </w:numPr>
        <w:spacing w:line="240" w:lineRule="auto"/>
        <w:jc w:val="both"/>
        <w:rPr>
          <w:rFonts w:ascii="Arial" w:hAnsi="Arial" w:cs="Arial"/>
          <w:sz w:val="24"/>
          <w:szCs w:val="24"/>
          <w:lang w:val="en-US"/>
        </w:rPr>
      </w:pPr>
      <w:r w:rsidRPr="00046D25">
        <w:rPr>
          <w:rFonts w:ascii="Arial" w:hAnsi="Arial" w:cs="Arial"/>
          <w:b/>
          <w:bCs/>
          <w:sz w:val="24"/>
          <w:szCs w:val="24"/>
          <w:lang w:val="en-US"/>
        </w:rPr>
        <w:t xml:space="preserve">VERNON-ROBERTS, </w:t>
      </w:r>
      <w:r w:rsidR="00655428" w:rsidRPr="00046D25">
        <w:rPr>
          <w:rFonts w:ascii="Arial" w:hAnsi="Arial" w:cs="Arial"/>
          <w:b/>
          <w:bCs/>
          <w:sz w:val="24"/>
          <w:szCs w:val="24"/>
          <w:lang w:val="en-US"/>
        </w:rPr>
        <w:t>A. et al</w:t>
      </w:r>
      <w:r w:rsidRPr="00046D25">
        <w:rPr>
          <w:rFonts w:ascii="Arial" w:hAnsi="Arial" w:cs="Arial"/>
          <w:sz w:val="24"/>
          <w:szCs w:val="24"/>
          <w:lang w:val="en-US"/>
        </w:rPr>
        <w:t xml:space="preserve">. Systematic review of diagnostic delay for children with inflammatory bowel disease. </w:t>
      </w:r>
      <w:r w:rsidRPr="00046D25">
        <w:rPr>
          <w:rFonts w:ascii="Arial" w:hAnsi="Arial" w:cs="Arial"/>
          <w:i/>
          <w:iCs/>
          <w:sz w:val="24"/>
          <w:szCs w:val="24"/>
          <w:lang w:val="en-US"/>
        </w:rPr>
        <w:t>Journal of Pediatric Gastroenterology and Nutrition</w:t>
      </w:r>
      <w:r w:rsidRPr="00046D25">
        <w:rPr>
          <w:rFonts w:ascii="Arial" w:hAnsi="Arial" w:cs="Arial"/>
          <w:sz w:val="24"/>
          <w:szCs w:val="24"/>
          <w:lang w:val="en-US"/>
        </w:rPr>
        <w:t xml:space="preserve">, v. 76, n. 3, p. 304–312, 2023. DOI: </w:t>
      </w:r>
      <w:hyperlink r:id="rId7" w:history="1">
        <w:r w:rsidR="00E32646" w:rsidRPr="00046D25">
          <w:rPr>
            <w:rStyle w:val="Hyperlink"/>
            <w:rFonts w:ascii="Arial" w:hAnsi="Arial" w:cs="Arial"/>
            <w:sz w:val="24"/>
            <w:szCs w:val="24"/>
            <w:lang w:val="en-US"/>
          </w:rPr>
          <w:t>https://doi.org/10.1097/MPG.0000000000003670</w:t>
        </w:r>
      </w:hyperlink>
    </w:p>
    <w:p w14:paraId="3CF5408C" w14:textId="5D20C494" w:rsidR="00E32646" w:rsidRPr="00046D25" w:rsidRDefault="00E32646" w:rsidP="00221B53">
      <w:pPr>
        <w:pStyle w:val="PargrafodaLista"/>
        <w:numPr>
          <w:ilvl w:val="0"/>
          <w:numId w:val="8"/>
        </w:numPr>
        <w:spacing w:line="240" w:lineRule="auto"/>
        <w:jc w:val="both"/>
        <w:rPr>
          <w:rFonts w:ascii="Arial" w:hAnsi="Arial" w:cs="Arial"/>
          <w:sz w:val="24"/>
          <w:szCs w:val="24"/>
          <w:lang w:val="en-US"/>
        </w:rPr>
      </w:pPr>
      <w:r w:rsidRPr="00046D25">
        <w:rPr>
          <w:rFonts w:ascii="Arial" w:hAnsi="Arial" w:cs="Arial"/>
          <w:b/>
          <w:bCs/>
          <w:sz w:val="24"/>
          <w:szCs w:val="24"/>
          <w:lang w:val="en-US"/>
        </w:rPr>
        <w:t>ZAHARIE, R. et al.</w:t>
      </w:r>
      <w:r w:rsidRPr="00046D25">
        <w:rPr>
          <w:rFonts w:ascii="Arial" w:hAnsi="Arial" w:cs="Arial"/>
          <w:sz w:val="24"/>
          <w:szCs w:val="24"/>
          <w:lang w:val="en-US"/>
        </w:rPr>
        <w:t xml:space="preserve"> Diagnostic delay in Romanian patients with inflammatory bowel disease: risk factors and impact on the disease course and need for surgery. </w:t>
      </w:r>
      <w:r w:rsidRPr="00046D25">
        <w:rPr>
          <w:rFonts w:ascii="Arial" w:hAnsi="Arial" w:cs="Arial"/>
          <w:i/>
          <w:iCs/>
          <w:sz w:val="24"/>
          <w:szCs w:val="24"/>
          <w:lang w:val="en-US"/>
        </w:rPr>
        <w:t>Journal of Crohn’s and Colitis</w:t>
      </w:r>
      <w:r w:rsidRPr="00046D25">
        <w:rPr>
          <w:rFonts w:ascii="Arial" w:hAnsi="Arial" w:cs="Arial"/>
          <w:sz w:val="24"/>
          <w:szCs w:val="24"/>
          <w:lang w:val="en-US"/>
        </w:rPr>
        <w:t>, v. 10, n. 3, p. 306–314, 2016. DOI: 10.1093/</w:t>
      </w:r>
      <w:proofErr w:type="spellStart"/>
      <w:r w:rsidRPr="00046D25">
        <w:rPr>
          <w:rFonts w:ascii="Arial" w:hAnsi="Arial" w:cs="Arial"/>
          <w:sz w:val="24"/>
          <w:szCs w:val="24"/>
          <w:lang w:val="en-US"/>
        </w:rPr>
        <w:t>ecco-jcc</w:t>
      </w:r>
      <w:proofErr w:type="spellEnd"/>
      <w:r w:rsidRPr="00046D25">
        <w:rPr>
          <w:rFonts w:ascii="Arial" w:hAnsi="Arial" w:cs="Arial"/>
          <w:sz w:val="24"/>
          <w:szCs w:val="24"/>
          <w:lang w:val="en-US"/>
        </w:rPr>
        <w:t>/jjv215.</w:t>
      </w:r>
    </w:p>
    <w:sectPr w:rsidR="00E32646" w:rsidRPr="00046D2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34C21"/>
    <w:multiLevelType w:val="hybridMultilevel"/>
    <w:tmpl w:val="6EBC7C14"/>
    <w:lvl w:ilvl="0" w:tplc="B4187AE0">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933747C"/>
    <w:multiLevelType w:val="multilevel"/>
    <w:tmpl w:val="2A7C5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ED1010"/>
    <w:multiLevelType w:val="multilevel"/>
    <w:tmpl w:val="3C307D36"/>
    <w:lvl w:ilvl="0">
      <w:start w:val="1"/>
      <w:numFmt w:val="decimal"/>
      <w:lvlText w:val="%1."/>
      <w:lvlJc w:val="left"/>
      <w:pPr>
        <w:ind w:left="720" w:hanging="360"/>
      </w:pPr>
      <w:rPr>
        <w:rFonts w:hint="default"/>
        <w:b/>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228E6997"/>
    <w:multiLevelType w:val="multilevel"/>
    <w:tmpl w:val="20CC9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F643CE"/>
    <w:multiLevelType w:val="hybridMultilevel"/>
    <w:tmpl w:val="0A7470A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639C30BB"/>
    <w:multiLevelType w:val="multilevel"/>
    <w:tmpl w:val="6C603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9351B1"/>
    <w:multiLevelType w:val="multilevel"/>
    <w:tmpl w:val="80B0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9F5BF7"/>
    <w:multiLevelType w:val="multilevel"/>
    <w:tmpl w:val="CEF06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7018048">
    <w:abstractNumId w:val="2"/>
  </w:num>
  <w:num w:numId="2" w16cid:durableId="841353265">
    <w:abstractNumId w:val="3"/>
  </w:num>
  <w:num w:numId="3" w16cid:durableId="188377676">
    <w:abstractNumId w:val="4"/>
  </w:num>
  <w:num w:numId="4" w16cid:durableId="453908655">
    <w:abstractNumId w:val="5"/>
  </w:num>
  <w:num w:numId="5" w16cid:durableId="719670195">
    <w:abstractNumId w:val="1"/>
  </w:num>
  <w:num w:numId="6" w16cid:durableId="2071882195">
    <w:abstractNumId w:val="6"/>
  </w:num>
  <w:num w:numId="7" w16cid:durableId="72551217">
    <w:abstractNumId w:val="7"/>
  </w:num>
  <w:num w:numId="8" w16cid:durableId="1395155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E3C"/>
    <w:rsid w:val="0000145C"/>
    <w:rsid w:val="00046D25"/>
    <w:rsid w:val="00062C4B"/>
    <w:rsid w:val="000C0554"/>
    <w:rsid w:val="000E4A73"/>
    <w:rsid w:val="00160D62"/>
    <w:rsid w:val="00181669"/>
    <w:rsid w:val="00215A71"/>
    <w:rsid w:val="00221B53"/>
    <w:rsid w:val="0026587C"/>
    <w:rsid w:val="002E204E"/>
    <w:rsid w:val="00323C5D"/>
    <w:rsid w:val="003772DC"/>
    <w:rsid w:val="003A4093"/>
    <w:rsid w:val="003A717F"/>
    <w:rsid w:val="003B4FB6"/>
    <w:rsid w:val="004073B6"/>
    <w:rsid w:val="0045247E"/>
    <w:rsid w:val="0048429A"/>
    <w:rsid w:val="005562F7"/>
    <w:rsid w:val="0057773B"/>
    <w:rsid w:val="005B5C31"/>
    <w:rsid w:val="00642D5D"/>
    <w:rsid w:val="00644510"/>
    <w:rsid w:val="00647AC3"/>
    <w:rsid w:val="00652BE3"/>
    <w:rsid w:val="00655428"/>
    <w:rsid w:val="006A5B57"/>
    <w:rsid w:val="00710C33"/>
    <w:rsid w:val="00724260"/>
    <w:rsid w:val="00727303"/>
    <w:rsid w:val="00737D07"/>
    <w:rsid w:val="00747A00"/>
    <w:rsid w:val="007558C8"/>
    <w:rsid w:val="007A1D1A"/>
    <w:rsid w:val="007E6450"/>
    <w:rsid w:val="0081012F"/>
    <w:rsid w:val="008531E9"/>
    <w:rsid w:val="00880A24"/>
    <w:rsid w:val="00891013"/>
    <w:rsid w:val="008A1E3C"/>
    <w:rsid w:val="00977232"/>
    <w:rsid w:val="009A0DCF"/>
    <w:rsid w:val="009A7763"/>
    <w:rsid w:val="009D0334"/>
    <w:rsid w:val="009F257A"/>
    <w:rsid w:val="00A3207A"/>
    <w:rsid w:val="00AD4E33"/>
    <w:rsid w:val="00AD6C1E"/>
    <w:rsid w:val="00AF3629"/>
    <w:rsid w:val="00B81E8E"/>
    <w:rsid w:val="00B926A3"/>
    <w:rsid w:val="00BC4AAC"/>
    <w:rsid w:val="00BE7B03"/>
    <w:rsid w:val="00BF11C3"/>
    <w:rsid w:val="00C21E70"/>
    <w:rsid w:val="00CA0FD9"/>
    <w:rsid w:val="00CB2260"/>
    <w:rsid w:val="00CC35AC"/>
    <w:rsid w:val="00D17AE8"/>
    <w:rsid w:val="00D618EB"/>
    <w:rsid w:val="00E32646"/>
    <w:rsid w:val="00E33169"/>
    <w:rsid w:val="00E43CDA"/>
    <w:rsid w:val="00E45C18"/>
    <w:rsid w:val="00E8210D"/>
    <w:rsid w:val="00ED12D2"/>
    <w:rsid w:val="00ED422B"/>
    <w:rsid w:val="00EE1818"/>
    <w:rsid w:val="00EE3839"/>
    <w:rsid w:val="00F157AF"/>
    <w:rsid w:val="00F22ABD"/>
    <w:rsid w:val="00F22EC3"/>
    <w:rsid w:val="00F30BC2"/>
    <w:rsid w:val="00F3441B"/>
    <w:rsid w:val="00F659A9"/>
    <w:rsid w:val="00F70B67"/>
    <w:rsid w:val="00F944DE"/>
    <w:rsid w:val="00FB4699"/>
    <w:rsid w:val="00FB7AE8"/>
    <w:rsid w:val="00FC740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2AE43"/>
  <w15:chartTrackingRefBased/>
  <w15:docId w15:val="{F6E305A1-95DB-4E25-9262-CAFD98A0B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8A1E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8A1E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8A1E3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8A1E3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8A1E3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8A1E3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8A1E3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8A1E3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8A1E3C"/>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8A1E3C"/>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8A1E3C"/>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8A1E3C"/>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8A1E3C"/>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8A1E3C"/>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8A1E3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8A1E3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8A1E3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8A1E3C"/>
    <w:rPr>
      <w:rFonts w:eastAsiaTheme="majorEastAsia" w:cstheme="majorBidi"/>
      <w:color w:val="272727" w:themeColor="text1" w:themeTint="D8"/>
    </w:rPr>
  </w:style>
  <w:style w:type="paragraph" w:styleId="Ttulo">
    <w:name w:val="Title"/>
    <w:basedOn w:val="Normal"/>
    <w:next w:val="Normal"/>
    <w:link w:val="TtuloChar"/>
    <w:uiPriority w:val="10"/>
    <w:qFormat/>
    <w:rsid w:val="008A1E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8A1E3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8A1E3C"/>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8A1E3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8A1E3C"/>
    <w:pPr>
      <w:spacing w:before="160"/>
      <w:jc w:val="center"/>
    </w:pPr>
    <w:rPr>
      <w:i/>
      <w:iCs/>
      <w:color w:val="404040" w:themeColor="text1" w:themeTint="BF"/>
    </w:rPr>
  </w:style>
  <w:style w:type="character" w:customStyle="1" w:styleId="CitaoChar">
    <w:name w:val="Citação Char"/>
    <w:basedOn w:val="Fontepargpadro"/>
    <w:link w:val="Citao"/>
    <w:uiPriority w:val="29"/>
    <w:rsid w:val="008A1E3C"/>
    <w:rPr>
      <w:i/>
      <w:iCs/>
      <w:color w:val="404040" w:themeColor="text1" w:themeTint="BF"/>
    </w:rPr>
  </w:style>
  <w:style w:type="paragraph" w:styleId="PargrafodaLista">
    <w:name w:val="List Paragraph"/>
    <w:basedOn w:val="Normal"/>
    <w:uiPriority w:val="34"/>
    <w:qFormat/>
    <w:rsid w:val="008A1E3C"/>
    <w:pPr>
      <w:ind w:left="720"/>
      <w:contextualSpacing/>
    </w:pPr>
  </w:style>
  <w:style w:type="character" w:styleId="nfaseIntensa">
    <w:name w:val="Intense Emphasis"/>
    <w:basedOn w:val="Fontepargpadro"/>
    <w:uiPriority w:val="21"/>
    <w:qFormat/>
    <w:rsid w:val="008A1E3C"/>
    <w:rPr>
      <w:i/>
      <w:iCs/>
      <w:color w:val="2F5496" w:themeColor="accent1" w:themeShade="BF"/>
    </w:rPr>
  </w:style>
  <w:style w:type="paragraph" w:styleId="CitaoIntensa">
    <w:name w:val="Intense Quote"/>
    <w:basedOn w:val="Normal"/>
    <w:next w:val="Normal"/>
    <w:link w:val="CitaoIntensaChar"/>
    <w:uiPriority w:val="30"/>
    <w:qFormat/>
    <w:rsid w:val="008A1E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8A1E3C"/>
    <w:rPr>
      <w:i/>
      <w:iCs/>
      <w:color w:val="2F5496" w:themeColor="accent1" w:themeShade="BF"/>
    </w:rPr>
  </w:style>
  <w:style w:type="character" w:styleId="RefernciaIntensa">
    <w:name w:val="Intense Reference"/>
    <w:basedOn w:val="Fontepargpadro"/>
    <w:uiPriority w:val="32"/>
    <w:qFormat/>
    <w:rsid w:val="008A1E3C"/>
    <w:rPr>
      <w:b/>
      <w:bCs/>
      <w:smallCaps/>
      <w:color w:val="2F5496" w:themeColor="accent1" w:themeShade="BF"/>
      <w:spacing w:val="5"/>
    </w:rPr>
  </w:style>
  <w:style w:type="paragraph" w:styleId="NormalWeb">
    <w:name w:val="Normal (Web)"/>
    <w:basedOn w:val="Normal"/>
    <w:uiPriority w:val="99"/>
    <w:semiHidden/>
    <w:unhideWhenUsed/>
    <w:rsid w:val="009A7763"/>
    <w:rPr>
      <w:rFonts w:ascii="Times New Roman" w:hAnsi="Times New Roman" w:cs="Times New Roman"/>
      <w:sz w:val="24"/>
      <w:szCs w:val="24"/>
    </w:rPr>
  </w:style>
  <w:style w:type="character" w:styleId="Hyperlink">
    <w:name w:val="Hyperlink"/>
    <w:basedOn w:val="Fontepargpadro"/>
    <w:uiPriority w:val="99"/>
    <w:unhideWhenUsed/>
    <w:rsid w:val="00BC4AAC"/>
    <w:rPr>
      <w:color w:val="0563C1" w:themeColor="hyperlink"/>
      <w:u w:val="single"/>
    </w:rPr>
  </w:style>
  <w:style w:type="character" w:styleId="MenoPendente">
    <w:name w:val="Unresolved Mention"/>
    <w:basedOn w:val="Fontepargpadro"/>
    <w:uiPriority w:val="99"/>
    <w:semiHidden/>
    <w:unhideWhenUsed/>
    <w:rsid w:val="00BC4A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097/MPG.000000000000367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01/jamapediatrics.2015.1982" TargetMode="External"/><Relationship Id="rId5" Type="http://schemas.openxmlformats.org/officeDocument/2006/relationships/hyperlink" Target="https://doi.org/10.1542/peds.2022-058037"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2132</Words>
  <Characters>11516</Characters>
  <Application>Microsoft Office Word</Application>
  <DocSecurity>0</DocSecurity>
  <Lines>95</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Júlia Figueiredo</dc:creator>
  <cp:keywords/>
  <dc:description/>
  <cp:lastModifiedBy>Elizete Lomazi</cp:lastModifiedBy>
  <cp:revision>2</cp:revision>
  <dcterms:created xsi:type="dcterms:W3CDTF">2026-05-09T00:53:00Z</dcterms:created>
  <dcterms:modified xsi:type="dcterms:W3CDTF">2026-05-09T00:53:00Z</dcterms:modified>
</cp:coreProperties>
</file>