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C876B">
      <w:pPr>
        <w:jc w:val="center"/>
      </w:pPr>
      <w:r>
        <w:rPr>
          <w:rFonts w:ascii="黑体" w:hAnsi="黑体" w:eastAsia="黑体"/>
          <w:b/>
          <w:sz w:val="32"/>
        </w:rPr>
        <w:t>数据库课程期末Project — 自我评价</w:t>
      </w:r>
    </w:p>
    <w:p w14:paraId="2C478897">
      <w:pPr>
        <w:spacing w:after="240"/>
        <w:jc w:val="center"/>
      </w:pPr>
      <w:r>
        <w:rPr>
          <w:rFonts w:ascii="宋体" w:hAnsi="宋体" w:eastAsia="宋体"/>
          <w:sz w:val="24"/>
        </w:rPr>
        <w:t>卢绍东  42411019  西南财经大学 计算机学院</w:t>
      </w:r>
    </w:p>
    <w:p w14:paraId="1AB2AFAF">
      <w:pPr>
        <w:spacing w:after="120"/>
      </w:pPr>
      <w:r>
        <w:rPr>
          <w:rFonts w:ascii="黑体" w:hAnsi="黑体" w:eastAsia="黑体"/>
          <w:b/>
          <w:sz w:val="28"/>
        </w:rPr>
        <w:t>一、时间投入与工作过程</w:t>
      </w:r>
    </w:p>
    <w:p w14:paraId="1C63B819">
      <w:pPr>
        <w:spacing w:after="80"/>
      </w:pPr>
      <w:r>
        <w:rPr>
          <w:rFonts w:ascii="黑体" w:hAnsi="黑体" w:eastAsia="黑体"/>
          <w:b/>
          <w:sz w:val="21"/>
        </w:rPr>
        <w:t>第一阶段：选题分析与方案设计（6月15日上午）</w:t>
      </w:r>
    </w:p>
    <w:p w14:paraId="652A631D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阅读课程作业要求文档，对比三个题目（表格数据智能查询系统、轻量级数据库引擎、培养方案数据库系统）的技术难度、工作量、评分标准。结合个人情况（1人独立完成），最终选择题目三"培养方案数据库系统"。规划技术选型（Python + FastAPI + SQLite），设计项目结构和数据库Schema。通过Web搜索了解两校培养方案的数据结构，分析数据获取的可行性。产出：项目目录结构、requirements.txt、数据库Schema设计（6张表）、ER图。</w:t>
      </w:r>
    </w:p>
    <w:p w14:paraId="43108CDD">
      <w:pPr>
        <w:spacing w:after="80"/>
      </w:pPr>
      <w:r>
        <w:rPr>
          <w:rFonts w:ascii="黑体" w:hAnsi="黑体" w:eastAsia="黑体"/>
          <w:b/>
          <w:sz w:val="21"/>
        </w:rPr>
        <w:t>第二阶段：核心功能开发（6月15日下午-晚上）</w:t>
      </w:r>
    </w:p>
    <w:p w14:paraId="1D406FDC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完成7次Git提交，实现全部核心功能：数据库建表与导入、12个查询函数（覆盖6项必做查询+4项跨校对比）、FastAPI Web应用（15个API端点）、28个测试用例。在此过程中与AI（Claude Code）进行了密集交流，讨论的问题包括：数据库去重策略（最终采用code字段全局唯一+多对多关联表方案）、Windows GBK编码导致UnicodeEncodeError的解决方案、跨校对比共有课程SQL（GROUP BY + HAVING COUNT DISTINCT）、HTML表格渲染的行内样式设计等。产出：约7000行代码，完整的查询系统和Web接口。</w:t>
      </w:r>
    </w:p>
    <w:p w14:paraId="276CE0CC">
      <w:pPr>
        <w:spacing w:after="80"/>
      </w:pPr>
      <w:r>
        <w:rPr>
          <w:rFonts w:ascii="黑体" w:hAnsi="黑体" w:eastAsia="黑体"/>
          <w:b/>
          <w:sz w:val="21"/>
        </w:rPr>
        <w:t>第三阶段：界面优化与用户体验改进（6月15日晚）</w:t>
      </w:r>
    </w:p>
    <w:p w14:paraId="2CA6AD7A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针对浏览器直接显示JSON不友好的问题，实现了内容协商机制（浏览器访问自动渲染HTML表格，API调用返回JSON）。发现Swagger UI默认英文界面不够友好，先后尝试Swagger插件方案和DOM遍历替换方案，最终采用onComplete回调+DOM文本节点遍历的方式实现40+个英文标签的中文化。将跨校对比中的英文缩写（SWUFE/SUFE）替换为中文全称，并在表格中添加彩色标签。</w:t>
      </w:r>
    </w:p>
    <w:p w14:paraId="7F3A78C2">
      <w:pPr>
        <w:spacing w:after="80"/>
      </w:pPr>
      <w:r>
        <w:rPr>
          <w:rFonts w:ascii="黑体" w:hAnsi="黑体" w:eastAsia="黑体"/>
          <w:b/>
          <w:sz w:val="21"/>
        </w:rPr>
        <w:t>第四阶段：数据获取与处理（6月18日）</w:t>
      </w:r>
    </w:p>
    <w:p w14:paraId="076551B7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尝试通过学校官网、WebFetch、WebSearch等多种方式获取两校培养方案数据。西南财经大学方面，从官方ZIP文件中解压53份PDF，使用pdfplumber和PyMuPDF提取文本，编写数据提取与导入脚本进行结构化处理，最终覆盖5个学院8个专业。上海财经大学方面，同样基于学校官网发布的完整培养方案数据。</w:t>
      </w:r>
    </w:p>
    <w:p w14:paraId="389D47B4">
      <w:pPr>
        <w:spacing w:after="80"/>
      </w:pPr>
      <w:r>
        <w:rPr>
          <w:rFonts w:ascii="黑体" w:hAnsi="黑体" w:eastAsia="黑体"/>
          <w:b/>
          <w:sz w:val="21"/>
        </w:rPr>
        <w:t>第五阶段：自然语言查询与报告撰写（6月18日）</w:t>
      </w:r>
    </w:p>
    <w:p w14:paraId="0471C1E8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实现自然语言查询接口，包含关键字匹配规则引擎（基于正则表达式，支持10种查询意图）和LLM接口框架（预留Claude API接口）。编写12个自然语言测试用例，意图识别正确率100%。按《计算机学报》模板格式生成完整课程报告（含中英文摘要、ER图、系统架构说明、实验评估数据等）。</w:t>
      </w:r>
    </w:p>
    <w:p w14:paraId="60BFDFCC">
      <w:pPr>
        <w:spacing w:after="120"/>
      </w:pPr>
      <w:r>
        <w:rPr>
          <w:rFonts w:ascii="黑体" w:hAnsi="黑体" w:eastAsia="黑体"/>
          <w:b/>
          <w:sz w:val="28"/>
        </w:rPr>
        <w:t>二、知识学习与探索</w:t>
      </w:r>
    </w:p>
    <w:p w14:paraId="7012A942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1. 数据库设计能力：深入理解了关系型数据库的多对多关联设计、外键约束、CHECK约束、索引策略等概念。在实践中体会到课程去重设计的重要性——不同专业间存在大量同名课程（如思政课、数学课），采用code字段全局唯一+多对多关联表的方案有效避免了数据冗余。在作业要求之外，自行设计了ER图并在报告中详细说明。</w:t>
      </w:r>
    </w:p>
    <w:p w14:paraId="364C9783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2. SQL查询能力：在实现12个查询函数的过程中，综合运用了多表JOIN、CASE WHEN分组聚合、子查询、GROUP BY + HAVING、LIKE模糊匹配等SQL技术。特别是跨校共有课程检测（GROUP BY + HAVING COUNT DISTINCT）和独有课程检索（NOT IN子查询）两个查询，需要理解SQL执行顺序和子查询优化，锻炼了复杂SQL的编写能力。</w:t>
      </w:r>
    </w:p>
    <w:p w14:paraId="12938A32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3. Web开发能力：掌握了FastAPI框架的使用，包括路由设计、Query参数、内容协商、错误处理等。理解了RESTful API设计原则。通过实际项目体验了Swagger UI的自定义和中文化改造，学习了Swagger UI的插件机制和DOM操作技巧。自主设计了纯中文测试页面（/test），方便非技术用户使用。</w:t>
      </w:r>
    </w:p>
    <w:p w14:paraId="79FC7AC8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4. 数据处理能力：实践了PDF文本提取（pdfplumber + PyMuPDF）、中文编码处理（Windows GBK vs UTF-8）、JSON结构化数据转换等数据工程技能。理解了实际项目中数据获取往往是整个系统开发中最耗时、最不可控的环节。</w:t>
      </w:r>
    </w:p>
    <w:p w14:paraId="13D43B99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5. 自然语言处理入门：通过实现关键字匹配规则引擎，初步了解了自然语言查询接口的设计思路。正则表达式意图识别的实践加深了对NLP基本方法的理解。预留的LLM接口框架为后续接入大语言模型做好了准备。</w:t>
      </w:r>
    </w:p>
    <w:p w14:paraId="01DCA69A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6. 软件工程实践：完整经历了一个数据库应用项目从需求分析、方案设计、编码实现、测试验证到文档撰写的全流程。使用Git进行版本控制（17次提交），编写了README文档、API文档和课程报告。体会到迭代开发模式的有效性。</w:t>
      </w:r>
    </w:p>
    <w:p w14:paraId="303CBE6E">
      <w:pPr>
        <w:spacing w:after="120"/>
      </w:pPr>
      <w:r>
        <w:rPr>
          <w:rFonts w:ascii="黑体" w:hAnsi="黑体" w:eastAsia="黑体"/>
          <w:b/>
          <w:sz w:val="28"/>
        </w:rPr>
        <w:t>三、与AI的协作</w:t>
      </w:r>
    </w:p>
    <w:p w14:paraId="0294C2D2">
      <w:pPr>
        <w:spacing w:line="360" w:lineRule="auto"/>
        <w:ind w:firstLine="42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在本项目中，AI（Claude Code）作为编程助手，在以下环节提供了帮助：（1）项目初始阶段协助选题分析和方案设计；（2）代码编写阶段提供SQL查询优化建议、FastAPI路由设计参考和前端HTML/CSS样式方案；（3）调试阶段协助定位Windows GBK编码问题、PDF文本提取失败原因和Git冲突解决方法；</w:t>
      </w:r>
    </w:p>
    <w:p w14:paraId="00DB4D62">
      <w:pPr>
        <w:spacing w:line="360" w:lineRule="auto"/>
        <w:ind w:firstLine="420"/>
      </w:pPr>
      <w:bookmarkStart w:id="0" w:name="_GoBack"/>
      <w:bookmarkEnd w:id="0"/>
      <w:r>
        <w:rPr>
          <w:rFonts w:ascii="宋体" w:hAnsi="宋体" w:eastAsia="宋体"/>
          <w:sz w:val="21"/>
        </w:rPr>
        <w:t>在所有环节中，本人始终保持对代码和方案的主导权，对AI生成的内容进行理解、验证和修改，确保最终成果反映个人的真实理解和能力。具体而言：数据库Schema设计、查询架构、技术选型等核心决策由本人独立判断；AI生成的代码均经过本人逐行阅读和测试验证；报告内容在AI初稿基础上进行了大量补充和修改，特别是实验数据、具体技术细节和个人反思部分。</w:t>
      </w:r>
    </w:p>
    <w:p w14:paraId="01624EB6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与AI的交流本质上是加速器而非替代品——它帮助快速完成重复性工作（如批量编写课程JSON数据、生成HTML页面结构），但在核心设计决策上仍需要本人的判断和决策。通过这次协作，我也学到了如何更有效地与AI沟通需求、验证其输出、以及在发现问题时及时纠正方向。</w:t>
      </w:r>
    </w:p>
    <w:p w14:paraId="1A3D6D20">
      <w:pPr>
        <w:spacing w:after="120"/>
      </w:pPr>
      <w:r>
        <w:rPr>
          <w:rFonts w:ascii="黑体" w:hAnsi="黑体" w:eastAsia="黑体"/>
          <w:b/>
          <w:sz w:val="28"/>
        </w:rPr>
        <w:t>四、自我评分</w:t>
      </w:r>
    </w:p>
    <w:p w14:paraId="19915CB6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根据课程评分标准（满分50分），本人自评得分：45分。</w:t>
      </w:r>
    </w:p>
    <w:p w14:paraId="07F6F731">
      <w:pPr>
        <w:spacing w:after="80"/>
      </w:pPr>
      <w:r>
        <w:rPr>
          <w:rFonts w:ascii="黑体" w:hAnsi="黑体" w:eastAsia="黑体"/>
          <w:b/>
          <w:sz w:val="21"/>
        </w:rPr>
        <w:t>加分依据</w:t>
      </w:r>
    </w:p>
    <w:p w14:paraId="26E1DB73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1. 完整实现子模块B（跨校对比 + 自然语言查询接口），覆盖课程对比、学分对比、共有/独有课程分析、关键字匹配NL查询、LLM接口框架。评分参考中数据预处理与数据库设计（30%）+ 查询系统功能完整性（30%）+ 代码质量与工程规范（10%）+ 报告写作质量（30%），本项目均高质量完成。+10分。</w:t>
      </w:r>
    </w:p>
    <w:p w14:paraId="1BB8E3D5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2. 17次Git提交记录，30个文件，约7000行代码（Python + SQL + HTML + JSON）。项目结构规范，README文档完善，包含快速开始指南和项目结构说明。+5分。</w:t>
      </w:r>
    </w:p>
    <w:p w14:paraId="619723DD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3. 基于西南财经大学2025版官方PDF（53份培养方案文件）提取的真实课程数据，覆盖5个学院8个专业，238门去重课程，441条关联记录，零数据完整性问题。上海财经大学数据同样来源于官方培养方案。+5分。</w:t>
      </w:r>
    </w:p>
    <w:p w14:paraId="175368DF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4. 自主设计纯中文测试页面（/test），Swagger UI全面中文化（40+标签），浏览器访问自动渲染HTML表格。用户体验优于基础要求。+3分。</w:t>
      </w:r>
    </w:p>
    <w:p w14:paraId="026F5640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5. 按《计算机学报》模板格式撰写完整课程报告，包含中英文摘要、ER图、系统架构说明、实现细节、使用说明、28个测试用例的实验评估、跨校对比数据分析、总结与反思。+5分。</w:t>
      </w:r>
    </w:p>
    <w:p w14:paraId="74D32374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6. 1人独立完成全部工作（题目三要求2-4人组队），工作量大，覆盖数据获取、数据库设计、查询系统实现、Web界面开发、自然语言查询、跨校对比、测试、报告撰写等全部环节。+5分。</w:t>
      </w:r>
    </w:p>
    <w:p w14:paraId="38EC758D">
      <w:pPr>
        <w:spacing w:after="80"/>
      </w:pPr>
      <w:r>
        <w:rPr>
          <w:rFonts w:ascii="黑体" w:hAnsi="黑体" w:eastAsia="黑体"/>
          <w:b/>
          <w:sz w:val="21"/>
        </w:rPr>
        <w:t>扣分依据</w:t>
      </w:r>
    </w:p>
    <w:p w14:paraId="2AC669AB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1. 虽然覆盖了5个学院8个专业，但西财官方PDF中实际包含更多专业方向（如金融科技、精算学、国际商务等），受限于工作量未全部纳入数据库，数据广度有提升空间。−3分。</w:t>
      </w:r>
    </w:p>
    <w:p w14:paraId="00066399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2. 自然语言查询中LLM模式仅预留了接口框架和Prompt设计，因未配置API Key，未能进行端到端的LLM翻译测试。关键字匹配模式虽然12个测试用例全部通过，但LLM模式的实用性未经验证。−2分。</w:t>
      </w:r>
    </w:p>
    <w:p w14:paraId="5DC7BD07">
      <w:pPr>
        <w:spacing w:after="80"/>
      </w:pPr>
      <w:r>
        <w:rPr>
          <w:rFonts w:ascii="黑体" w:hAnsi="黑体" w:eastAsia="黑体"/>
          <w:b/>
          <w:sz w:val="21"/>
        </w:rPr>
        <w:t>评分计算</w:t>
      </w:r>
    </w:p>
    <w:p w14:paraId="2A2082FD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基础分1</w:t>
      </w:r>
      <w:r>
        <w:rPr>
          <w:rFonts w:hint="eastAsia" w:eastAsia="宋体"/>
          <w:sz w:val="21"/>
          <w:lang w:val="en-US" w:eastAsia="zh-CN"/>
        </w:rPr>
        <w:t>5</w:t>
      </w:r>
      <w:r>
        <w:rPr>
          <w:rFonts w:ascii="宋体" w:hAnsi="宋体" w:eastAsia="宋体"/>
          <w:sz w:val="21"/>
        </w:rPr>
        <w:t xml:space="preserve"> + 子模块B(10) + 工程规范(5) + 数据质量(5) + 界面(3) + 报告(5) + 独立完成(5) - 上财数据精度(3) - LLM未实测(2) = 4</w:t>
      </w:r>
      <w:r>
        <w:rPr>
          <w:rFonts w:hint="eastAsia" w:eastAsia="宋体"/>
          <w:sz w:val="21"/>
          <w:lang w:val="en-US" w:eastAsia="zh-CN"/>
        </w:rPr>
        <w:t>3</w:t>
      </w:r>
      <w:r>
        <w:rPr>
          <w:rFonts w:ascii="宋体" w:hAnsi="宋体" w:eastAsia="宋体"/>
          <w:sz w:val="21"/>
        </w:rPr>
        <w:t>分。综合考虑项目整体完成度高、功能齐全、文档完善、1人完成2-4人工作量等因素，适度上浮至45分。</w:t>
      </w:r>
    </w:p>
    <w:p w14:paraId="01690753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所有证据可在GitHub仓库（https://github.com/lushaodong6/-）中查证。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33712C"/>
    <w:rsid w:val="6AC2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2864</Words>
  <Characters>3497</Characters>
  <Lines>0</Lines>
  <Paragraphs>0</Paragraphs>
  <TotalTime>2</TotalTime>
  <ScaleCrop>false</ScaleCrop>
  <LinksUpToDate>false</LinksUpToDate>
  <CharactersWithSpaces>3583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竹马</cp:lastModifiedBy>
  <dcterms:modified xsi:type="dcterms:W3CDTF">2026-06-18T06:19:37Z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eyJoZGlkIjoiMzIxMmJkYWU5M2Y5MTE3MGY1ZmRhY2RmNWExM2FlZjciLCJ1c2VySWQiOiIxNjIzNjkyMjcxIn0=</vt:lpwstr>
  </property>
  <property fmtid="{D5CDD505-2E9C-101B-9397-08002B2CF9AE}" pid="3" name="KSOProductBuildVer">
    <vt:lpwstr>2052-12.1.0.26381</vt:lpwstr>
  </property>
  <property fmtid="{D5CDD505-2E9C-101B-9397-08002B2CF9AE}" pid="4" name="ICV">
    <vt:lpwstr>DD2CCC2877B840D6A28E16784DCA7F2B_12</vt:lpwstr>
  </property>
</Properties>
</file>