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21937cb858e60743fc1a43dcb9eaa209da7a973"/>
    <w:p>
      <w:pPr>
        <w:spacing w:after="40"/>
      </w:pPr>
      <w:r>
        <w:rPr>
          <w:b/>
          <w:color w:val="2E86DE"/>
          <w:sz w:val="16"/>
        </w:rPr>
        <w:t>REUSABLE GRC TEMPLATE · FREE TO ADAPT</w:t>
      </w:r>
    </w:p>
    <w:p>
      <w:pPr>
        <w:pStyle w:val="Heading1"/>
      </w:pPr>
      <w:r>
        <w:t xml:space="preserve">[ORGANISATION] — ISO/IEC 27001:2022 Clauses 4–10 Readiness Assessment — TEMPLATE</w:t>
      </w:r>
    </w:p>
    <w:p>
      <w:pPr>
        <w:pStyle w:val="BlockText"/>
      </w:pPr>
      <w:r>
        <w:rPr>
          <w:bCs/>
          <w:b/>
        </w:rPr>
        <w:t xml:space="preserve">How to use this template.</w:t>
      </w:r>
      <w:r>
        <w:t xml:space="preserve"> </w:t>
      </w:r>
      <w:r>
        <w:t>Blank reusable template. Prepared by Olugboye Shola. Replace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[BRACKETED]</w:t>
      </w:r>
      <w:r>
        <w:t xml:space="preserve"> </w:t>
      </w:r>
      <w:r>
        <w:t xml:space="preserve">field. Score each requirement, then calculate the result with the method below, or use the</w:t>
      </w:r>
      <w:r>
        <w:t xml:space="preserve"> </w:t>
      </w:r>
      <w:r>
        <w:t xml:space="preserve">Excel version (</w:t>
      </w:r>
      <w:r>
        <w:rPr>
          <w:rStyle w:val="VerbatimChar"/>
        </w:rPr>
        <w:t xml:space="preserve">iso27001-soa-template.xlsx</w:t>
      </w:r>
      <w:r>
        <w:t xml:space="preserve">, sheets 03 and 04), which does it for you.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5593"/>
        <w:gridCol w:w="9089"/>
      </w:tblGrid>
      <w:tr>
        <w:trPr>
          <w:tblHeader w:val="true"/>
          <w:tblHeader w:val="true"/>
          <w:cantSplit/>
        </w:trPr>
        <w:tc>
          <w:tcPr>
            <w:tcW w:type="dxa" w:w="559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909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559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Document ID</w:t>
            </w:r>
          </w:p>
        </w:tc>
        <w:tc>
          <w:tcPr>
            <w:tcW w:type="dxa" w:w="909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[ORG-ISO-002]</w:t>
            </w:r>
          </w:p>
        </w:tc>
      </w:tr>
      <w:tr>
        <w:trPr>
          <w:cantSplit/>
        </w:trPr>
        <w:tc>
          <w:tcPr>
            <w:tcW w:type="dxa" w:w="559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Assessor</w:t>
            </w:r>
          </w:p>
        </w:tc>
        <w:tc>
          <w:tcPr>
            <w:tcW w:type="dxa" w:w="909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[Name, role]</w:t>
            </w:r>
          </w:p>
        </w:tc>
      </w:tr>
      <w:tr>
        <w:trPr>
          <w:cantSplit/>
        </w:trPr>
        <w:tc>
          <w:tcPr>
            <w:tcW w:type="dxa" w:w="559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>
            <w:tcW w:type="dxa" w:w="909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Start w:id="48" w:name="scoring-method"/>
    <w:p>
      <w:pPr>
        <w:pStyle w:val="Heading2"/>
      </w:pPr>
      <w:r>
        <w:t xml:space="preserve">Scoring method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Requirement score:</w:t>
      </w:r>
      <w:r>
        <w:t xml:space="preserve"> </w:t>
      </w:r>
      <w:r>
        <w:t xml:space="preserve">0 = absent · 1 = partly in place or designed but not evidenced · 2 = met, with evidence.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Clause score</w:t>
      </w:r>
      <w:r>
        <w:t xml:space="preserve"> </w:t>
      </w:r>
      <w:r>
        <w:t xml:space="preserve">= sum of scores ÷ (2 × number of requirements).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Annex A score</w:t>
      </w:r>
      <w:r>
        <w:t xml:space="preserve"> </w:t>
      </w:r>
      <w:r>
        <w:t xml:space="preserve">= (Implemented × 1 + Partial × 0.5) ÷ applicable controls (from the SoA).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Weighted readiness</w:t>
      </w:r>
      <w:r>
        <w:t xml:space="preserve"> </w:t>
      </w:r>
      <w:r>
        <w:t xml:space="preserve">= 0.6 × clause score + 0.4 × Annex A score.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Gate override:</w:t>
      </w:r>
      <w:r>
        <w:t xml:space="preserve"> </w:t>
      </w:r>
      <w:r>
        <w:t xml:space="preserve">if any gate requirement (4.3, 6.1.2, 6.1.3, 9.2.1, 9.2.2, 9.3.1, 9.3.2, 9.3.3) scores below 2, the Stage 1 decision is</w:t>
      </w:r>
      <w:r>
        <w:t xml:space="preserve"> </w:t>
      </w:r>
      <w:r>
        <w:rPr>
          <w:bCs/>
          <w:b/>
        </w:rPr>
        <w:t xml:space="preserve">NO-GO</w:t>
      </w:r>
      <w:r>
        <w:t xml:space="preserve"> </w:t>
      </w:r>
      <w:r>
        <w:t xml:space="preserve">whatever the percentage.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Bands:</w:t>
      </w:r>
      <w:r>
        <w:t xml:space="preserve"> </w:t>
      </w:r>
      <w:r>
        <w:t xml:space="preserve">≥ 85% with no gate failure = Ready for Stage 1 · 60–84% = Ready within 90 days · &lt; 60% = Not ready.</w:t>
      </w:r>
    </w:p>
    <w:p>
      <w:pPr>
        <w:pStyle w:val="BlockText"/>
      </w:pPr>
      <w:r>
        <w:t>Worked example: clause score 19/56 = 33.9%; Annex A 22.5/88 = 25.6%; weighted 30.6%; 8 of 8 gates failed; NO-GO.</w:t>
      </w:r>
    </w:p>
    <w:bookmarkStart w:id="20" w:name="X61f22b2c1593d0bb87e0b606f990ba4974706de"/>
    <w:p>
      <w:pPr>
        <w:pStyle w:val="Heading3"/>
      </w:pPr>
      <w:r>
        <w:t xml:space="preserve">4.1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2253"/>
        <w:gridCol w:w="12429"/>
      </w:tblGrid>
      <w:tr>
        <w:trPr>
          <w:tblHeader w:val="true"/>
          <w:tblHeader w:val="true"/>
          <w:cantSplit/>
        </w:trPr>
        <w:tc>
          <w:tcPr>
            <w:tcW w:type="dxa" w:w="225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1243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Understand the organisation and its context: internal and external issues, including whether climate change is relevant (Amd 1:2024)</w:t>
            </w:r>
          </w:p>
        </w:tc>
      </w:tr>
      <w:tr>
        <w:trPr>
          <w:cantSplit/>
        </w:trPr>
        <w:tc>
          <w:tcPr>
            <w:tcW w:type="dxa" w:w="225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124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225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124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225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124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225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124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20"/>
    <w:bookmarkStart w:id="21" w:name="X2cfceb39d57d914ed8b14d0e37643de0797ae56"/>
    <w:p>
      <w:pPr>
        <w:pStyle w:val="Heading3"/>
      </w:pPr>
      <w:r>
        <w:t xml:space="preserve">4.2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2887"/>
        <w:gridCol w:w="11796"/>
      </w:tblGrid>
      <w:tr>
        <w:trPr>
          <w:tblHeader w:val="true"/>
          <w:tblHeader w:val="true"/>
          <w:cantSplit/>
        </w:trPr>
        <w:tc>
          <w:tcPr>
            <w:tcW w:type="dxa" w:w="2887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11796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8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117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Interested parties, their relevant requirements, and which of those the ISMS addresses</w:t>
            </w:r>
          </w:p>
        </w:tc>
      </w:tr>
      <w:tr>
        <w:trPr>
          <w:cantSplit/>
        </w:trPr>
        <w:tc>
          <w:tcPr>
            <w:tcW w:type="dxa" w:w="288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1179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28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117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288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1179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28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117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288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1179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28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117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288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1179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28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117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21"/>
    <w:bookmarkStart w:id="22" w:name="X286dd552c9bea9a69ecb3759e7b94777635514b"/>
    <w:p>
      <w:pPr>
        <w:pStyle w:val="Heading3"/>
      </w:pPr>
      <w:r>
        <w:t xml:space="preserve">4.3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2528"/>
        <w:gridCol w:w="12154"/>
      </w:tblGrid>
      <w:tr>
        <w:trPr>
          <w:tblHeader w:val="true"/>
          <w:tblHeader w:val="true"/>
          <w:cantSplit/>
        </w:trPr>
        <w:tc>
          <w:tcPr>
            <w:tcW w:type="dxa" w:w="252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12155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52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121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Determine and document the ISMS scope, considering interfaces and dependencies with other organisations</w:t>
            </w:r>
          </w:p>
        </w:tc>
      </w:tr>
      <w:tr>
        <w:trPr>
          <w:cantSplit/>
        </w:trPr>
        <w:tc>
          <w:tcPr>
            <w:tcW w:type="dxa" w:w="252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1215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252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121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252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1215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252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121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252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1215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252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121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252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1215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252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121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22"/>
    <w:bookmarkStart w:id="23" w:name="X8fbc42faedc02492397cb5962ea3a3ffc0a9243"/>
    <w:p>
      <w:pPr>
        <w:pStyle w:val="Heading3"/>
      </w:pPr>
      <w:r>
        <w:t xml:space="preserve">4.4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3591"/>
        <w:gridCol w:w="11091"/>
      </w:tblGrid>
      <w:tr>
        <w:trPr>
          <w:tblHeader w:val="true"/>
          <w:tblHeader w:val="true"/>
          <w:cantSplit/>
        </w:trPr>
        <w:tc>
          <w:tcPr>
            <w:tcW w:type="dxa" w:w="3592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11092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5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110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Establish, implement, maintain and continually improve the ISMS</w:t>
            </w:r>
          </w:p>
        </w:tc>
      </w:tr>
      <w:tr>
        <w:trPr>
          <w:cantSplit/>
        </w:trPr>
        <w:tc>
          <w:tcPr>
            <w:tcW w:type="dxa" w:w="359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1109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35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110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359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1109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35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110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359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1109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35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110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359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1109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35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1109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23"/>
    <w:bookmarkStart w:id="24" w:name="X7eb6c689c037217079766fdb77c3bac3e51cb4c"/>
    <w:p>
      <w:pPr>
        <w:pStyle w:val="Heading3"/>
      </w:pPr>
      <w:r>
        <w:t xml:space="preserve">5.1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4739"/>
        <w:gridCol w:w="9943"/>
      </w:tblGrid>
      <w:tr>
        <w:trPr>
          <w:tblHeader w:val="true"/>
          <w:tblHeader w:val="true"/>
          <w:cantSplit/>
        </w:trPr>
        <w:tc>
          <w:tcPr>
            <w:tcW w:type="dxa" w:w="474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9943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Leadership and commitment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24"/>
    <w:bookmarkStart w:id="25" w:name="X9334987ece78b6fe8bf130ef00b74847c1d3da6"/>
    <w:p>
      <w:pPr>
        <w:pStyle w:val="Heading3"/>
      </w:pPr>
      <w:r>
        <w:t xml:space="preserve">5.2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2253"/>
        <w:gridCol w:w="12429"/>
      </w:tblGrid>
      <w:tr>
        <w:trPr>
          <w:tblHeader w:val="true"/>
          <w:tblHeader w:val="true"/>
          <w:cantSplit/>
        </w:trPr>
        <w:tc>
          <w:tcPr>
            <w:tcW w:type="dxa" w:w="225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1243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Information security policy: appropriate, provides a framework for objectives, commits to requirements and continual improvement; documented and communicated</w:t>
            </w:r>
          </w:p>
        </w:tc>
      </w:tr>
      <w:tr>
        <w:trPr>
          <w:cantSplit/>
        </w:trPr>
        <w:tc>
          <w:tcPr>
            <w:tcW w:type="dxa" w:w="225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124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225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124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225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124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225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124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25"/>
    <w:bookmarkStart w:id="26" w:name="X5b76da3e608d34edb07244cd9b875ee86906328"/>
    <w:p>
      <w:pPr>
        <w:pStyle w:val="Heading3"/>
      </w:pPr>
      <w:r>
        <w:t xml:space="preserve">5.3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2528"/>
        <w:gridCol w:w="12154"/>
      </w:tblGrid>
      <w:tr>
        <w:trPr>
          <w:tblHeader w:val="true"/>
          <w:tblHeader w:val="true"/>
          <w:cantSplit/>
        </w:trPr>
        <w:tc>
          <w:tcPr>
            <w:tcW w:type="dxa" w:w="252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12155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52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121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Roles, responsibilities and authorities, including for ISMS conformance and reporting to top management</w:t>
            </w:r>
          </w:p>
        </w:tc>
      </w:tr>
      <w:tr>
        <w:trPr>
          <w:cantSplit/>
        </w:trPr>
        <w:tc>
          <w:tcPr>
            <w:tcW w:type="dxa" w:w="252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1215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252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121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252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1215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252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121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252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1215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252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121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252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1215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252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121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26"/>
    <w:bookmarkStart w:id="27" w:name="X3843e04b0f7a32d94539cf328ed335d39085a56"/>
    <w:p>
      <w:pPr>
        <w:pStyle w:val="Heading3"/>
      </w:pPr>
      <w:r>
        <w:t xml:space="preserve">6.1.1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3340"/>
        <w:gridCol w:w="11342"/>
      </w:tblGrid>
      <w:tr>
        <w:trPr>
          <w:tblHeader w:val="true"/>
          <w:tblHeader w:val="true"/>
          <w:cantSplit/>
        </w:trPr>
        <w:tc>
          <w:tcPr>
            <w:tcW w:type="dxa" w:w="3341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11343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3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113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Determine risks and opportunities for the ISMS itself and plan actions</w:t>
            </w:r>
          </w:p>
        </w:tc>
      </w:tr>
      <w:tr>
        <w:trPr>
          <w:cantSplit/>
        </w:trPr>
        <w:tc>
          <w:tcPr>
            <w:tcW w:type="dxa" w:w="334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113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33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113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334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113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33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113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334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113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33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113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334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113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33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113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27"/>
    <w:bookmarkStart w:id="28" w:name="Xa4b27d555e488b85795434762b6633c21c68bb5"/>
    <w:p>
      <w:pPr>
        <w:pStyle w:val="Heading3"/>
      </w:pPr>
      <w:r>
        <w:t xml:space="preserve">6.1.2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2253"/>
        <w:gridCol w:w="12429"/>
      </w:tblGrid>
      <w:tr>
        <w:trPr>
          <w:tblHeader w:val="true"/>
          <w:tblHeader w:val="true"/>
          <w:cantSplit/>
        </w:trPr>
        <w:tc>
          <w:tcPr>
            <w:tcW w:type="dxa" w:w="225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1243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Information security risk assessment process, including risk ACCEPTANCE criteria and criteria for performing assessments</w:t>
            </w:r>
          </w:p>
        </w:tc>
      </w:tr>
      <w:tr>
        <w:trPr>
          <w:cantSplit/>
        </w:trPr>
        <w:tc>
          <w:tcPr>
            <w:tcW w:type="dxa" w:w="225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124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225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124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225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124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225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124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28"/>
    <w:bookmarkStart w:id="29" w:name="Xe694b0755cd5eed5886ec4d8e658bde9639331d"/>
    <w:p>
      <w:pPr>
        <w:pStyle w:val="Heading3"/>
      </w:pPr>
      <w:r>
        <w:t xml:space="preserve">6.1.3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2253"/>
        <w:gridCol w:w="12429"/>
      </w:tblGrid>
      <w:tr>
        <w:trPr>
          <w:tblHeader w:val="true"/>
          <w:tblHeader w:val="true"/>
          <w:cantSplit/>
        </w:trPr>
        <w:tc>
          <w:tcPr>
            <w:tcW w:type="dxa" w:w="225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1243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Risk treatment: select options, determine controls, compare with Annex A, produce the SoA and a risk treatment plan, and obtain risk owners' approval and residual acceptance</w:t>
            </w:r>
          </w:p>
        </w:tc>
      </w:tr>
      <w:tr>
        <w:trPr>
          <w:cantSplit/>
        </w:trPr>
        <w:tc>
          <w:tcPr>
            <w:tcW w:type="dxa" w:w="225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124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225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124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225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124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225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124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29"/>
    <w:bookmarkStart w:id="30" w:name="X11a418e72591eb7e33f703f04c3fa16df6c90bd"/>
    <w:p>
      <w:pPr>
        <w:pStyle w:val="Heading3"/>
      </w:pPr>
      <w:r>
        <w:t xml:space="preserve">6.2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2770"/>
        <w:gridCol w:w="11912"/>
      </w:tblGrid>
      <w:tr>
        <w:trPr>
          <w:tblHeader w:val="true"/>
          <w:tblHeader w:val="true"/>
          <w:cantSplit/>
        </w:trPr>
        <w:tc>
          <w:tcPr>
            <w:tcW w:type="dxa" w:w="2771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11913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1191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Information security objectives: measurable, monitored, communicated; plans to achieve them</w:t>
            </w:r>
          </w:p>
        </w:tc>
      </w:tr>
      <w:tr>
        <w:trPr>
          <w:cantSplit/>
        </w:trPr>
        <w:tc>
          <w:tcPr>
            <w:tcW w:type="dxa" w:w="277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1191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1191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277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1191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1191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277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1191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1191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277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1191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1191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30"/>
    <w:bookmarkStart w:id="31" w:name="X17554a0d2b15a664c0e73900184544f19e70227"/>
    <w:p>
      <w:pPr>
        <w:pStyle w:val="Heading3"/>
      </w:pPr>
      <w:r>
        <w:t xml:space="preserve">6.3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4739"/>
        <w:gridCol w:w="9943"/>
      </w:tblGrid>
      <w:tr>
        <w:trPr>
          <w:tblHeader w:val="true"/>
          <w:tblHeader w:val="true"/>
          <w:cantSplit/>
        </w:trPr>
        <w:tc>
          <w:tcPr>
            <w:tcW w:type="dxa" w:w="474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9943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Planning of changes to the ISMS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31"/>
    <w:bookmarkStart w:id="32" w:name="X02560dd9d7db4467627745bd6701e809ffca6e3"/>
    <w:p>
      <w:pPr>
        <w:pStyle w:val="Heading3"/>
      </w:pPr>
      <w:r>
        <w:t xml:space="preserve">7.1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4739"/>
        <w:gridCol w:w="9943"/>
      </w:tblGrid>
      <w:tr>
        <w:trPr>
          <w:tblHeader w:val="true"/>
          <w:tblHeader w:val="true"/>
          <w:cantSplit/>
        </w:trPr>
        <w:tc>
          <w:tcPr>
            <w:tcW w:type="dxa" w:w="474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9943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Resources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32"/>
    <w:bookmarkStart w:id="33" w:name="X097638f92de80ba8d6c696b26e6e601a5f61eb7"/>
    <w:p>
      <w:pPr>
        <w:pStyle w:val="Heading3"/>
      </w:pPr>
      <w:r>
        <w:t xml:space="preserve">7.2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4739"/>
        <w:gridCol w:w="9943"/>
      </w:tblGrid>
      <w:tr>
        <w:trPr>
          <w:tblHeader w:val="true"/>
          <w:tblHeader w:val="true"/>
          <w:cantSplit/>
        </w:trPr>
        <w:tc>
          <w:tcPr>
            <w:tcW w:type="dxa" w:w="474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9943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Competence, with documented evidence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33"/>
    <w:bookmarkStart w:id="34" w:name="X5e995c107a71caeb833bb3b79f9f54781b33fa1"/>
    <w:p>
      <w:pPr>
        <w:pStyle w:val="Heading3"/>
      </w:pPr>
      <w:r>
        <w:t xml:space="preserve">7.3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3374"/>
        <w:gridCol w:w="11308"/>
      </w:tblGrid>
      <w:tr>
        <w:trPr>
          <w:tblHeader w:val="true"/>
          <w:tblHeader w:val="true"/>
          <w:cantSplit/>
        </w:trPr>
        <w:tc>
          <w:tcPr>
            <w:tcW w:type="dxa" w:w="337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1130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113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Awareness of policy, contribution and implications of non-conformance</w:t>
            </w:r>
          </w:p>
        </w:tc>
      </w:tr>
      <w:tr>
        <w:trPr>
          <w:cantSplit/>
        </w:trPr>
        <w:tc>
          <w:tcPr>
            <w:tcW w:type="dxa" w:w="337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1130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113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337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1130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113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337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1130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113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337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1130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113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34"/>
    <w:bookmarkStart w:id="35" w:name="Xf1362ea41d1bc65be321c0a378a20159f9a26d0"/>
    <w:p>
      <w:pPr>
        <w:pStyle w:val="Heading3"/>
      </w:pPr>
      <w:r>
        <w:t xml:space="preserve">7.4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4739"/>
        <w:gridCol w:w="9943"/>
      </w:tblGrid>
      <w:tr>
        <w:trPr>
          <w:tblHeader w:val="true"/>
          <w:tblHeader w:val="true"/>
          <w:cantSplit/>
        </w:trPr>
        <w:tc>
          <w:tcPr>
            <w:tcW w:type="dxa" w:w="474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9943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Internal and external communication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35"/>
    <w:bookmarkStart w:id="36" w:name="X50ddec8dd206c2e2ab1aeeaa90e85e51753b8b7"/>
    <w:p>
      <w:pPr>
        <w:pStyle w:val="Heading3"/>
      </w:pPr>
      <w:r>
        <w:t xml:space="preserve">7.5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3981"/>
        <w:gridCol w:w="10701"/>
      </w:tblGrid>
      <w:tr>
        <w:trPr>
          <w:tblHeader w:val="true"/>
          <w:tblHeader w:val="true"/>
          <w:cantSplit/>
        </w:trPr>
        <w:tc>
          <w:tcPr>
            <w:tcW w:type="dxa" w:w="3982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10702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9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1070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Documented information: creation, updating and control</w:t>
            </w:r>
          </w:p>
        </w:tc>
      </w:tr>
      <w:tr>
        <w:trPr>
          <w:cantSplit/>
        </w:trPr>
        <w:tc>
          <w:tcPr>
            <w:tcW w:type="dxa" w:w="398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1070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39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1070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398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1070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39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1070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398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1070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39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1070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398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1070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39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1070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36"/>
    <w:bookmarkStart w:id="37" w:name="Xd513c0bcbe33b2e7440e5e14d0b22ef95c9d673"/>
    <w:p>
      <w:pPr>
        <w:pStyle w:val="Heading3"/>
      </w:pPr>
      <w:r>
        <w:t xml:space="preserve">8.1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2936"/>
        <w:gridCol w:w="11747"/>
      </w:tblGrid>
      <w:tr>
        <w:trPr>
          <w:tblHeader w:val="true"/>
          <w:tblHeader w:val="true"/>
          <w:cantSplit/>
        </w:trPr>
        <w:tc>
          <w:tcPr>
            <w:tcW w:type="dxa" w:w="2936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11747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9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1174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Operational planning and control, including control of externally provided processes</w:t>
            </w:r>
          </w:p>
        </w:tc>
      </w:tr>
      <w:tr>
        <w:trPr>
          <w:cantSplit/>
        </w:trPr>
        <w:tc>
          <w:tcPr>
            <w:tcW w:type="dxa" w:w="293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1174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29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1174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293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1174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29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1174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293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1174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29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1174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293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1174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29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1174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37"/>
    <w:bookmarkStart w:id="38" w:name="X6546f9a641ede2beab506b96df1688d889e629a"/>
    <w:p>
      <w:pPr>
        <w:pStyle w:val="Heading3"/>
      </w:pPr>
      <w:r>
        <w:t xml:space="preserve">8.2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2887"/>
        <w:gridCol w:w="11796"/>
      </w:tblGrid>
      <w:tr>
        <w:trPr>
          <w:tblHeader w:val="true"/>
          <w:tblHeader w:val="true"/>
          <w:cantSplit/>
        </w:trPr>
        <w:tc>
          <w:tcPr>
            <w:tcW w:type="dxa" w:w="2887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11796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8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117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Perform risk assessments at planned intervals or on significant change; retain results</w:t>
            </w:r>
          </w:p>
        </w:tc>
      </w:tr>
      <w:tr>
        <w:trPr>
          <w:cantSplit/>
        </w:trPr>
        <w:tc>
          <w:tcPr>
            <w:tcW w:type="dxa" w:w="288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1179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28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117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288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1179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28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117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288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1179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28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117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288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1179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28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117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38"/>
    <w:bookmarkStart w:id="39" w:name="Xd7116e23efef7292cad5e6f033d9a962708228c"/>
    <w:p>
      <w:pPr>
        <w:pStyle w:val="Heading3"/>
      </w:pPr>
      <w:r>
        <w:t xml:space="preserve">8.3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4240"/>
        <w:gridCol w:w="10443"/>
      </w:tblGrid>
      <w:tr>
        <w:trPr>
          <w:tblHeader w:val="true"/>
          <w:tblHeader w:val="true"/>
          <w:cantSplit/>
        </w:trPr>
        <w:tc>
          <w:tcPr>
            <w:tcW w:type="dxa" w:w="424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10443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42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104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Implement the risk treatment plan; retain results</w:t>
            </w:r>
          </w:p>
        </w:tc>
      </w:tr>
      <w:tr>
        <w:trPr>
          <w:cantSplit/>
        </w:trPr>
        <w:tc>
          <w:tcPr>
            <w:tcW w:type="dxa" w:w="42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104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42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104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42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104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42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104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42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104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42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104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42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104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42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104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39"/>
    <w:bookmarkStart w:id="40" w:name="Xcd66dfabbd964f8c6c4414b07cdb45dae692e19"/>
    <w:p>
      <w:pPr>
        <w:pStyle w:val="Heading3"/>
      </w:pPr>
      <w:r>
        <w:t xml:space="preserve">9.1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3553"/>
        <w:gridCol w:w="11129"/>
      </w:tblGrid>
      <w:tr>
        <w:trPr>
          <w:tblHeader w:val="true"/>
          <w:tblHeader w:val="true"/>
          <w:cantSplit/>
        </w:trPr>
        <w:tc>
          <w:tcPr>
            <w:tcW w:type="dxa" w:w="355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1113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5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111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Monitoring, measurement, analysis and evaluation; retain results</w:t>
            </w:r>
          </w:p>
        </w:tc>
      </w:tr>
      <w:tr>
        <w:trPr>
          <w:cantSplit/>
        </w:trPr>
        <w:tc>
          <w:tcPr>
            <w:tcW w:type="dxa" w:w="355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111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35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111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355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111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35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111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355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111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35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111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355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111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35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111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40"/>
    <w:bookmarkStart w:id="41" w:name="X02845c58c2c863cc56309a21287940ae0f42aaf"/>
    <w:p>
      <w:pPr>
        <w:pStyle w:val="Heading3"/>
      </w:pPr>
      <w:r>
        <w:t xml:space="preserve">9.2.1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4739"/>
        <w:gridCol w:w="9943"/>
      </w:tblGrid>
      <w:tr>
        <w:trPr>
          <w:tblHeader w:val="true"/>
          <w:tblHeader w:val="true"/>
          <w:cantSplit/>
        </w:trPr>
        <w:tc>
          <w:tcPr>
            <w:tcW w:type="dxa" w:w="474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9943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Internal audit at planned intervals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41"/>
    <w:bookmarkStart w:id="42" w:name="X707f92226a773ddf1b2602948b881004c8a96e9"/>
    <w:p>
      <w:pPr>
        <w:pStyle w:val="Heading3"/>
      </w:pPr>
      <w:r>
        <w:t xml:space="preserve">9.2.2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2253"/>
        <w:gridCol w:w="12429"/>
      </w:tblGrid>
      <w:tr>
        <w:trPr>
          <w:tblHeader w:val="true"/>
          <w:tblHeader w:val="true"/>
          <w:cantSplit/>
        </w:trPr>
        <w:tc>
          <w:tcPr>
            <w:tcW w:type="dxa" w:w="225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1243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Internal audit programme: frequency, methods, responsibilities, criteria and scope; auditor objectivity; results reported</w:t>
            </w:r>
          </w:p>
        </w:tc>
      </w:tr>
      <w:tr>
        <w:trPr>
          <w:cantSplit/>
        </w:trPr>
        <w:tc>
          <w:tcPr>
            <w:tcW w:type="dxa" w:w="225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124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225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124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225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124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225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124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225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124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42"/>
    <w:bookmarkStart w:id="43" w:name="X3acc66a6e5f774385d481147f4c00e167992708"/>
    <w:p>
      <w:pPr>
        <w:pStyle w:val="Heading3"/>
      </w:pPr>
      <w:r>
        <w:t xml:space="preserve">9.3.1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4739"/>
        <w:gridCol w:w="9943"/>
      </w:tblGrid>
      <w:tr>
        <w:trPr>
          <w:tblHeader w:val="true"/>
          <w:tblHeader w:val="true"/>
          <w:cantSplit/>
        </w:trPr>
        <w:tc>
          <w:tcPr>
            <w:tcW w:type="dxa" w:w="474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9943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Management review at planned intervals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43"/>
    <w:bookmarkStart w:id="44" w:name="X8833c7535d845800e2f2def1ca24a26e4c8a831"/>
    <w:p>
      <w:pPr>
        <w:pStyle w:val="Heading3"/>
      </w:pPr>
      <w:r>
        <w:t xml:space="preserve">9.3.2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3014"/>
        <w:gridCol w:w="11669"/>
      </w:tblGrid>
      <w:tr>
        <w:trPr>
          <w:tblHeader w:val="true"/>
          <w:tblHeader w:val="true"/>
          <w:cantSplit/>
        </w:trPr>
        <w:tc>
          <w:tcPr>
            <w:tcW w:type="dxa" w:w="301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1166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1166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Management review inputs a) to g), including changes in interested parties' needs</w:t>
            </w:r>
          </w:p>
        </w:tc>
      </w:tr>
      <w:tr>
        <w:trPr>
          <w:cantSplit/>
        </w:trPr>
        <w:tc>
          <w:tcPr>
            <w:tcW w:type="dxa" w:w="301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1166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30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1166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301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1166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30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1166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301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1166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30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1166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301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1166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30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1166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44"/>
    <w:bookmarkStart w:id="45" w:name="X51c55ccd92d606a8027eb583e6cba25eb786891"/>
    <w:p>
      <w:pPr>
        <w:pStyle w:val="Heading3"/>
      </w:pPr>
      <w:r>
        <w:t xml:space="preserve">9.3.3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3275"/>
        <w:gridCol w:w="11407"/>
      </w:tblGrid>
      <w:tr>
        <w:trPr>
          <w:tblHeader w:val="true"/>
          <w:tblHeader w:val="true"/>
          <w:cantSplit/>
        </w:trPr>
        <w:tc>
          <w:tcPr>
            <w:tcW w:type="dxa" w:w="3276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1140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27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1140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Management review results: improvement decisions and changes; documented</w:t>
            </w:r>
          </w:p>
        </w:tc>
      </w:tr>
      <w:tr>
        <w:trPr>
          <w:cantSplit/>
        </w:trPr>
        <w:tc>
          <w:tcPr>
            <w:tcW w:type="dxa" w:w="327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1140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327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1140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327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1140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327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1140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327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1140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327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1140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327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1140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327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1140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45"/>
    <w:bookmarkStart w:id="46" w:name="Xbc0f004854457f59fb16ab863a3a1722cef553f"/>
    <w:p>
      <w:pPr>
        <w:pStyle w:val="Heading3"/>
      </w:pPr>
      <w:r>
        <w:t xml:space="preserve">10.1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4739"/>
        <w:gridCol w:w="9943"/>
      </w:tblGrid>
      <w:tr>
        <w:trPr>
          <w:tblHeader w:val="true"/>
          <w:tblHeader w:val="true"/>
          <w:cantSplit/>
        </w:trPr>
        <w:tc>
          <w:tcPr>
            <w:tcW w:type="dxa" w:w="474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9943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Continual improvement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47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99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47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99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46"/>
    <w:bookmarkStart w:id="47" w:name="X8306ae139ac98f432932286151dc0ec55580eca"/>
    <w:p>
      <w:pPr>
        <w:pStyle w:val="Heading3"/>
      </w:pPr>
      <w:r>
        <w:t xml:space="preserve">10.2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2585"/>
        <w:gridCol w:w="12098"/>
      </w:tblGrid>
      <w:tr>
        <w:trPr>
          <w:tblHeader w:val="true"/>
          <w:tblHeader w:val="true"/>
          <w:cantSplit/>
        </w:trPr>
        <w:tc>
          <w:tcPr>
            <w:tcW w:type="dxa" w:w="2585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1209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58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Requirement</w:t>
            </w:r>
          </w:p>
        </w:tc>
        <w:tc>
          <w:tcPr>
            <w:tcW w:type="dxa" w:w="1209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Nonconformity and corrective action (correction, root cause, action, effectiveness review); retained</w:t>
            </w:r>
          </w:p>
        </w:tc>
      </w:tr>
      <w:tr>
        <w:trPr>
          <w:cantSplit/>
        </w:trPr>
        <w:tc>
          <w:tcPr>
            <w:tcW w:type="dxa" w:w="258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Stage 1 gate (Y/N)</w:t>
            </w:r>
          </w:p>
        </w:tc>
        <w:tc>
          <w:tcPr>
            <w:tcW w:type="dxa" w:w="1209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258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Score (0-2)</w:t>
            </w:r>
          </w:p>
        </w:tc>
        <w:tc>
          <w:tcPr>
            <w:tcW w:type="dxa" w:w="1209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[0/1/2]</w:t>
            </w:r>
          </w:p>
        </w:tc>
      </w:tr>
      <w:tr>
        <w:trPr>
          <w:cantSplit/>
        </w:trPr>
        <w:tc>
          <w:tcPr>
            <w:tcW w:type="dxa" w:w="258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Current state</w:t>
            </w:r>
          </w:p>
        </w:tc>
        <w:tc>
          <w:tcPr>
            <w:tcW w:type="dxa" w:w="1209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exists today, citing a document ID]</w:t>
            </w:r>
          </w:p>
        </w:tc>
      </w:tr>
      <w:tr>
        <w:trPr>
          <w:cantSplit/>
        </w:trPr>
        <w:tc>
          <w:tcPr>
            <w:tcW w:type="dxa" w:w="258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Gap</w:t>
            </w:r>
          </w:p>
        </w:tc>
        <w:tc>
          <w:tcPr>
            <w:tcW w:type="dxa" w:w="1209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[What is missing]</w:t>
            </w:r>
          </w:p>
        </w:tc>
      </w:tr>
      <w:tr>
        <w:trPr>
          <w:cantSplit/>
        </w:trPr>
        <w:tc>
          <w:tcPr>
            <w:tcW w:type="dxa" w:w="258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Evidence needed</w:t>
            </w:r>
          </w:p>
        </w:tc>
        <w:tc>
          <w:tcPr>
            <w:tcW w:type="dxa" w:w="1209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[Artifact an auditor would ask for]</w:t>
            </w:r>
          </w:p>
        </w:tc>
      </w:tr>
      <w:tr>
        <w:trPr>
          <w:cantSplit/>
        </w:trPr>
        <w:tc>
          <w:tcPr>
            <w:tcW w:type="dxa" w:w="258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Owner (job title)</w:t>
            </w:r>
          </w:p>
        </w:tc>
        <w:tc>
          <w:tcPr>
            <w:tcW w:type="dxa" w:w="1209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[Job title]</w:t>
            </w:r>
          </w:p>
        </w:tc>
      </w:tr>
      <w:tr>
        <w:trPr>
          <w:cantSplit/>
        </w:trPr>
        <w:tc>
          <w:tcPr>
            <w:tcW w:type="dxa" w:w="258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type="dxa" w:w="1209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[Action ID]</w:t>
            </w:r>
          </w:p>
        </w:tc>
      </w:tr>
      <w:tr>
        <w:trPr>
          <w:cantSplit/>
        </w:trPr>
        <w:tc>
          <w:tcPr>
            <w:tcW w:type="dxa" w:w="258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Due</w:t>
            </w:r>
          </w:p>
        </w:tc>
        <w:tc>
          <w:tcPr>
            <w:tcW w:type="dxa" w:w="1209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[DD Mon YYYY]</w:t>
            </w:r>
          </w:p>
        </w:tc>
      </w:tr>
    </w:tbl>
    <w:bookmarkEnd w:id="47"/>
    <w:bookmarkEnd w:id="48"/>
    <w:bookmarkStart w:id="49" w:name="result"/>
    <w:p>
      <w:pPr>
        <w:pStyle w:val="Heading2"/>
      </w:pPr>
      <w:r>
        <w:t xml:space="preserve">Result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14683" w:type="dxa"/>
      </w:tblPr>
      <w:tblGrid>
        <w:gridCol w:w="3420"/>
        <w:gridCol w:w="8887"/>
        <w:gridCol w:w="2374"/>
      </w:tblGrid>
      <w:tr>
        <w:trPr>
          <w:tblHeader w:val="true"/>
          <w:tblHeader w:val="true"/>
          <w:cantSplit/>
        </w:trPr>
        <w:tc>
          <w:tcPr>
            <w:tcW w:type="dxa" w:w="3421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Component</w:t>
            </w:r>
          </w:p>
        </w:tc>
        <w:tc>
          <w:tcPr>
            <w:tcW w:type="dxa" w:w="888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Calculation</w:t>
            </w:r>
          </w:p>
        </w:tc>
        <w:tc>
          <w:tcPr>
            <w:tcW w:type="dxa" w:w="2375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4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Clauses 4–10</w:t>
            </w:r>
          </w:p>
        </w:tc>
        <w:tc>
          <w:tcPr>
            <w:tcW w:type="dxa" w:w="888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[sum] ÷ 56</w:t>
            </w:r>
          </w:p>
        </w:tc>
        <w:tc>
          <w:tcPr>
            <w:tcW w:type="dxa" w:w="237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[%]</w:t>
            </w:r>
          </w:p>
        </w:tc>
      </w:tr>
      <w:tr>
        <w:trPr>
          <w:cantSplit/>
        </w:trPr>
        <w:tc>
          <w:tcPr>
            <w:tcW w:type="dxa" w:w="342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Annex A</w:t>
            </w:r>
          </w:p>
        </w:tc>
        <w:tc>
          <w:tcPr>
            <w:tcW w:type="dxa" w:w="888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([Implemented] × 1 + [Partial] × 0.5) ÷ [applicable]</w:t>
            </w:r>
          </w:p>
        </w:tc>
        <w:tc>
          <w:tcPr>
            <w:tcW w:type="dxa" w:w="237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[%]</w:t>
            </w:r>
          </w:p>
        </w:tc>
      </w:tr>
      <w:tr>
        <w:trPr>
          <w:cantSplit/>
        </w:trPr>
        <w:tc>
          <w:tcPr>
            <w:tcW w:type="dxa" w:w="34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Weighted readiness</w:t>
            </w:r>
          </w:p>
        </w:tc>
        <w:tc>
          <w:tcPr>
            <w:tcW w:type="dxa" w:w="888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0.6 × [clauses] + 0.4 × [Annex A]</w:t>
            </w:r>
          </w:p>
        </w:tc>
        <w:tc>
          <w:tcPr>
            <w:tcW w:type="dxa" w:w="237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[%]</w:t>
            </w:r>
          </w:p>
        </w:tc>
      </w:tr>
      <w:tr>
        <w:trPr>
          <w:cantSplit/>
        </w:trPr>
        <w:tc>
          <w:tcPr>
            <w:tcW w:type="dxa" w:w="342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Gate failures</w:t>
            </w:r>
          </w:p>
        </w:tc>
        <w:tc>
          <w:tcPr>
            <w:tcW w:type="dxa" w:w="888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[n] of 8</w:t>
            </w:r>
          </w:p>
        </w:tc>
        <w:tc>
          <w:tcPr>
            <w:tcW w:type="dxa" w:w="237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[GO / NO-GO]</w:t>
            </w:r>
          </w:p>
        </w:tc>
      </w:tr>
    </w:tbl>
    <w:bookmarkEnd w:id="49"/>
    <w:bookmarkStart w:id="50" w:name="fill-in-checklist"/>
    <w:p>
      <w:pPr>
        <w:pStyle w:val="Heading2"/>
      </w:pPr>
      <w:r>
        <w:t xml:space="preserve">Fill-in checklist</w:t>
      </w:r>
    </w:p>
    <w:p>
      <w:pPr>
        <w:numPr>
          <w:ilvl w:val="0"/>
          <w:numId w:val="1002"/>
        </w:numPr>
        <w:pStyle w:val="Compact"/>
      </w:pPr>
      <w:r>
        <w:t xml:space="preserve">☐ All 28 requirements are scored, and every score of 2 cites evidence an auditor could sample.</w:t>
      </w:r>
    </w:p>
    <w:p>
      <w:pPr>
        <w:numPr>
          <w:ilvl w:val="0"/>
          <w:numId w:val="1002"/>
        </w:numPr>
        <w:pStyle w:val="Compact"/>
      </w:pPr>
      <w:r>
        <w:t xml:space="preserve">☐ No gate requirement is scored 2 on the strength of a draft or an unapproved document.</w:t>
      </w:r>
    </w:p>
    <w:p>
      <w:pPr>
        <w:numPr>
          <w:ilvl w:val="0"/>
          <w:numId w:val="1002"/>
        </w:numPr>
        <w:pStyle w:val="Compact"/>
      </w:pPr>
      <w:r>
        <w:t xml:space="preserve">☐ Internal audit (9.2) and management review (9.3) are scored on what has actually happened, not on what is planned.</w:t>
      </w:r>
    </w:p>
    <w:p>
      <w:pPr>
        <w:numPr>
          <w:ilvl w:val="0"/>
          <w:numId w:val="1002"/>
        </w:numPr>
        <w:pStyle w:val="Compact"/>
      </w:pPr>
      <w:r>
        <w:t xml:space="preserve">☐ Every gap has an owner (job title), an action ID and a due date that matches the certification roadmap.</w:t>
      </w:r>
    </w:p>
    <w:p>
      <w:pPr>
        <w:numPr>
          <w:ilvl w:val="0"/>
          <w:numId w:val="1002"/>
        </w:numPr>
        <w:pStyle w:val="Compact"/>
      </w:pPr>
      <w:r>
        <w:t xml:space="preserve">☐ The Annex A score uses the counts from the current, approved SoA.</w:t>
      </w:r>
    </w:p>
    <w:p>
      <w:pPr>
        <w:numPr>
          <w:ilvl w:val="0"/>
          <w:numId w:val="1002"/>
        </w:numPr>
        <w:pStyle w:val="Compact"/>
      </w:pPr>
      <w:r>
        <w:t xml:space="preserve">☐ The Stage 1 decision applies the gate override before the percentage.</w:t>
      </w:r>
    </w:p>
    <w:bookmarkEnd w:id="50"/>
    <w:bookmarkEnd w:id="51"/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orient="landscape" w:w="16838" w:h="11906"/>
      <w:pgMar w:left="1077" w:right="1077" w:top="1134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5"/>
      </w:rPr>
      <w:t xml:space="preserve">Prepared by Olugboye Shola  ·  Page </w:t>
    </w:r>
    <w:r>
      <w:rPr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B7280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6B7280"/>
        <w:sz w:val="15"/>
      </w:rPr>
      <w:t>ISO/IEC 27001:2022 CLAUSES 4-10 READINESS ASSESSMENT | REUSABLE TEMPLATE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9" w:lineRule="auto"/>
    </w:pPr>
    <w:rPr>
      <w:rFonts w:ascii="Calibri" w:hAnsi="Calibri" w:eastAsia="Calibri"/>
      <w:color w:val="1F2937"/>
      <w:sz w:val="20"/>
    </w:rPr>
  </w:style>
  <w:style w:styleId="BodyText" w:type="paragraph">
    <w:name w:val="Body Text"/>
    <w:basedOn w:val="Normal"/>
    <w:link w:val="BodyTextChar"/>
    <w:pPr>
      <w:spacing w:after="100" w:before="180" w:line="269" w:lineRule="auto"/>
    </w:pPr>
    <w:qFormat/>
    <w:rPr>
      <w:rFonts w:ascii="Calibri" w:hAnsi="Calibri" w:eastAsia="Calibri"/>
      <w:color w:val="1F2937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00" w:line="269" w:lineRule="auto"/>
    </w:pPr>
    <w:rPr>
      <w:rFonts w:ascii="Calibri" w:hAnsi="Calibri" w:eastAsia="Calibri"/>
      <w:color w:val="1F2937"/>
      <w:sz w:val="20"/>
    </w:rPr>
  </w:style>
  <w:style w:customStyle="1" w:styleId="Compact" w:type="paragraph">
    <w:name w:val="Compact"/>
    <w:basedOn w:val="BodyText"/>
    <w:qFormat/>
    <w:pPr>
      <w:spacing w:after="20" w:before="36" w:line="269" w:lineRule="auto"/>
    </w:pPr>
    <w:rPr>
      <w:rFonts w:ascii="Calibri" w:hAnsi="Calibri" w:eastAsia="Calibri"/>
      <w:color w:val="1F2937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B254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120"/>
      <w:outlineLvl w:val="0"/>
    </w:pPr>
    <w:rPr>
      <w:rFonts w:ascii="Calibri" w:hAnsi="Calibri"/>
      <w:b/>
      <w:bCs/>
      <w:i w:val="0"/>
      <w:color w:val="0B2545"/>
      <w:sz w:val="3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80"/>
      <w:outlineLvl w:val="1"/>
    </w:pPr>
    <w:rPr>
      <w:rFonts w:ascii="Calibri" w:hAnsi="Calibri"/>
      <w:b/>
      <w:bCs/>
      <w:i w:val="0"/>
      <w:color w:val="13315C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80"/>
      <w:outlineLvl w:val="2"/>
    </w:pPr>
    <w:rPr>
      <w:rFonts w:ascii="Calibri" w:hAnsi="Calibri"/>
      <w:b/>
      <w:bCs/>
      <w:i w:val="0"/>
      <w:color w:val="1B4965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00" w:before="280"/>
      <w:outlineLvl w:val="3"/>
    </w:pPr>
    <w:rPr>
      <w:rFonts w:ascii="Calibri" w:hAnsi="Calibri"/>
      <w:i w:val="0"/>
      <w:b/>
      <w:bCs/>
      <w:color w:val="1B4965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170" w:right="113"/>
      <w:pBdr>
        <w:left w:val="single" w:sz="24" w:space="6" w:color="2E86DE"/>
      </w:pBdr>
      <w:shd w:val="clear" w:color="auto" w:fill="EAF2FB"/>
    </w:pPr>
    <w:rPr>
      <w:i w:val="0"/>
      <w:color w:val="13315C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ISO/IEC 27001:2022 Clauses 4-10 Readiness Assessment | Reusable template</dc:title>
  <dc:creator>Olugboye Shola</dc:creator>
  <cp:keywords/>
  <dcterms:created xsi:type="dcterms:W3CDTF">2026-10-13T14:23:04Z</dcterms:created>
  <dcterms:modified xsi:type="dcterms:W3CDTF">2026-10-13T14:23:04Z</dcterms:modified>
  <cp:lastModifiedBy>Olugboye Shola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