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02ad46233350c1870b365c1974684049f45c19"/>
    <w:p>
      <w:pPr>
        <w:spacing w:after="40"/>
      </w:pPr>
      <w:r>
        <w:rPr>
          <w:b/>
          <w:color w:val="2E86DE"/>
          <w:sz w:val="16"/>
        </w:rPr>
        <w:t>REUSABLE GRC TEMPLATE · FREE TO ADAPT</w:t>
      </w:r>
    </w:p>
    <w:p>
      <w:pPr>
        <w:pStyle w:val="Heading1"/>
      </w:pPr>
      <w:r>
        <w:t xml:space="preserve">[ORGANISATION] — Vendor Security Assessment Report</w:t>
      </w:r>
    </w:p>
    <w:p>
      <w:pPr>
        <w:pStyle w:val="FirstParagraph"/>
      </w:pPr>
      <w:r>
        <w:rPr>
          <w:bCs/>
          <w:b/>
        </w:rPr>
        <w:t xml:space="preserve">Assessment ID:</w:t>
      </w:r>
      <w:r>
        <w:t xml:space="preserve"> </w:t>
      </w:r>
      <w:r>
        <w:t xml:space="preserve">[VRA-YYYY-nnn]</w:t>
      </w:r>
    </w:p>
    <w:p>
      <w:pPr>
        <w:pStyle w:val="BlockText"/>
      </w:pPr>
      <w:r>
        <w:rPr>
          <w:bCs/>
          <w:b/>
        </w:rPr>
        <w:t xml:space="preserve">How to use this template.</w:t>
      </w:r>
      <w:r>
        <w:t xml:space="preserve"> </w:t>
      </w:r>
      <w:r>
        <w:t xml:space="preserve">Everything in</w:t>
      </w:r>
      <w:r>
        <w:t xml:space="preserve"> </w:t>
      </w:r>
      <w:r>
        <w:rPr>
          <w:rStyle w:val="VerbatimChar"/>
        </w:rPr>
        <w:t xml:space="preserve">[SQUARE BRACKETS]</w:t>
      </w:r>
      <w:r>
        <w:t xml:space="preserve"> </w:t>
      </w:r>
      <w:r>
        <w:t xml:space="preserve">is a field to replace.</w:t>
      </w:r>
      <w:r>
        <w:t xml:space="preserve"> </w:t>
      </w:r>
      <w:r>
        <w:t xml:space="preserve">Everything outside them is method and should be changed only deliberately. Guidance sits in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>blockquotes and is deleted before the document is issued. Prepared by Olugboye Shola.</w:t>
      </w:r>
    </w:p>
    <w:bookmarkStart w:id="20" w:name="X943d75a560f67d620fb57e2f1374aaecae85b2e"/>
    <w:p>
      <w:pPr>
        <w:pStyle w:val="Heading2"/>
      </w:pPr>
      <w:r>
        <w:t xml:space="preserve">1. Assessment header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2951"/>
        <w:gridCol w:w="6799"/>
      </w:tblGrid>
      <w:tr>
        <w:trPr>
          <w:tblHeader w:val="true"/>
          <w:tblHeader w:val="true"/>
          <w:cantSplit/>
        </w:trPr>
        <w:tc>
          <w:tcPr>
            <w:tcW w:type="dxa" w:w="2952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6799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Assessment ID</w:t>
            </w:r>
          </w:p>
        </w:tc>
        <w:tc>
          <w:tcPr>
            <w:tcW w:type="dxa" w:w="67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[VRA-YYYY-nnn]</w:t>
            </w:r>
          </w:p>
        </w:tc>
      </w:tr>
      <w:tr>
        <w:trPr>
          <w:cantSplit/>
        </w:trPr>
        <w:tc>
          <w:tcPr>
            <w:tcW w:type="dxa" w:w="295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Vendor</w:t>
            </w:r>
          </w:p>
        </w:tc>
        <w:tc>
          <w:tcPr>
            <w:tcW w:type="dxa" w:w="679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[Vendor legal name] — [VEN-nnn]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Service assessed</w:t>
            </w:r>
          </w:p>
        </w:tc>
        <w:tc>
          <w:tcPr>
            <w:tcW w:type="dxa" w:w="67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it does for us — be specific about the plan or tier in use]</w:t>
            </w:r>
          </w:p>
        </w:tc>
      </w:tr>
      <w:tr>
        <w:trPr>
          <w:cantSplit/>
        </w:trPr>
        <w:tc>
          <w:tcPr>
            <w:tcW w:type="dxa" w:w="295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Business owner</w:t>
            </w:r>
          </w:p>
        </w:tc>
        <w:tc>
          <w:tcPr>
            <w:tcW w:type="dxa" w:w="679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 — never a person's name]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Tier</w:t>
            </w:r>
          </w:p>
        </w:tc>
        <w:tc>
          <w:tcPr>
            <w:tcW w:type="dxa" w:w="67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[1/2/3]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[trigger(s) fired, or factor total D+A+C+R]</w:t>
            </w:r>
          </w:p>
        </w:tc>
      </w:tr>
      <w:tr>
        <w:trPr>
          <w:cantSplit/>
        </w:trPr>
        <w:tc>
          <w:tcPr>
            <w:tcW w:type="dxa" w:w="295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Assessment depth applied</w:t>
            </w:r>
          </w:p>
        </w:tc>
        <w:tc>
          <w:tcPr>
            <w:tcW w:type="dxa" w:w="679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[Full questionnaire / Lite / Attestation]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Assessor / Approver</w:t>
            </w:r>
          </w:p>
        </w:tc>
        <w:tc>
          <w:tcPr>
            <w:tcW w:type="dxa" w:w="67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[Assessor] / [Approver, job title]</w:t>
            </w:r>
          </w:p>
        </w:tc>
      </w:tr>
      <w:tr>
        <w:trPr>
          <w:cantSplit/>
        </w:trPr>
        <w:tc>
          <w:tcPr>
            <w:tcW w:type="dxa" w:w="295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>
            <w:tcW w:type="dxa" w:w="679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Month YYYY]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Weighted score</w:t>
            </w:r>
          </w:p>
        </w:tc>
        <w:tc>
          <w:tcPr>
            <w:tcW w:type="dxa" w:w="67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[nn]%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([deduction] deducted from a maximum of [max], net of [n] N/A)</w:t>
            </w:r>
          </w:p>
        </w:tc>
      </w:tr>
      <w:tr>
        <w:trPr>
          <w:cantSplit/>
        </w:trPr>
        <w:tc>
          <w:tcPr>
            <w:tcW w:type="dxa" w:w="295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Weight-5 questions Not Met</w:t>
            </w:r>
          </w:p>
        </w:tc>
        <w:tc>
          <w:tcPr>
            <w:tcW w:type="dxa" w:w="679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[n]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(against a Fail threshold of [2])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Inherent vendor risk</w:t>
            </w:r>
          </w:p>
        </w:tc>
        <w:tc>
          <w:tcPr>
            <w:tcW w:type="dxa" w:w="67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[n] — [band]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(L[n] × I[n])</w:t>
            </w:r>
          </w:p>
        </w:tc>
      </w:tr>
      <w:tr>
        <w:trPr>
          <w:cantSplit/>
        </w:trPr>
        <w:tc>
          <w:tcPr>
            <w:tcW w:type="dxa" w:w="295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Residual vendor risk</w:t>
            </w:r>
          </w:p>
        </w:tc>
        <w:tc>
          <w:tcPr>
            <w:tcW w:type="dxa" w:w="679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[n] — [band]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(L[n] × I[n])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Post-remediation target</w:t>
            </w:r>
          </w:p>
        </w:tc>
        <w:tc>
          <w:tcPr>
            <w:tcW w:type="dxa" w:w="67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[n] — [band]</w:t>
            </w:r>
          </w:p>
        </w:tc>
      </w:tr>
      <w:tr>
        <w:trPr>
          <w:cantSplit/>
        </w:trPr>
        <w:tc>
          <w:tcPr>
            <w:tcW w:type="dxa" w:w="295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Decision</w:t>
            </w:r>
          </w:p>
        </w:tc>
        <w:tc>
          <w:tcPr>
            <w:tcW w:type="dxa" w:w="679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[PASS / PASS WITH CONDITIONS / FAIL — REMEDIATE OR EXIT / ACCEPTED]</w:t>
            </w:r>
          </w:p>
        </w:tc>
      </w:tr>
    </w:tbl>
    <w:bookmarkEnd w:id="20"/>
    <w:bookmarkStart w:id="21" w:name="Xccb42053898e0e40065bcccb6aa813e27c7106e"/>
    <w:p>
      <w:pPr>
        <w:pStyle w:val="Heading2"/>
      </w:pPr>
      <w:r>
        <w:t xml:space="preserve">2. Reviewer assessment</w:t>
      </w:r>
    </w:p>
    <w:p>
      <w:pPr>
        <w:pStyle w:val="BlockText"/>
      </w:pPr>
      <w:r>
        <w:t xml:space="preserve">Three or four paragraphs, and make the first one do real work. State plainly</w:t>
      </w:r>
      <w:r>
        <w:t xml:space="preserve"> </w:t>
      </w:r>
      <w:r>
        <w:rPr>
          <w:bCs/>
          <w:b/>
        </w:rPr>
        <w:t xml:space="preserve">whether the failures</w:t>
      </w:r>
      <w:r>
        <w:rPr>
          <w:bCs/>
          <w:b/>
        </w:rPr>
        <w:t xml:space="preserve"> </w:t>
      </w:r>
      <w:r>
        <w:rPr>
          <w:bCs/>
          <w:b/>
        </w:rPr>
        <w:t xml:space="preserve">are the vendor's or yours</w:t>
      </w:r>
      <w:r>
        <w:t xml:space="preserve"> </w:t>
      </w:r>
      <w:r>
        <w:t xml:space="preserve">— in a well-run assessment of a mature vendor, most findings are the</w:t>
      </w:r>
      <w:r>
        <w:t xml:space="preserve"> </w:t>
      </w:r>
      <w:r>
        <w:t xml:space="preserve">customer's governance failures, and saying so changes what the remediation looks like.</w:t>
      </w:r>
    </w:p>
    <w:p>
      <w:pPr>
        <w:pStyle w:val="BlockText"/>
      </w:pPr>
      <w:r>
        <w:t xml:space="preserve">Then justify the residual score explicitly.</w:t>
      </w:r>
      <w:r>
        <w:t xml:space="preserve"> </w:t>
      </w:r>
      <w:r>
        <w:rPr>
          <w:bCs/>
          <w:b/>
        </w:rPr>
        <w:t xml:space="preserve">If no control of yours reduces the risk, residual equals</w:t>
      </w:r>
      <w:r>
        <w:rPr>
          <w:bCs/>
          <w:b/>
        </w:rPr>
        <w:t xml:space="preserve"> </w:t>
      </w:r>
      <w:r>
        <w:rPr>
          <w:bCs/>
          <w:b/>
        </w:rPr>
        <w:t xml:space="preserve">inherent, and that is itself the finding.</w:t>
      </w:r>
      <w:r>
        <w:t xml:space="preserve"> </w:t>
      </w:r>
      <w:r>
        <w:t xml:space="preserve">Scoring a reduction because the vendor is reputable is the</w:t>
      </w:r>
      <w:r>
        <w:t xml:space="preserve"> </w:t>
      </w:r>
      <w:r>
        <w:t xml:space="preserve">"your vendor's certification is your vendor's control" error.</w:t>
      </w:r>
    </w:p>
    <w:p>
      <w:pPr>
        <w:pStyle w:val="FirstParagraph"/>
      </w:pPr>
      <w:r>
        <w:t xml:space="preserve">[Paragraph 1 — what this vendor is to us and why the tier is what it is.]</w:t>
      </w:r>
    </w:p>
    <w:p>
      <w:pPr>
        <w:pStyle w:val="BodyText"/>
      </w:pPr>
      <w:r>
        <w:t xml:space="preserve">[Paragraph 2 — the headline judgement, and where the failure actually sits.]</w:t>
      </w:r>
    </w:p>
    <w:p>
      <w:pPr>
        <w:pStyle w:val="BodyText"/>
      </w:pPr>
      <w:r>
        <w:t xml:space="preserve">[Paragraph 3 — justification of the residual score.]</w:t>
      </w:r>
    </w:p>
    <w:bookmarkEnd w:id="21"/>
    <w:bookmarkStart w:id="22" w:name="Xd3ddf18c7c1d1ebb53583fc7764c0d560d89e2b"/>
    <w:p>
      <w:pPr>
        <w:pStyle w:val="Heading2"/>
      </w:pPr>
      <w:r>
        <w:t xml:space="preserve">3. Findings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883"/>
        <w:gridCol w:w="1814"/>
        <w:gridCol w:w="1991"/>
        <w:gridCol w:w="1520"/>
        <w:gridCol w:w="1235"/>
        <w:gridCol w:w="2305"/>
      </w:tblGrid>
      <w:tr>
        <w:trPr>
          <w:tblHeader w:val="true"/>
          <w:tblHeader w:val="true"/>
          <w:cantSplit/>
        </w:trPr>
        <w:tc>
          <w:tcPr>
            <w:tcW w:type="dxa" w:w="88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tcW w:type="dxa" w:w="1815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Sev</w:t>
            </w:r>
          </w:p>
        </w:tc>
        <w:tc>
          <w:tcPr>
            <w:tcW w:type="dxa" w:w="1992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Finding</w:t>
            </w:r>
          </w:p>
        </w:tc>
        <w:tc>
          <w:tcPr>
            <w:tcW w:type="dxa" w:w="152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Question(s)</w:t>
            </w:r>
          </w:p>
        </w:tc>
        <w:tc>
          <w:tcPr>
            <w:tcW w:type="dxa" w:w="1235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Evidence</w:t>
            </w:r>
          </w:p>
        </w:tc>
        <w:tc>
          <w:tcPr>
            <w:tcW w:type="dxa" w:w="2305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Risk if unaddressed</w:t>
            </w:r>
          </w:p>
        </w:tc>
      </w:tr>
      <w:tr>
        <w:trPr>
          <w:cantSplit/>
        </w:trPr>
        <w:tc>
          <w:tcPr>
            <w:tcW w:type="dxa" w:w="88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[F-001]</w:t>
            </w:r>
          </w:p>
        </w:tc>
        <w:tc>
          <w:tcPr>
            <w:tcW w:type="dxa" w:w="181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[Critical / High / Medium / Low / Observation]</w:t>
            </w:r>
          </w:p>
        </w:tc>
        <w:tc>
          <w:tcPr>
            <w:tcW w:type="dxa" w:w="19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true, stated as a fact, not as an opinion]</w:t>
            </w:r>
          </w:p>
        </w:tc>
        <w:tc>
          <w:tcPr>
            <w:tcW w:type="dxa" w:w="15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[VQ-nn]</w:t>
            </w:r>
          </w:p>
        </w:tc>
        <w:tc>
          <w:tcPr>
            <w:tcW w:type="dxa" w:w="123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was or was not produced]</w:t>
            </w:r>
          </w:p>
        </w:tc>
        <w:tc>
          <w:tcPr>
            <w:tcW w:type="dxa" w:w="230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[Business consequence, tied to a risk ID or a policy clause]</w:t>
            </w:r>
          </w:p>
        </w:tc>
      </w:tr>
      <w:tr>
        <w:trPr>
          <w:cantSplit/>
        </w:trPr>
        <w:tc>
          <w:tcPr>
            <w:tcW w:type="dxa" w:w="88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[F-002]</w:t>
            </w:r>
          </w:p>
        </w:tc>
        <w:tc>
          <w:tcPr>
            <w:tcW w:type="dxa" w:w="1815"/>
            <w:shd w:val="clear" w:color="auto" w:fill="F3F6FA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992"/>
            <w:shd w:val="clear" w:color="auto" w:fill="F3F6FA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520"/>
            <w:shd w:val="clear" w:color="auto" w:fill="F3F6FA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235"/>
            <w:shd w:val="clear" w:color="auto" w:fill="F3F6FA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2305"/>
            <w:shd w:val="clear" w:color="auto" w:fill="F3F6FA"/>
          </w:tcPr>
          <w:p>
            <w:pPr>
              <w:pStyle w:val="Compact"/>
              <w:spacing w:after="0" w:before="0" w:line="240" w:lineRule="auto"/>
            </w:pPr>
          </w:p>
        </w:tc>
      </w:tr>
    </w:tbl>
    <w:p>
      <w:pPr>
        <w:pStyle w:val="BlockText"/>
      </w:pPr>
      <w:r>
        <w:rPr>
          <w:bCs/>
          <w:b/>
        </w:rPr>
        <w:t xml:space="preserve">Severity guidance.</w:t>
      </w:r>
      <w:r>
        <w:t xml:space="preserve"> </w:t>
      </w:r>
      <w:r>
        <w:t xml:space="preserve">Critical = a present-tense regulatory non-conformity, or a control whose absence</w:t>
      </w:r>
      <w:r>
        <w:t xml:space="preserve"> </w:t>
      </w:r>
      <w:r>
        <w:t xml:space="preserve">defeats a written commitment. High = a control gap that materially raises likelihood or impact.</w:t>
      </w:r>
      <w:r>
        <w:t xml:space="preserve"> </w:t>
      </w:r>
      <w:r>
        <w:t xml:space="preserve">Medium = an assurance or visibility gap. Low = recorded, accepted as normal commercial practice.</w:t>
      </w:r>
    </w:p>
    <w:bookmarkEnd w:id="22"/>
    <w:bookmarkStart w:id="23" w:name="Xc3d2f2e7d25b50d35a3dd92cfec301c6ff34a5d"/>
    <w:p>
      <w:pPr>
        <w:pStyle w:val="Heading2"/>
      </w:pPr>
      <w:r>
        <w:t xml:space="preserve">4. Remediation plan</w:t>
      </w:r>
      <w:r>
        <w:t xml:space="preserve"> </w:t>
      </w:r>
      <w:r>
        <w:rPr>
          <w:iCs/>
          <w:i/>
        </w:rPr>
        <w:t xml:space="preserve">(Fail and Pass-with-conditions only)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2081"/>
        <w:gridCol w:w="1061"/>
        <w:gridCol w:w="1061"/>
        <w:gridCol w:w="1198"/>
        <w:gridCol w:w="1198"/>
        <w:gridCol w:w="3147"/>
      </w:tblGrid>
      <w:tr>
        <w:trPr>
          <w:tblHeader w:val="true"/>
          <w:tblHeader w:val="true"/>
          <w:cantSplit/>
        </w:trPr>
        <w:tc>
          <w:tcPr>
            <w:tcW w:type="dxa" w:w="2082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Action</w:t>
            </w:r>
          </w:p>
        </w:tc>
        <w:tc>
          <w:tcPr>
            <w:tcW w:type="dxa" w:w="1062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Closes</w:t>
            </w:r>
          </w:p>
        </w:tc>
        <w:tc>
          <w:tcPr>
            <w:tcW w:type="dxa" w:w="1062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Owner (Job Title)</w:t>
            </w:r>
          </w:p>
        </w:tc>
        <w:tc>
          <w:tcPr>
            <w:tcW w:type="dxa" w:w="1199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Due</w:t>
            </w:r>
          </w:p>
        </w:tc>
        <w:tc>
          <w:tcPr>
            <w:tcW w:type="dxa" w:w="1199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Cost</w:t>
            </w:r>
          </w:p>
        </w:tc>
        <w:tc>
          <w:tcPr>
            <w:tcW w:type="dxa" w:w="314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Verification</w:t>
            </w:r>
          </w:p>
        </w:tc>
      </w:tr>
      <w:tr>
        <w:trPr>
          <w:cantSplit/>
        </w:trPr>
        <w:tc>
          <w:tcPr>
            <w:tcW w:type="dxa" w:w="20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[R1] [Verb-first action]</w:t>
            </w:r>
          </w:p>
        </w:tc>
        <w:tc>
          <w:tcPr>
            <w:tcW w:type="dxa" w:w="106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[F-001]</w:t>
            </w:r>
          </w:p>
        </w:tc>
        <w:tc>
          <w:tcPr>
            <w:tcW w:type="dxa" w:w="106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  <w:tc>
          <w:tcPr>
            <w:tcW w:type="dxa" w:w="11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  <w:tc>
          <w:tcPr>
            <w:tcW w:type="dxa" w:w="11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[Nil / USD n]</w:t>
            </w:r>
          </w:p>
        </w:tc>
        <w:tc>
          <w:tcPr>
            <w:tcW w:type="dxa" w:w="314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[The artifact that proves it happened]</w:t>
            </w:r>
          </w:p>
        </w:tc>
      </w:tr>
      <w:tr>
        <w:trPr>
          <w:cantSplit/>
        </w:trPr>
        <w:tc>
          <w:tcPr>
            <w:tcW w:type="dxa" w:w="208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[R2]</w:t>
            </w:r>
          </w:p>
        </w:tc>
        <w:tc>
          <w:tcPr>
            <w:tcW w:type="dxa" w:w="1062"/>
            <w:shd w:val="clear" w:color="auto" w:fill="F3F6FA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062"/>
            <w:shd w:val="clear" w:color="auto" w:fill="F3F6FA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199"/>
            <w:shd w:val="clear" w:color="auto" w:fill="F3F6FA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1199"/>
            <w:shd w:val="clear" w:color="auto" w:fill="F3F6FA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3148"/>
            <w:shd w:val="clear" w:color="auto" w:fill="F3F6FA"/>
          </w:tcPr>
          <w:p>
            <w:pPr>
              <w:pStyle w:val="Compact"/>
              <w:spacing w:after="0" w:before="0" w:line="240" w:lineRule="auto"/>
            </w:pPr>
          </w:p>
        </w:tc>
      </w:tr>
    </w:tbl>
    <w:p>
      <w:pPr>
        <w:pStyle w:val="BodyText"/>
      </w:pPr>
      <w:r>
        <w:rPr>
          <w:bCs/>
          <w:b/>
        </w:rPr>
        <w:t xml:space="preserve">Total remediation cost: [approximately USD n].</w:t>
      </w:r>
      <w:r>
        <w:t xml:space="preserve"> </w:t>
      </w:r>
      <w:r>
        <w:t xml:space="preserve">[State how many actions cost nothing — at small</w:t>
      </w:r>
      <w:r>
        <w:t xml:space="preserve"> </w:t>
      </w:r>
      <w:r>
        <w:t xml:space="preserve">companies most findings are governance failures with a near-zero price tag.]</w:t>
      </w:r>
    </w:p>
    <w:p>
      <w:pPr>
        <w:pStyle w:val="BodyText"/>
      </w:pPr>
      <w:r>
        <w:rPr>
          <w:bCs/>
          <w:b/>
        </w:rPr>
        <w:t xml:space="preserve">Re-assessment: [DD Month YYYY].</w:t>
      </w:r>
      <w:r>
        <w:t xml:space="preserve"> </w:t>
      </w:r>
      <w:r>
        <w:t xml:space="preserve">[Vendor] may not operate in Fail status beyond [one quarter] without</w:t>
      </w:r>
      <w:r>
        <w:t xml:space="preserve"> </w:t>
      </w:r>
      <w:r>
        <w:t xml:space="preserve">an approved,</w:t>
      </w:r>
      <w:r>
        <w:t xml:space="preserve"> </w:t>
      </w:r>
      <w:r>
        <w:rPr>
          <w:bCs/>
          <w:b/>
        </w:rPr>
        <w:t xml:space="preserve">expiring</w:t>
      </w:r>
      <w:r>
        <w:t xml:space="preserve"> </w:t>
      </w:r>
      <w:r>
        <w:t xml:space="preserve">risk acceptance.</w:t>
      </w:r>
    </w:p>
    <w:bookmarkEnd w:id="23"/>
    <w:bookmarkStart w:id="24" w:name="X630be20c1bca6d0e860f727a3f1ae176d25d366"/>
    <w:p>
      <w:pPr>
        <w:pStyle w:val="Heading2"/>
      </w:pPr>
      <w:r>
        <w:t xml:space="preserve">5. Conditions of the pass</w:t>
      </w:r>
      <w:r>
        <w:t xml:space="preserve"> </w:t>
      </w:r>
      <w:r>
        <w:rPr>
          <w:iCs/>
          <w:i/>
        </w:rPr>
        <w:t xml:space="preserve">(Pass-with-conditions only)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1015"/>
        <w:gridCol w:w="2804"/>
        <w:gridCol w:w="1869"/>
        <w:gridCol w:w="1523"/>
        <w:gridCol w:w="2538"/>
      </w:tblGrid>
      <w:tr>
        <w:trPr>
          <w:tblHeader w:val="true"/>
          <w:tblHeader w:val="true"/>
          <w:cantSplit/>
        </w:trPr>
        <w:tc>
          <w:tcPr>
            <w:tcW w:type="dxa" w:w="1016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type="dxa" w:w="280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Condition</w:t>
            </w:r>
          </w:p>
        </w:tc>
        <w:tc>
          <w:tcPr>
            <w:tcW w:type="dxa" w:w="1869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Owner (Job Title)</w:t>
            </w:r>
          </w:p>
        </w:tc>
        <w:tc>
          <w:tcPr>
            <w:tcW w:type="dxa" w:w="1523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Due</w:t>
            </w:r>
          </w:p>
        </w:tc>
        <w:tc>
          <w:tcPr>
            <w:tcW w:type="dxa" w:w="2539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Evidence required</w:t>
            </w:r>
          </w:p>
        </w:tc>
      </w:tr>
      <w:tr>
        <w:trPr>
          <w:cantSplit/>
        </w:trPr>
        <w:tc>
          <w:tcPr>
            <w:tcW w:type="dxa" w:w="10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[C1]</w:t>
            </w:r>
          </w:p>
        </w:tc>
        <w:tc>
          <w:tcPr>
            <w:tcW w:type="dxa" w:w="28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[Condition]</w:t>
            </w:r>
          </w:p>
        </w:tc>
        <w:tc>
          <w:tcPr>
            <w:tcW w:type="dxa" w:w="186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  <w:tc>
          <w:tcPr>
            <w:tcW w:type="dxa" w:w="152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[Date]</w:t>
            </w:r>
          </w:p>
        </w:tc>
        <w:tc>
          <w:tcPr>
            <w:tcW w:type="dxa" w:w="253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[Artifact]</w:t>
            </w:r>
          </w:p>
        </w:tc>
      </w:tr>
    </w:tbl>
    <w:p>
      <w:pPr>
        <w:pStyle w:val="BodyText"/>
      </w:pPr>
      <w:r>
        <w:rPr>
          <w:bCs/>
          <w:b/>
        </w:rPr>
        <w:t xml:space="preserve">[State which condition, if missed, lapses the conditional pass to Fail — and why.]</w:t>
      </w:r>
    </w:p>
    <w:bookmarkEnd w:id="24"/>
    <w:bookmarkStart w:id="25" w:name="Xcf7e89dc43bb43106ae132ae68ddc7de6b20200"/>
    <w:p>
      <w:pPr>
        <w:pStyle w:val="Heading2"/>
      </w:pPr>
      <w:r>
        <w:t xml:space="preserve">6. Acceptance record</w:t>
      </w:r>
      <w:r>
        <w:t xml:space="preserve"> </w:t>
      </w:r>
      <w:r>
        <w:rPr>
          <w:iCs/>
          <w:i/>
        </w:rPr>
        <w:t xml:space="preserve">(Accepted only)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1724"/>
        <w:gridCol w:w="8026"/>
      </w:tblGrid>
      <w:tr>
        <w:trPr>
          <w:tblHeader w:val="true"/>
          <w:tblHeader w:val="true"/>
          <w:cantSplit/>
        </w:trPr>
        <w:tc>
          <w:tcPr>
            <w:tcW w:type="dxa" w:w="172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8027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172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Acceptance ID</w:t>
            </w:r>
          </w:p>
        </w:tc>
        <w:tc>
          <w:tcPr>
            <w:tcW w:type="dxa" w:w="802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[ACC-Vnn]</w:t>
            </w:r>
          </w:p>
        </w:tc>
      </w:tr>
      <w:tr>
        <w:trPr>
          <w:cantSplit/>
        </w:trPr>
        <w:tc>
          <w:tcPr>
            <w:tcW w:type="dxa" w:w="172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What is accepted</w:t>
            </w:r>
          </w:p>
        </w:tc>
        <w:tc>
          <w:tcPr>
            <w:tcW w:type="dxa" w:w="802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[The specific residual exposure, in one sentence]</w:t>
            </w:r>
          </w:p>
        </w:tc>
      </w:tr>
      <w:tr>
        <w:trPr>
          <w:cantSplit/>
        </w:trPr>
        <w:tc>
          <w:tcPr>
            <w:tcW w:type="dxa" w:w="172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Justification</w:t>
            </w:r>
          </w:p>
        </w:tc>
        <w:tc>
          <w:tcPr>
            <w:tcW w:type="dxa" w:w="802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[Data classification · production access · availability dependency · replaceability · assurance held · residual score]</w:t>
            </w:r>
          </w:p>
        </w:tc>
      </w:tr>
      <w:tr>
        <w:trPr>
          <w:cantSplit/>
        </w:trPr>
        <w:tc>
          <w:tcPr>
            <w:tcW w:type="dxa" w:w="172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Compensating control</w:t>
            </w:r>
          </w:p>
        </w:tc>
        <w:tc>
          <w:tcPr>
            <w:tcW w:type="dxa" w:w="802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you changed so the acceptance is narrower than it would otherwise be]</w:t>
            </w:r>
          </w:p>
        </w:tc>
      </w:tr>
      <w:tr>
        <w:trPr>
          <w:cantSplit/>
        </w:trPr>
        <w:tc>
          <w:tcPr>
            <w:tcW w:type="dxa" w:w="172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802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172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Approved by</w:t>
            </w:r>
          </w:p>
        </w:tc>
        <w:tc>
          <w:tcPr>
            <w:tcW w:type="dxa" w:w="802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[Approval authority for this tier]</w:t>
            </w:r>
          </w:p>
        </w:tc>
      </w:tr>
      <w:tr>
        <w:trPr>
          <w:cantSplit/>
        </w:trPr>
        <w:tc>
          <w:tcPr>
            <w:tcW w:type="dxa" w:w="172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>
            <w:tcW w:type="dxa" w:w="802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Month YYYY]</w:t>
            </w:r>
          </w:p>
        </w:tc>
      </w:tr>
      <w:tr>
        <w:trPr>
          <w:cantSplit/>
        </w:trPr>
        <w:tc>
          <w:tcPr>
            <w:tcW w:type="dxa" w:w="172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Expiry</w:t>
            </w:r>
          </w:p>
        </w:tc>
        <w:tc>
          <w:tcPr>
            <w:tcW w:type="dxa" w:w="802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Cs/>
                <w:b/>
                <w:sz w:val="17"/>
              </w:rPr>
              <w:t xml:space="preserve">[DD Month YYYY]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or earlier on any change of service, data type or plan</w:t>
            </w:r>
          </w:p>
        </w:tc>
      </w:tr>
    </w:tbl>
    <w:p>
      <w:pPr>
        <w:pStyle w:val="BlockText"/>
      </w:pPr>
      <w:r>
        <w:rPr>
          <w:bCs/>
          <w:b/>
        </w:rPr>
        <w:t xml:space="preserve">Every acceptance expires.</w:t>
      </w:r>
      <w:r>
        <w:t xml:space="preserve"> </w:t>
      </w:r>
      <w:r>
        <w:t xml:space="preserve">An acceptance with no expiry is a decision that quietly becomes permanent</w:t>
      </w:r>
      <w:r>
        <w:t xml:space="preserve"> </w:t>
      </w:r>
      <w:r>
        <w:t xml:space="preserve">without anyone deciding it should be.</w:t>
      </w:r>
    </w:p>
    <w:p>
      <w:pPr>
        <w:pStyle w:val="BlockText"/>
      </w:pPr>
      <w:r>
        <w:rPr>
          <w:bCs/>
          <w:b/>
        </w:rPr>
        <w:t xml:space="preserve">If your organisation has not declared a risk appetite, record that here.</w:t>
      </w:r>
      <w:r>
        <w:t xml:space="preserve"> </w:t>
      </w:r>
      <w:r>
        <w:t xml:space="preserve">An acceptance made against</w:t>
      </w:r>
      <w:r>
        <w:t xml:space="preserve"> </w:t>
      </w:r>
      <w:r>
        <w:t xml:space="preserve">an undeclared tolerance is personal rather than institutional, and the next reviewer needs to know.</w:t>
      </w:r>
    </w:p>
    <w:bookmarkEnd w:id="25"/>
    <w:bookmarkStart w:id="26" w:name="X4138edd1575a6c209934d09ce14aaf2f6516b84"/>
    <w:p>
      <w:pPr>
        <w:pStyle w:val="Heading2"/>
      </w:pPr>
      <w:r>
        <w:t xml:space="preserve">7. Distribution and retention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2576"/>
        <w:gridCol w:w="7174"/>
      </w:tblGrid>
      <w:tr>
        <w:trPr>
          <w:tblHeader w:val="true"/>
          <w:tblHeader w:val="true"/>
          <w:cantSplit/>
        </w:trPr>
        <w:tc>
          <w:tcPr>
            <w:tcW w:type="dxa" w:w="2576"/>
            <w:shd w:val="clear" w:color="auto" w:fill="13315C"/>
          </w:tcPr>
          <w:p>
            <w:pPr>
              <w:pStyle w:val="Compact"/>
              <w:spacing w:after="0" w:before="0" w:line="240" w:lineRule="auto"/>
            </w:pPr>
          </w:p>
        </w:tc>
        <w:tc>
          <w:tcPr>
            <w:tcW w:type="dxa" w:w="7175"/>
            <w:shd w:val="clear" w:color="auto" w:fill="13315C"/>
          </w:tcPr>
          <w:p>
            <w:pPr>
              <w:pStyle w:val="Compact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257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Distribution</w:t>
            </w:r>
          </w:p>
        </w:tc>
        <w:tc>
          <w:tcPr>
            <w:tcW w:type="dxa" w:w="717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[Approver] · [Business owner] · [Risk register owner]</w:t>
            </w:r>
          </w:p>
        </w:tc>
      </w:tr>
      <w:tr>
        <w:trPr>
          <w:cantSplit/>
        </w:trPr>
        <w:tc>
          <w:tcPr>
            <w:tcW w:type="dxa" w:w="257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Retained in</w:t>
            </w:r>
          </w:p>
        </w:tc>
        <w:tc>
          <w:tcPr>
            <w:tcW w:type="dxa" w:w="717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[Location]</w:t>
            </w:r>
          </w:p>
        </w:tc>
      </w:tr>
      <w:tr>
        <w:trPr>
          <w:cantSplit/>
        </w:trPr>
        <w:tc>
          <w:tcPr>
            <w:tcW w:type="dxa" w:w="257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Retention period</w:t>
            </w:r>
          </w:p>
        </w:tc>
        <w:tc>
          <w:tcPr>
            <w:tcW w:type="dxa" w:w="717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[n] years after the vendor relationship ends</w:t>
            </w:r>
          </w:p>
        </w:tc>
      </w:tr>
      <w:tr>
        <w:trPr>
          <w:cantSplit/>
        </w:trPr>
        <w:tc>
          <w:tcPr>
            <w:tcW w:type="dxa" w:w="257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Linked records</w:t>
            </w:r>
          </w:p>
        </w:tc>
        <w:tc>
          <w:tcPr>
            <w:tcW w:type="dxa" w:w="717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Inventory row [VEN-nnn] · Risk IDs [ ] · Acceptance [ACC-Vnn]</w:t>
            </w:r>
          </w:p>
        </w:tc>
      </w:tr>
    </w:tbl>
    <w:bookmarkEnd w:id="26"/>
    <w:bookmarkEnd w:id="27"/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left="1077" w:right="1077" w:top="1134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5"/>
      </w:rPr>
      <w:t xml:space="preserve">Prepared by Olugboye Shola  ·  Page </w:t>
    </w:r>
    <w:r>
      <w:rPr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B7280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6B7280"/>
        <w:sz w:val="15"/>
      </w:rPr>
      <w:t>VENDOR SECURITY ASSESSMENT REPORT | REUSABLE TEMPLATE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9" w:lineRule="auto"/>
    </w:pPr>
    <w:rPr>
      <w:rFonts w:ascii="Calibri" w:hAnsi="Calibri" w:eastAsia="Calibri"/>
      <w:color w:val="1F2937"/>
      <w:sz w:val="20"/>
    </w:rPr>
  </w:style>
  <w:style w:styleId="BodyText" w:type="paragraph">
    <w:name w:val="Body Text"/>
    <w:basedOn w:val="Normal"/>
    <w:link w:val="BodyTextChar"/>
    <w:pPr>
      <w:spacing w:after="100" w:before="180" w:line="269" w:lineRule="auto"/>
    </w:pPr>
    <w:qFormat/>
    <w:rPr>
      <w:rFonts w:ascii="Calibri" w:hAnsi="Calibri" w:eastAsia="Calibri"/>
      <w:color w:val="1F2937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00" w:line="269" w:lineRule="auto"/>
    </w:pPr>
    <w:rPr>
      <w:rFonts w:ascii="Calibri" w:hAnsi="Calibri" w:eastAsia="Calibri"/>
      <w:color w:val="1F2937"/>
      <w:sz w:val="20"/>
    </w:rPr>
  </w:style>
  <w:style w:customStyle="1" w:styleId="Compact" w:type="paragraph">
    <w:name w:val="Compact"/>
    <w:basedOn w:val="BodyText"/>
    <w:qFormat/>
    <w:pPr>
      <w:spacing w:after="20" w:before="36" w:line="269" w:lineRule="auto"/>
    </w:pPr>
    <w:rPr>
      <w:rFonts w:ascii="Calibri" w:hAnsi="Calibri" w:eastAsia="Calibri"/>
      <w:color w:val="1F2937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0B254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120"/>
      <w:outlineLvl w:val="0"/>
    </w:pPr>
    <w:rPr>
      <w:rFonts w:ascii="Calibri" w:hAnsi="Calibri"/>
      <w:b/>
      <w:bCs/>
      <w:i w:val="0"/>
      <w:color w:val="0B2545"/>
      <w:sz w:val="3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80"/>
      <w:outlineLvl w:val="1"/>
    </w:pPr>
    <w:rPr>
      <w:rFonts w:ascii="Calibri" w:hAnsi="Calibri"/>
      <w:b/>
      <w:bCs/>
      <w:i w:val="0"/>
      <w:color w:val="13315C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80"/>
      <w:outlineLvl w:val="2"/>
    </w:pPr>
    <w:rPr>
      <w:rFonts w:ascii="Calibri" w:hAnsi="Calibri"/>
      <w:b/>
      <w:bCs/>
      <w:i w:val="0"/>
      <w:color w:val="1B4965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00" w:before="280"/>
      <w:outlineLvl w:val="3"/>
    </w:pPr>
    <w:rPr>
      <w:rFonts w:ascii="Calibri" w:hAnsi="Calibri"/>
      <w:i w:val="0"/>
      <w:b/>
      <w:bCs/>
      <w:color w:val="1B4965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170" w:right="113"/>
      <w:pBdr>
        <w:left w:val="single" w:sz="24" w:space="6" w:color="2E86DE"/>
      </w:pBdr>
      <w:shd w:val="clear" w:color="auto" w:fill="EAF2FB"/>
    </w:pPr>
    <w:rPr>
      <w:i w:val="0"/>
      <w:color w:val="13315C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Security Assessment Report | Reusable template</dc:title>
  <dc:creator>Olugboye Shola</dc:creator>
  <cp:keywords/>
  <dcterms:created xsi:type="dcterms:W3CDTF">2026-10-13T14:23:27Z</dcterms:created>
  <dcterms:modified xsi:type="dcterms:W3CDTF">2026-10-13T14:23:27Z</dcterms:modified>
  <cp:lastModifiedBy>Olugboye Shola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