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d566afa85382fd1fb6c36b5e8572637063501f8"/>
    <w:p>
      <w:pPr>
        <w:spacing w:after="40"/>
      </w:pPr>
      <w:r>
        <w:rPr>
          <w:b/>
          <w:color w:val="2E86DE"/>
          <w:sz w:val="16"/>
        </w:rPr>
        <w:t>REUSABLE GRC TEMPLATE · FREE TO ADAPT</w:t>
      </w:r>
    </w:p>
    <w:p>
      <w:pPr>
        <w:pStyle w:val="Heading1"/>
      </w:pPr>
      <w:r>
        <w:t xml:space="preserve">[ORGANISATION] — Internal audit workpaper — TEMPLATE</w:t>
      </w:r>
    </w:p>
    <w:p>
      <w:pPr>
        <w:pStyle w:val="BlockText"/>
      </w:pPr>
      <w:r>
        <w:rPr>
          <w:bCs/>
          <w:b/>
        </w:rPr>
        <w:t xml:space="preserve">How to use this template.</w:t>
      </w:r>
      <w:r>
        <w:t xml:space="preserve"> </w:t>
      </w:r>
      <w:r>
        <w:t xml:space="preserve">Blank reusable template from the CGI-IAU-001 portfolio project (simulated). One card per</w:t>
      </w:r>
      <w:r>
        <w:t xml:space="preserve"> </w:t>
      </w:r>
      <w:r>
        <w:t xml:space="preserve">workpaper; the CSV holds the same fields as columns if you prefer a grid. Replace every</w:t>
      </w:r>
      <w:r>
        <w:t xml:space="preserve"> </w:t>
      </w:r>
      <w:r>
        <w:rPr>
          <w:rStyle w:val="VerbatimChar"/>
        </w:rPr>
        <w:t xml:space="preserve">[BRACKETED]</w:t>
      </w:r>
      <w:r>
        <w:t xml:space="preserve"> </w:t>
      </w:r>
      <w:r>
        <w:t xml:space="preserve">field. Written for</w:t>
      </w:r>
      <w:r>
        <w:t xml:space="preserve"> </w:t>
      </w:r>
      <w:r>
        <w:t xml:space="preserve">an ISO/IEC 27001 clause 9.2 internal audit, and equally usable for a SOC 2 readiness walkthrough.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1593"/>
        <w:gridCol w:w="8157"/>
      </w:tblGrid>
      <w:tr>
        <w:trPr>
          <w:tblHeader w:val="true"/>
          <w:tblHeader w:val="true"/>
          <w:cantSplit/>
        </w:trPr>
        <w:tc>
          <w:tcPr>
            <w:tcW w:type="dxa" w:w="1593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8158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15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Audit ID</w:t>
            </w:r>
          </w:p>
        </w:tc>
        <w:tc>
          <w:tcPr>
            <w:tcW w:type="dxa" w:w="815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[ORG-IAU-001]</w:t>
            </w:r>
          </w:p>
        </w:tc>
      </w:tr>
      <w:tr>
        <w:trPr>
          <w:cantSplit/>
        </w:trPr>
        <w:tc>
          <w:tcPr>
            <w:tcW w:type="dxa" w:w="159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Purpose</w:t>
            </w:r>
          </w:p>
        </w:tc>
        <w:tc>
          <w:tcPr>
            <w:tcW w:type="dxa" w:w="815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[The internal audit required by clause 9.2 / readiness walkthrough]</w:t>
            </w:r>
          </w:p>
        </w:tc>
      </w:tr>
      <w:tr>
        <w:trPr>
          <w:cantSplit/>
        </w:trPr>
        <w:tc>
          <w:tcPr>
            <w:tcW w:type="dxa" w:w="15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Audit criteria</w:t>
            </w:r>
          </w:p>
        </w:tc>
        <w:tc>
          <w:tcPr>
            <w:tcW w:type="dxa" w:w="815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[Standard and clauses; the applicable controls; the organisation's own policies]</w:t>
            </w:r>
          </w:p>
        </w:tc>
      </w:tr>
      <w:tr>
        <w:trPr>
          <w:cantSplit/>
        </w:trPr>
        <w:tc>
          <w:tcPr>
            <w:tcW w:type="dxa" w:w="159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Scope</w:t>
            </w:r>
          </w:p>
        </w:tc>
        <w:tc>
          <w:tcPr>
            <w:tcW w:type="dxa" w:w="815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is inside the audit]</w:t>
            </w:r>
          </w:p>
        </w:tc>
      </w:tr>
      <w:tr>
        <w:trPr>
          <w:cantSplit/>
        </w:trPr>
        <w:tc>
          <w:tcPr>
            <w:tcW w:type="dxa" w:w="15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Out of scope</w:t>
            </w:r>
          </w:p>
        </w:tc>
        <w:tc>
          <w:tcPr>
            <w:tcW w:type="dxa" w:w="815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is not, and why]</w:t>
            </w:r>
          </w:p>
        </w:tc>
      </w:tr>
      <w:tr>
        <w:trPr>
          <w:cantSplit/>
        </w:trPr>
        <w:tc>
          <w:tcPr>
            <w:tcW w:type="dxa" w:w="159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Period covered</w:t>
            </w:r>
          </w:p>
        </w:tc>
        <w:tc>
          <w:tcPr>
            <w:tcW w:type="dxa" w:w="815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[DD Mon YYYY to DD Mon YYYY]</w:t>
            </w:r>
          </w:p>
        </w:tc>
      </w:tr>
      <w:tr>
        <w:trPr>
          <w:cantSplit/>
        </w:trPr>
        <w:tc>
          <w:tcPr>
            <w:tcW w:type="dxa" w:w="15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Auditor</w:t>
            </w:r>
          </w:p>
        </w:tc>
        <w:tc>
          <w:tcPr>
            <w:tcW w:type="dxa" w:w="815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[Name]</w:t>
            </w:r>
          </w:p>
        </w:tc>
      </w:tr>
      <w:tr>
        <w:trPr>
          <w:cantSplit/>
        </w:trPr>
        <w:tc>
          <w:tcPr>
            <w:tcW w:type="dxa" w:w="159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b/>
                <w:sz w:val="17"/>
              </w:rPr>
              <w:t xml:space="preserve">Independence</w:t>
            </w:r>
          </w:p>
        </w:tc>
        <w:tc>
          <w:tcPr>
            <w:tcW w:type="dxa" w:w="815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[State it plainly. An auditor may not audit their own work. If impaired, say so, name the affected workpapers and the compensating measure]</w:t>
            </w:r>
          </w:p>
        </w:tc>
      </w:tr>
      <w:tr>
        <w:trPr>
          <w:cantSplit/>
        </w:trPr>
        <w:tc>
          <w:tcPr>
            <w:tcW w:type="dxa" w:w="15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Reported to</w:t>
            </w:r>
          </w:p>
        </w:tc>
        <w:tc>
          <w:tcPr>
            <w:tcW w:type="dxa" w:w="815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[Role that receives the report]</w:t>
            </w:r>
          </w:p>
        </w:tc>
      </w:tr>
    </w:tbl>
    <w:bookmarkStart w:id="20" w:name="rules-to-set-before-fieldwork"/>
    <w:p>
      <w:pPr>
        <w:pStyle w:val="Heading2"/>
      </w:pPr>
      <w:r>
        <w:t xml:space="preserve">Rules to set before fieldwork</w:t>
      </w:r>
    </w:p>
    <w:p>
      <w:pPr>
        <w:pStyle w:val="FirstParagraph"/>
      </w:pPr>
      <w:r>
        <w:rPr>
          <w:bCs/>
          <w:b/>
        </w:rPr>
        <w:t xml:space="preserve">The dating rule — decide it before you grade anything: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4994"/>
        <w:gridCol w:w="4756"/>
      </w:tblGrid>
      <w:tr>
        <w:trPr>
          <w:tblHeader w:val="true"/>
          <w:tblHeader w:val="true"/>
          <w:cantSplit/>
        </w:trPr>
        <w:tc>
          <w:tcPr>
            <w:tcW w:type="dxa" w:w="4994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Situation</w:t>
            </w:r>
          </w:p>
        </w:tc>
        <w:tc>
          <w:tcPr>
            <w:tcW w:type="dxa" w:w="4757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Grading</w:t>
            </w:r>
          </w:p>
        </w:tc>
      </w:tr>
      <w:tr>
        <w:trPr>
          <w:cantSplit/>
        </w:trPr>
        <w:tc>
          <w:tcPr>
            <w:tcW w:type="dxa" w:w="499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 management-system clause requirement is unmet</w:t>
            </w:r>
          </w:p>
        </w:tc>
        <w:tc>
          <w:tcPr>
            <w:tcW w:type="dxa" w:w="475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b/>
                <w:sz w:val="17"/>
              </w:rPr>
              <w:t xml:space="preserve">Nonconformity now.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Clauses are not dated by a plan</w:t>
            </w:r>
          </w:p>
        </w:tc>
      </w:tr>
      <w:tr>
        <w:trPr>
          <w:cantSplit/>
        </w:trPr>
        <w:tc>
          <w:tcPr>
            <w:tcW w:type="dxa" w:w="499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 control's planned implementation date has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passed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it is not implemented</w:t>
            </w:r>
          </w:p>
        </w:tc>
        <w:tc>
          <w:tcPr>
            <w:tcW w:type="dxa" w:w="475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b/>
                <w:sz w:val="17"/>
              </w:rPr>
              <w:t xml:space="preserve">Nonconformity</w:t>
            </w:r>
          </w:p>
        </w:tc>
      </w:tr>
      <w:tr>
        <w:trPr>
          <w:cantSplit/>
        </w:trPr>
        <w:tc>
          <w:tcPr>
            <w:tcW w:type="dxa" w:w="499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 control's planned date has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not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passed</w:t>
            </w:r>
          </w:p>
        </w:tc>
        <w:tc>
          <w:tcPr>
            <w:tcW w:type="dxa" w:w="475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b/>
                <w:sz w:val="17"/>
              </w:rPr>
              <w:t xml:space="preserve">Opportunity for improvement</w:t>
            </w:r>
            <w:r>
              <w:rPr>
                <w:sz w:val="17"/>
              </w:rPr>
              <w:t xml:space="preserve">, stating the date it becomes a nonconformity</w:t>
            </w:r>
          </w:p>
        </w:tc>
      </w:tr>
      <w:tr>
        <w:trPr>
          <w:cantSplit/>
        </w:trPr>
        <w:tc>
          <w:tcPr>
            <w:tcW w:type="dxa" w:w="499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The failure also breaches a present-tense legal or contractual obligation</w:t>
            </w:r>
          </w:p>
        </w:tc>
        <w:tc>
          <w:tcPr>
            <w:tcW w:type="dxa" w:w="475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b/>
                <w:sz w:val="17"/>
              </w:rPr>
              <w:t xml:space="preserve">Nonconformity now</w:t>
            </w:r>
            <w:r>
              <w:rPr>
                <w:sz w:val="17"/>
              </w:rPr>
              <w:t xml:space="preserve">, whatever the plan says</w:t>
            </w:r>
          </w:p>
        </w:tc>
      </w:tr>
    </w:tbl>
    <w:p>
      <w:pPr>
        <w:pStyle w:val="BodyText"/>
      </w:pPr>
      <w:r>
        <w:rPr>
          <w:bCs/>
          <w:b/>
        </w:rPr>
        <w:t xml:space="preserve">Sampling:</w:t>
      </w:r>
    </w:p>
    <w:p>
      <w:pPr>
        <w:numPr>
          <w:ilvl w:val="0"/>
          <w:numId w:val="1001"/>
        </w:numPr>
        <w:pStyle w:val="Compact"/>
      </w:pPr>
      <w:r>
        <w:t xml:space="preserve">Build the population from a named source and</w:t>
      </w:r>
      <w:r>
        <w:t xml:space="preserve"> </w:t>
      </w:r>
      <w:r>
        <w:rPr>
          <w:bCs/>
          <w:b/>
        </w:rPr>
        <w:t xml:space="preserve">test it for completeness before selecting</w:t>
      </w:r>
      <w:r>
        <w:t xml:space="preserve">. A population you cannot</w:t>
      </w:r>
      <w:r>
        <w:t xml:space="preserve"> </w:t>
      </w:r>
      <w:r>
        <w:t xml:space="preserve">evidence makes the control untestable — that is a finding in itself, not a pass.</w:t>
      </w:r>
    </w:p>
    <w:p>
      <w:pPr>
        <w:numPr>
          <w:ilvl w:val="0"/>
          <w:numId w:val="1001"/>
        </w:numPr>
        <w:pStyle w:val="Compact"/>
      </w:pPr>
      <w:r>
        <w:t xml:space="preserve">Populations below about 25: test in full. Larger populations: state the size and the basis.</w:t>
      </w:r>
    </w:p>
    <w:p>
      <w:pPr>
        <w:numPr>
          <w:ilvl w:val="0"/>
          <w:numId w:val="1001"/>
        </w:numPr>
        <w:pStyle w:val="Compact"/>
      </w:pPr>
      <w:r>
        <w:t xml:space="preserve">Random selections use a</w:t>
      </w:r>
      <w:r>
        <w:t xml:space="preserve"> </w:t>
      </w:r>
      <w:r>
        <w:rPr>
          <w:bCs/>
          <w:b/>
        </w:rPr>
        <w:t xml:space="preserve">documented seed</w:t>
      </w:r>
      <w:r>
        <w:t xml:space="preserve"> </w:t>
      </w:r>
      <w:r>
        <w:t xml:space="preserve">so a reviewer can reproduce the sample.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Population zero: draw no sample, reach no operating conclusion.</w:t>
      </w:r>
      <w:r>
        <w:t xml:space="preserve"> </w:t>
      </w:r>
      <w:r>
        <w:t xml:space="preserve">Record "not performed — population zero" and test design alone.</w:t>
      </w:r>
    </w:p>
    <w:p>
      <w:pPr>
        <w:pStyle w:val="FirstParagraph"/>
      </w:pPr>
      <w:r>
        <w:rPr>
          <w:bCs/>
          <w:b/>
        </w:rPr>
        <w:t xml:space="preserve">Ratings:</w:t>
      </w:r>
      <w:r>
        <w:t xml:space="preserve"> </w:t>
      </w:r>
      <w:r>
        <w:rPr>
          <w:iCs/>
          <w:i/>
        </w:rPr>
        <w:t xml:space="preserve">Major</w:t>
      </w:r>
      <w:r>
        <w:t xml:space="preserve"> </w:t>
      </w:r>
      <w:r>
        <w:t xml:space="preserve">= a requirement absent or broken down, or significant doubt that the system achieves its results ·</w:t>
      </w:r>
      <w:r>
        <w:t xml:space="preserve"> </w:t>
      </w:r>
      <w:r>
        <w:rPr>
          <w:iCs/>
          <w:i/>
        </w:rPr>
        <w:t xml:space="preserve">Minor</w:t>
      </w:r>
      <w:r>
        <w:t xml:space="preserve"> </w:t>
      </w:r>
      <w:r>
        <w:t xml:space="preserve">= an isolated lapse that does not undermine the requirement ·</w:t>
      </w:r>
      <w:r>
        <w:t xml:space="preserve"> </w:t>
      </w:r>
      <w:r>
        <w:rPr>
          <w:iCs/>
          <w:i/>
        </w:rPr>
        <w:t xml:space="preserve">OFI</w:t>
      </w:r>
      <w:r>
        <w:t xml:space="preserve"> </w:t>
      </w:r>
      <w:r>
        <w:t xml:space="preserve">= improvement advice, not a nonconformity.</w:t>
      </w:r>
    </w:p>
    <w:bookmarkEnd w:id="20"/>
    <w:bookmarkStart w:id="21" w:name="workpaper-card"/>
    <w:p>
      <w:pPr>
        <w:pStyle w:val="Heading2"/>
      </w:pPr>
      <w:r>
        <w:t xml:space="preserve">Workpaper card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4750"/>
        <w:gridCol w:w="5000"/>
      </w:tblGrid>
      <w:tr>
        <w:trPr>
          <w:tblHeader w:val="true"/>
          <w:tblHeader w:val="true"/>
          <w:cantSplit/>
        </w:trPr>
        <w:tc>
          <w:tcPr>
            <w:tcW w:type="dxa" w:w="4750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5001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475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b/>
                <w:sz w:val="17"/>
              </w:rPr>
              <w:t xml:space="preserve">Workpaper</w:t>
            </w:r>
          </w:p>
        </w:tc>
        <w:tc>
          <w:tcPr>
            <w:tcW w:type="dxa" w:w="500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[Workpaper]</w:t>
            </w:r>
          </w:p>
        </w:tc>
      </w:tr>
      <w:tr>
        <w:trPr>
          <w:cantSplit/>
        </w:trPr>
        <w:tc>
          <w:tcPr>
            <w:tcW w:type="dxa" w:w="475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b/>
                <w:sz w:val="17"/>
              </w:rPr>
              <w:t xml:space="preserve">Area</w:t>
            </w:r>
          </w:p>
        </w:tc>
        <w:tc>
          <w:tcPr>
            <w:tcW w:type="dxa" w:w="5001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[Area]</w:t>
            </w:r>
          </w:p>
        </w:tc>
      </w:tr>
      <w:tr>
        <w:trPr>
          <w:cantSplit/>
        </w:trPr>
        <w:tc>
          <w:tcPr>
            <w:tcW w:type="dxa" w:w="475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b/>
                <w:sz w:val="17"/>
              </w:rPr>
              <w:t xml:space="preserve">Audit criteria</w:t>
            </w:r>
          </w:p>
        </w:tc>
        <w:tc>
          <w:tcPr>
            <w:tcW w:type="dxa" w:w="500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[Audit criteria]</w:t>
            </w:r>
          </w:p>
        </w:tc>
      </w:tr>
      <w:tr>
        <w:trPr>
          <w:cantSplit/>
        </w:trPr>
        <w:tc>
          <w:tcPr>
            <w:tcW w:type="dxa" w:w="475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b/>
                <w:sz w:val="17"/>
              </w:rPr>
              <w:t xml:space="preserve">Objective</w:t>
            </w:r>
          </w:p>
        </w:tc>
        <w:tc>
          <w:tcPr>
            <w:tcW w:type="dxa" w:w="5001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[Objective]</w:t>
            </w:r>
          </w:p>
        </w:tc>
      </w:tr>
      <w:tr>
        <w:trPr>
          <w:cantSplit/>
        </w:trPr>
        <w:tc>
          <w:tcPr>
            <w:tcW w:type="dxa" w:w="475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b/>
                <w:sz w:val="17"/>
              </w:rPr>
              <w:t xml:space="preserve">Population</w:t>
            </w:r>
          </w:p>
        </w:tc>
        <w:tc>
          <w:tcPr>
            <w:tcW w:type="dxa" w:w="500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[Population]</w:t>
            </w:r>
          </w:p>
        </w:tc>
      </w:tr>
      <w:tr>
        <w:trPr>
          <w:cantSplit/>
        </w:trPr>
        <w:tc>
          <w:tcPr>
            <w:tcW w:type="dxa" w:w="475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b/>
                <w:sz w:val="17"/>
              </w:rPr>
              <w:t xml:space="preserve">Population source and completeness</w:t>
            </w:r>
          </w:p>
        </w:tc>
        <w:tc>
          <w:tcPr>
            <w:tcW w:type="dxa" w:w="5001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[Population source and completeness]</w:t>
            </w:r>
          </w:p>
        </w:tc>
      </w:tr>
      <w:tr>
        <w:trPr>
          <w:cantSplit/>
        </w:trPr>
        <w:tc>
          <w:tcPr>
            <w:tcW w:type="dxa" w:w="475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b/>
                <w:sz w:val="17"/>
              </w:rPr>
              <w:t xml:space="preserve">Sample size and method</w:t>
            </w:r>
          </w:p>
        </w:tc>
        <w:tc>
          <w:tcPr>
            <w:tcW w:type="dxa" w:w="500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[Sample size and method]</w:t>
            </w:r>
          </w:p>
        </w:tc>
      </w:tr>
      <w:tr>
        <w:trPr>
          <w:cantSplit/>
        </w:trPr>
        <w:tc>
          <w:tcPr>
            <w:tcW w:type="dxa" w:w="475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b/>
                <w:sz w:val="17"/>
              </w:rPr>
              <w:t xml:space="preserve">Selection method</w:t>
            </w:r>
          </w:p>
        </w:tc>
        <w:tc>
          <w:tcPr>
            <w:tcW w:type="dxa" w:w="5001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[Selection method]</w:t>
            </w:r>
          </w:p>
        </w:tc>
      </w:tr>
      <w:tr>
        <w:trPr>
          <w:cantSplit/>
        </w:trPr>
        <w:tc>
          <w:tcPr>
            <w:tcW w:type="dxa" w:w="475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b/>
                <w:sz w:val="17"/>
              </w:rPr>
              <w:t xml:space="preserve">Test steps</w:t>
            </w:r>
          </w:p>
        </w:tc>
        <w:tc>
          <w:tcPr>
            <w:tcW w:type="dxa" w:w="500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[Test steps]</w:t>
            </w:r>
          </w:p>
        </w:tc>
      </w:tr>
      <w:tr>
        <w:trPr>
          <w:cantSplit/>
        </w:trPr>
        <w:tc>
          <w:tcPr>
            <w:tcW w:type="dxa" w:w="475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b/>
                <w:sz w:val="17"/>
              </w:rPr>
              <w:t xml:space="preserve">Evidence inspected</w:t>
            </w:r>
          </w:p>
        </w:tc>
        <w:tc>
          <w:tcPr>
            <w:tcW w:type="dxa" w:w="5001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[Evidence inspected]</w:t>
            </w:r>
          </w:p>
        </w:tc>
      </w:tr>
      <w:tr>
        <w:trPr>
          <w:cantSplit/>
        </w:trPr>
        <w:tc>
          <w:tcPr>
            <w:tcW w:type="dxa" w:w="475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b/>
                <w:sz w:val="17"/>
              </w:rPr>
              <w:t xml:space="preserve">Test of design</w:t>
            </w:r>
          </w:p>
        </w:tc>
        <w:tc>
          <w:tcPr>
            <w:tcW w:type="dxa" w:w="500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[Test of design]</w:t>
            </w:r>
          </w:p>
        </w:tc>
      </w:tr>
      <w:tr>
        <w:trPr>
          <w:cantSplit/>
        </w:trPr>
        <w:tc>
          <w:tcPr>
            <w:tcW w:type="dxa" w:w="475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b/>
                <w:sz w:val="17"/>
              </w:rPr>
              <w:t xml:space="preserve">Test of operating effectiveness</w:t>
            </w:r>
          </w:p>
        </w:tc>
        <w:tc>
          <w:tcPr>
            <w:tcW w:type="dxa" w:w="5001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[Test of operating effectiveness]</w:t>
            </w:r>
          </w:p>
        </w:tc>
      </w:tr>
      <w:tr>
        <w:trPr>
          <w:cantSplit/>
        </w:trPr>
        <w:tc>
          <w:tcPr>
            <w:tcW w:type="dxa" w:w="475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b/>
                <w:sz w:val="17"/>
              </w:rPr>
              <w:t xml:space="preserve">Conclusion</w:t>
            </w:r>
          </w:p>
        </w:tc>
        <w:tc>
          <w:tcPr>
            <w:tcW w:type="dxa" w:w="500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[Conclusion]</w:t>
            </w:r>
          </w:p>
        </w:tc>
      </w:tr>
      <w:tr>
        <w:trPr>
          <w:cantSplit/>
        </w:trPr>
        <w:tc>
          <w:tcPr>
            <w:tcW w:type="dxa" w:w="475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b/>
                <w:sz w:val="17"/>
              </w:rPr>
              <w:t xml:space="preserve">Findings</w:t>
            </w:r>
          </w:p>
        </w:tc>
        <w:tc>
          <w:tcPr>
            <w:tcW w:type="dxa" w:w="5001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[Findings]</w:t>
            </w:r>
          </w:p>
        </w:tc>
      </w:tr>
      <w:tr>
        <w:trPr>
          <w:cantSplit/>
        </w:trPr>
        <w:tc>
          <w:tcPr>
            <w:tcW w:type="dxa" w:w="475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b/>
                <w:sz w:val="17"/>
              </w:rPr>
              <w:t xml:space="preserve">Prepared by</w:t>
            </w:r>
          </w:p>
        </w:tc>
        <w:tc>
          <w:tcPr>
            <w:tcW w:type="dxa" w:w="500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[Prepared by]</w:t>
            </w:r>
          </w:p>
        </w:tc>
      </w:tr>
      <w:tr>
        <w:trPr>
          <w:cantSplit/>
        </w:trPr>
        <w:tc>
          <w:tcPr>
            <w:tcW w:type="dxa" w:w="475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b/>
                <w:sz w:val="17"/>
              </w:rPr>
              <w:t xml:space="preserve">Date</w:t>
            </w:r>
          </w:p>
        </w:tc>
        <w:tc>
          <w:tcPr>
            <w:tcW w:type="dxa" w:w="5001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[Date]</w:t>
            </w:r>
          </w:p>
        </w:tc>
      </w:tr>
      <w:tr>
        <w:trPr>
          <w:cantSplit/>
        </w:trPr>
        <w:tc>
          <w:tcPr>
            <w:tcW w:type="dxa" w:w="475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b/>
                <w:sz w:val="17"/>
              </w:rPr>
              <w:t xml:space="preserve">Reviewed by</w:t>
            </w:r>
          </w:p>
        </w:tc>
        <w:tc>
          <w:tcPr>
            <w:tcW w:type="dxa" w:w="500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[Reviewed by]</w:t>
            </w:r>
          </w:p>
        </w:tc>
      </w:tr>
    </w:tbl>
    <w:bookmarkEnd w:id="21"/>
    <w:bookmarkStart w:id="22" w:name="fill-in-checklist"/>
    <w:p>
      <w:pPr>
        <w:pStyle w:val="Heading2"/>
      </w:pPr>
      <w:r>
        <w:t xml:space="preserve">Fill-in checklist</w:t>
      </w:r>
    </w:p>
    <w:p>
      <w:pPr>
        <w:numPr>
          <w:ilvl w:val="0"/>
          <w:numId w:val="1002"/>
        </w:numPr>
        <w:pStyle w:val="Compact"/>
      </w:pPr>
      <w:r>
        <w:t xml:space="preserve">☐ Objective, criteria, population, sample, test steps, evidence, two results and a conclusion — every field completed.</w:t>
      </w:r>
    </w:p>
    <w:p>
      <w:pPr>
        <w:numPr>
          <w:ilvl w:val="0"/>
          <w:numId w:val="1002"/>
        </w:numPr>
        <w:pStyle w:val="Compact"/>
      </w:pPr>
      <w:r>
        <w:t xml:space="preserve">☐ Design and operating effectiveness are tested and recorded</w:t>
      </w:r>
      <w:r>
        <w:t xml:space="preserve"> </w:t>
      </w:r>
      <w:r>
        <w:rPr>
          <w:bCs/>
          <w:b/>
        </w:rPr>
        <w:t xml:space="preserve">separately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☐ Every population states its source and how completeness was checked.</w:t>
      </w:r>
    </w:p>
    <w:p>
      <w:pPr>
        <w:numPr>
          <w:ilvl w:val="0"/>
          <w:numId w:val="1002"/>
        </w:numPr>
        <w:pStyle w:val="Compact"/>
      </w:pPr>
      <w:r>
        <w:t xml:space="preserve">☐ Every random sample states its seed.</w:t>
      </w:r>
    </w:p>
    <w:p>
      <w:pPr>
        <w:numPr>
          <w:ilvl w:val="0"/>
          <w:numId w:val="1002"/>
        </w:numPr>
        <w:pStyle w:val="Compact"/>
      </w:pPr>
      <w:r>
        <w:t xml:space="preserve">☐ Every finding ID raised here appears in the findings register with an owner, a response and a due date.</w:t>
      </w:r>
    </w:p>
    <w:p>
      <w:pPr>
        <w:numPr>
          <w:ilvl w:val="0"/>
          <w:numId w:val="1002"/>
        </w:numPr>
        <w:pStyle w:val="Compact"/>
      </w:pPr>
      <w:r>
        <w:t xml:space="preserve">☐ No conclusion claims evidence the organisation's own records say does not exist.</w:t>
      </w:r>
    </w:p>
    <w:p>
      <w:pPr>
        <w:numPr>
          <w:ilvl w:val="0"/>
          <w:numId w:val="1002"/>
        </w:numPr>
        <w:pStyle w:val="Compact"/>
      </w:pPr>
      <w:r>
        <w:t xml:space="preserve">☐ Any independence limitation is declared on the face of the audit, not buried.</w:t>
      </w:r>
    </w:p>
    <w:bookmarkEnd w:id="22"/>
    <w:bookmarkEnd w:id="23"/>
    <w:sectPr>
      <w:headerReference w:type="default" r:id="rId9"/>
      <w:footerReference w:type="default" r:id="rId10"/>
      <w:pgSz w:w="11906" w:h="16838"/>
      <w:pgMar w:left="1077" w:right="1077" w:top="1134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280"/>
        <w:sz w:val="15"/>
      </w:rPr>
      <w:t xml:space="preserve">Simulated case study  ·  Prepared by O.S  ·  Page </w:t>
    </w:r>
    <w:r>
      <w:rPr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6B7280"/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6B7280"/>
        <w:sz w:val="15"/>
      </w:rPr>
      <w:t>INTERNAL AUDIT WORKPAPER | REUSABLE TEMPLATE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69" w:lineRule="auto"/>
    </w:pPr>
    <w:rPr>
      <w:rFonts w:ascii="Calibri" w:hAnsi="Calibri" w:eastAsia="Calibri"/>
      <w:color w:val="1F2937"/>
      <w:sz w:val="20"/>
    </w:rPr>
  </w:style>
  <w:style w:styleId="BodyText" w:type="paragraph">
    <w:name w:val="Body Text"/>
    <w:basedOn w:val="Normal"/>
    <w:link w:val="BodyTextChar"/>
    <w:pPr>
      <w:spacing w:after="100" w:before="180" w:line="269" w:lineRule="auto"/>
    </w:pPr>
    <w:qFormat/>
    <w:rPr>
      <w:rFonts w:ascii="Calibri" w:hAnsi="Calibri" w:eastAsia="Calibri"/>
      <w:color w:val="1F2937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100" w:line="269" w:lineRule="auto"/>
    </w:pPr>
    <w:rPr>
      <w:rFonts w:ascii="Calibri" w:hAnsi="Calibri" w:eastAsia="Calibri"/>
      <w:color w:val="1F2937"/>
      <w:sz w:val="20"/>
    </w:rPr>
  </w:style>
  <w:style w:customStyle="1" w:styleId="Compact" w:type="paragraph">
    <w:name w:val="Compact"/>
    <w:basedOn w:val="BodyText"/>
    <w:qFormat/>
    <w:pPr>
      <w:spacing w:after="20" w:before="36" w:line="269" w:lineRule="auto"/>
    </w:pPr>
    <w:rPr>
      <w:rFonts w:ascii="Calibri" w:hAnsi="Calibri" w:eastAsia="Calibri"/>
      <w:color w:val="1F2937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0B254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120"/>
      <w:outlineLvl w:val="0"/>
    </w:pPr>
    <w:rPr>
      <w:rFonts w:ascii="Calibri" w:hAnsi="Calibri"/>
      <w:b/>
      <w:bCs/>
      <w:i w:val="0"/>
      <w:color w:val="0B2545"/>
      <w:sz w:val="3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80"/>
      <w:outlineLvl w:val="1"/>
    </w:pPr>
    <w:rPr>
      <w:rFonts w:ascii="Calibri" w:hAnsi="Calibri"/>
      <w:b/>
      <w:bCs/>
      <w:i w:val="0"/>
      <w:color w:val="13315C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80"/>
      <w:outlineLvl w:val="2"/>
    </w:pPr>
    <w:rPr>
      <w:rFonts w:ascii="Calibri" w:hAnsi="Calibri"/>
      <w:b/>
      <w:bCs/>
      <w:i w:val="0"/>
      <w:color w:val="1B4965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00" w:before="280"/>
      <w:outlineLvl w:val="3"/>
    </w:pPr>
    <w:rPr>
      <w:rFonts w:ascii="Calibri" w:hAnsi="Calibri"/>
      <w:i w:val="0"/>
      <w:b/>
      <w:bCs/>
      <w:color w:val="1B4965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170" w:right="113"/>
      <w:pBdr>
        <w:left w:val="single" w:sz="24" w:space="6" w:color="2E86DE"/>
      </w:pBdr>
      <w:shd w:val="clear" w:color="auto" w:fill="EAF2FB"/>
    </w:pPr>
    <w:rPr>
      <w:i w:val="0"/>
      <w:color w:val="13315C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audit workpaper | Reusable template</dc:title>
  <dc:creator>O.S</dc:creator>
  <cp:keywords/>
  <dcterms:created xsi:type="dcterms:W3CDTF">2026-10-13T14:22:54Z</dcterms:created>
  <dcterms:modified xsi:type="dcterms:W3CDTF">2026-10-13T14:22:54Z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