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dfab14e251617a40113f5a3705e7c9de2ff960"/>
    <w:p>
      <w:pPr>
        <w:spacing w:after="40"/>
      </w:pPr>
      <w:r>
        <w:rPr>
          <w:b/>
          <w:color w:val="2E86DE"/>
          <w:sz w:val="16"/>
        </w:rPr>
        <w:t>CYPHER GROUP INC. · SIMULATED CASE STUDY</w:t>
      </w:r>
    </w:p>
    <w:p>
      <w:pPr>
        <w:pStyle w:val="Heading1"/>
      </w:pPr>
      <w:r>
        <w:t xml:space="preserve">Cypher Group Inc. — Startup Security Policy Pack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4373"/>
        <w:gridCol w:w="5377"/>
      </w:tblGrid>
      <w:tr>
        <w:trPr>
          <w:tblHeader w:val="true"/>
          <w:tblHeader w:val="true"/>
          <w:cantSplit/>
        </w:trPr>
        <w:tc>
          <w:tcPr>
            <w:tcW w:type="dxa" w:w="437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537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set</w:t>
            </w:r>
          </w:p>
        </w:tc>
        <w:tc>
          <w:tcPr>
            <w:tcW w:type="dxa" w:w="5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CGI-POL-001 to CGI-POL-005</w:t>
            </w:r>
          </w:p>
        </w:tc>
      </w:tr>
      <w:tr>
        <w:trPr>
          <w:cantSplit/>
        </w:trPr>
        <w:tc>
          <w:tcPr>
            <w:tcW w:type="dxa" w:w="4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Pack version</w:t>
            </w:r>
          </w:p>
        </w:tc>
        <w:tc>
          <w:tcPr>
            <w:tcW w:type="dxa" w:w="5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4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 of this document</w:t>
            </w:r>
          </w:p>
        </w:tc>
        <w:tc>
          <w:tcPr>
            <w:tcW w:type="dxa" w:w="5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4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>
            <w:tcW w:type="dxa" w:w="5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O.S, GRC Analyst (engaged)</w:t>
            </w:r>
          </w:p>
        </w:tc>
      </w:tr>
      <w:tr>
        <w:trPr>
          <w:cantSplit/>
        </w:trPr>
        <w:tc>
          <w:tcPr>
            <w:tcW w:type="dxa" w:w="4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5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Olugboye, Chief Executive Officer</w:t>
            </w:r>
          </w:p>
        </w:tc>
      </w:tr>
      <w:tr>
        <w:trPr>
          <w:cantSplit/>
        </w:trPr>
        <w:tc>
          <w:tcPr>
            <w:tcW w:type="dxa" w:w="4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Approval date</w:t>
            </w:r>
          </w:p>
        </w:tc>
        <w:tc>
          <w:tcPr>
            <w:tcW w:type="dxa" w:w="5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2026</w:t>
            </w:r>
          </w:p>
        </w:tc>
      </w:tr>
      <w:tr>
        <w:trPr>
          <w:cantSplit/>
        </w:trPr>
        <w:tc>
          <w:tcPr>
            <w:tcW w:type="dxa" w:w="4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Effective date</w:t>
            </w:r>
          </w:p>
        </w:tc>
        <w:tc>
          <w:tcPr>
            <w:tcW w:type="dxa" w:w="5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4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Next scheduled review</w:t>
            </w:r>
          </w:p>
        </w:tc>
        <w:tc>
          <w:tcPr>
            <w:tcW w:type="dxa" w:w="5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2027</w:t>
            </w:r>
          </w:p>
        </w:tc>
      </w:tr>
    </w:tbl>
    <w:p>
      <w:pPr>
        <w:pStyle w:val="BlockText"/>
      </w:pPr>
      <w:r>
        <w:rPr>
          <w:bCs/>
          <w:b/>
        </w:rPr>
        <w:t xml:space="preserve">All data in this pack is simulated.</w:t>
      </w:r>
      <w:r>
        <w:t xml:space="preserve"> </w:t>
      </w:r>
      <w:r>
        <w:t xml:space="preserve">Cypher Group Inc. is a simulated company. This</w:t>
      </w:r>
      <w:r>
        <w:t xml:space="preserve"> </w:t>
      </w:r>
      <w:r>
        <w:t xml:space="preserve">pack demonstrates policy development, framework mapping and policy governance.</w:t>
      </w:r>
    </w:p>
    <w:p>
      <w:r>
        <w:pict>
          <v:rect style="width:0;height:1.5pt" o:hralign="center" o:hrstd="t" o:hr="t"/>
        </w:pict>
      </w:r>
    </w:p>
    <w:bookmarkStart w:id="20" w:name="about-cypher-group-inc-the-scenario"/>
    <w:p>
      <w:pPr>
        <w:pStyle w:val="Heading2"/>
      </w:pPr>
      <w:r>
        <w:t xml:space="preserve">About Cypher Group Inc. (the scenario)</w:t>
      </w:r>
    </w:p>
    <w:p>
      <w:pPr>
        <w:pStyle w:val="FirstParagraph"/>
      </w:pPr>
      <w:r>
        <w:t xml:space="preserve">Cypher Group Inc. is a 50-person B2B SaaS company selling a project-management</w:t>
      </w:r>
      <w:r>
        <w:t xml:space="preserve"> </w:t>
      </w:r>
      <w:r>
        <w:t xml:space="preserve">platform to approximately 200 small and medium-sized business customers.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472"/>
        <w:gridCol w:w="7278"/>
      </w:tblGrid>
      <w:tr>
        <w:trPr>
          <w:tblHeader w:val="true"/>
          <w:tblHeader w:val="true"/>
          <w:cantSplit/>
        </w:trPr>
        <w:tc>
          <w:tcPr>
            <w:tcW w:type="dxa" w:w="247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Attribute</w:t>
            </w:r>
          </w:p>
        </w:tc>
        <w:tc>
          <w:tcPr>
            <w:tcW w:type="dxa" w:w="727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Employees</w:t>
            </w:r>
          </w:p>
        </w:tc>
        <w:tc>
          <w:tcPr>
            <w:tcW w:type="dxa" w:w="7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247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Product</w:t>
            </w:r>
          </w:p>
        </w:tc>
        <w:tc>
          <w:tcPr>
            <w:tcW w:type="dxa" w:w="7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B2B SaaS project-management platform</w:t>
            </w:r>
          </w:p>
        </w:tc>
      </w:tr>
      <w:tr>
        <w:trPr>
          <w:cantSplit/>
        </w:trPr>
        <w:tc>
          <w:tcPr>
            <w:tcW w:type="dxa" w:w="24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Customers</w:t>
            </w:r>
          </w:p>
        </w:tc>
        <w:tc>
          <w:tcPr>
            <w:tcW w:type="dxa" w:w="7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~200 SMBs</w:t>
            </w:r>
          </w:p>
        </w:tc>
      </w:tr>
      <w:tr>
        <w:trPr>
          <w:cantSplit/>
        </w:trPr>
        <w:tc>
          <w:tcPr>
            <w:tcW w:type="dxa" w:w="247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Hosting</w:t>
            </w:r>
          </w:p>
        </w:tc>
        <w:tc>
          <w:tcPr>
            <w:tcW w:type="dxa" w:w="7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CloudCo</w:t>
            </w:r>
          </w:p>
        </w:tc>
      </w:tr>
      <w:tr>
        <w:trPr>
          <w:cantSplit/>
        </w:trPr>
        <w:tc>
          <w:tcPr>
            <w:tcW w:type="dxa" w:w="24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Source code</w:t>
            </w:r>
          </w:p>
        </w:tc>
        <w:tc>
          <w:tcPr>
            <w:tcW w:type="dxa" w:w="7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CodeCo</w:t>
            </w:r>
          </w:p>
        </w:tc>
      </w:tr>
      <w:tr>
        <w:trPr>
          <w:cantSplit/>
        </w:trPr>
        <w:tc>
          <w:tcPr>
            <w:tcW w:type="dxa" w:w="247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 communications</w:t>
            </w:r>
          </w:p>
        </w:tc>
        <w:tc>
          <w:tcPr>
            <w:tcW w:type="dxa" w:w="7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ChatCo</w:t>
            </w:r>
          </w:p>
        </w:tc>
      </w:tr>
      <w:tr>
        <w:trPr>
          <w:cantSplit/>
        </w:trPr>
        <w:tc>
          <w:tcPr>
            <w:tcW w:type="dxa" w:w="24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Email and documents</w:t>
            </w:r>
          </w:p>
        </w:tc>
        <w:tc>
          <w:tcPr>
            <w:tcW w:type="dxa" w:w="7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</w:t>
            </w:r>
          </w:p>
        </w:tc>
      </w:tr>
      <w:tr>
        <w:trPr>
          <w:cantSplit/>
        </w:trPr>
        <w:tc>
          <w:tcPr>
            <w:tcW w:type="dxa" w:w="247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Payments</w:t>
            </w:r>
          </w:p>
        </w:tc>
        <w:tc>
          <w:tcPr>
            <w:tcW w:type="dxa" w:w="7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PaymentsCo (Cypher stores payment metadata only; card numbers are held by PaymentsCo)</w:t>
            </w:r>
          </w:p>
        </w:tc>
      </w:tr>
      <w:tr>
        <w:trPr>
          <w:cantSplit/>
        </w:trPr>
        <w:tc>
          <w:tcPr>
            <w:tcW w:type="dxa" w:w="24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handled</w:t>
            </w:r>
          </w:p>
        </w:tc>
        <w:tc>
          <w:tcPr>
            <w:tcW w:type="dxa" w:w="7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Customer account data, payment metadata, internal documents, limited PII</w:t>
            </w:r>
          </w:p>
        </w:tc>
      </w:tr>
      <w:tr>
        <w:trPr>
          <w:cantSplit/>
        </w:trPr>
        <w:tc>
          <w:tcPr>
            <w:tcW w:type="dxa" w:w="247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Security maturity</w:t>
            </w:r>
          </w:p>
        </w:tc>
        <w:tc>
          <w:tcPr>
            <w:tcW w:type="dxa" w:w="7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Early-stage; no formal GRC programme prior to this pack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business problem this pack solves.</w:t>
      </w:r>
      <w:r>
        <w:t xml:space="preserve"> </w:t>
      </w:r>
      <w:r>
        <w:t xml:space="preserve">Cypher Group has begun receiving</w:t>
      </w:r>
      <w:r>
        <w:t xml:space="preserve"> </w:t>
      </w:r>
      <w:r>
        <w:t xml:space="preserve">security questionnaires from prospective customers. The first question on almost</w:t>
      </w:r>
      <w:r>
        <w:t xml:space="preserve"> </w:t>
      </w:r>
      <w:r>
        <w:t xml:space="preserve">every one of them is</w:t>
      </w:r>
      <w:r>
        <w:t xml:space="preserve"> </w:t>
      </w:r>
      <w:r>
        <w:rPr>
          <w:iCs/>
          <w:i/>
        </w:rPr>
        <w:t xml:space="preserve">"Do you maintain a documented information security policy,</w:t>
      </w:r>
      <w:r>
        <w:rPr>
          <w:iCs/>
          <w:i/>
        </w:rPr>
        <w:t xml:space="preserve"> </w:t>
      </w:r>
      <w:r>
        <w:rPr>
          <w:iCs/>
          <w:i/>
        </w:rPr>
        <w:t xml:space="preserve">approved by management and reviewed at least annually?"</w:t>
      </w:r>
      <w:r>
        <w:t xml:space="preserve"> </w:t>
      </w:r>
      <w:r>
        <w:t xml:space="preserve">Until this pack was</w:t>
      </w:r>
      <w:r>
        <w:t xml:space="preserve"> </w:t>
      </w:r>
      <w:r>
        <w:t xml:space="preserve">approved, the answer was</w:t>
      </w:r>
      <w:r>
        <w:t xml:space="preserve"> </w:t>
      </w:r>
      <w:r>
        <w:rPr>
          <w:bCs/>
          <w:b/>
        </w:rPr>
        <w:t xml:space="preserve">No</w:t>
      </w:r>
      <w:r>
        <w:t xml:space="preserve">. Three deals were held at security review as a</w:t>
      </w:r>
      <w:r>
        <w:t xml:space="preserve"> </w:t>
      </w:r>
      <w:r>
        <w:t xml:space="preserve">result. This pack changes the answer to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and provides the evidence.</w:t>
      </w:r>
    </w:p>
    <w:p>
      <w:r>
        <w:pict>
          <v:rect style="width:0;height:1.5pt" o:hralign="center" o:hrstd="t" o:hr="t"/>
        </w:pict>
      </w:r>
    </w:p>
    <w:bookmarkEnd w:id="20"/>
    <w:bookmarkStart w:id="21" w:name="Xdf11acab773f2e66877fb5a2e73e9ba5926ad3e"/>
    <w:p>
      <w:pPr>
        <w:pStyle w:val="Heading2"/>
      </w:pPr>
      <w:r>
        <w:t xml:space="preserve">How to read this pack — the document hierarchy</w:t>
      </w:r>
    </w:p>
    <w:p>
      <w:pPr>
        <w:pStyle w:val="FirstParagraph"/>
      </w:pPr>
      <w:r>
        <w:t xml:space="preserve">Cypher Group uses a four-level documentation hierarchy. Knowing which level a</w:t>
      </w:r>
      <w:r>
        <w:t xml:space="preserve"> </w:t>
      </w:r>
      <w:r>
        <w:t xml:space="preserve">statement belongs to is what keeps the pack maintainable.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079"/>
        <w:gridCol w:w="2258"/>
        <w:gridCol w:w="1159"/>
        <w:gridCol w:w="1373"/>
        <w:gridCol w:w="3879"/>
      </w:tblGrid>
      <w:tr>
        <w:trPr>
          <w:tblHeader w:val="true"/>
          <w:tblHeader w:val="true"/>
          <w:cantSplit/>
        </w:trPr>
        <w:tc>
          <w:tcPr>
            <w:tcW w:type="dxa" w:w="108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Level</w:t>
            </w:r>
          </w:p>
        </w:tc>
        <w:tc>
          <w:tcPr>
            <w:tcW w:type="dxa" w:w="225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Answers</w:t>
            </w:r>
          </w:p>
        </w:tc>
        <w:tc>
          <w:tcPr>
            <w:tcW w:type="dxa" w:w="116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Approved by</w:t>
            </w:r>
          </w:p>
        </w:tc>
        <w:tc>
          <w:tcPr>
            <w:tcW w:type="dxa" w:w="137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Changes</w:t>
            </w:r>
          </w:p>
        </w:tc>
        <w:tc>
          <w:tcPr>
            <w:tcW w:type="dxa" w:w="387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Example from this pack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Policy</w:t>
            </w:r>
          </w:p>
        </w:tc>
        <w:tc>
          <w:tcPr>
            <w:tcW w:type="dxa" w:w="2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What and why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CEO or CTO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Annually</w:t>
            </w:r>
          </w:p>
        </w:tc>
        <w:tc>
          <w:tcPr>
            <w:tcW w:type="dxa" w:w="38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"Access shall be granted on the principle of least privilege."</w:t>
            </w:r>
          </w:p>
        </w:tc>
      </w:tr>
      <w:tr>
        <w:trPr>
          <w:cantSplit/>
        </w:trPr>
        <w:tc>
          <w:tcPr>
            <w:tcW w:type="dxa" w:w="108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Standard</w:t>
            </w:r>
          </w:p>
        </w:tc>
        <w:tc>
          <w:tcPr>
            <w:tcW w:type="dxa" w:w="225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specific mandatory requirement</w:t>
            </w:r>
          </w:p>
        </w:tc>
        <w:tc>
          <w:tcPr>
            <w:tcW w:type="dxa" w:w="11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CTO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Occasionally</w:t>
            </w:r>
          </w:p>
        </w:tc>
        <w:tc>
          <w:tcPr>
            <w:tcW w:type="dxa" w:w="38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"Passwords shall be a minimum of 14 characters."</w:t>
            </w:r>
          </w:p>
        </w:tc>
      </w:tr>
      <w:tr>
        <w:trPr>
          <w:cantSplit/>
        </w:trPr>
        <w:tc>
          <w:tcPr>
            <w:tcW w:type="dxa" w:w="108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Procedure</w:t>
            </w:r>
          </w:p>
        </w:tc>
        <w:tc>
          <w:tcPr>
            <w:tcW w:type="dxa" w:w="22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Step-by-step how</w:t>
            </w:r>
          </w:p>
        </w:tc>
        <w:tc>
          <w:tcPr>
            <w:tcW w:type="dxa" w:w="11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Process owner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Frequently</w:t>
            </w:r>
          </w:p>
        </w:tc>
        <w:tc>
          <w:tcPr>
            <w:tcW w:type="dxa" w:w="38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"To offboard a user: 1. People Ops raises ticket..."</w:t>
            </w:r>
          </w:p>
        </w:tc>
      </w:tr>
      <w:tr>
        <w:trPr>
          <w:cantSplit/>
        </w:trPr>
        <w:tc>
          <w:tcPr>
            <w:tcW w:type="dxa" w:w="108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Guideline</w:t>
            </w:r>
          </w:p>
        </w:tc>
        <w:tc>
          <w:tcPr>
            <w:tcW w:type="dxa" w:w="225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Recommended, not mandatory</w:t>
            </w:r>
          </w:p>
        </w:tc>
        <w:tc>
          <w:tcPr>
            <w:tcW w:type="dxa" w:w="11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CTO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Freely</w:t>
            </w:r>
          </w:p>
        </w:tc>
        <w:tc>
          <w:tcPr>
            <w:tcW w:type="dxa" w:w="38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"Consider enabling a passkey on personal accounts too."</w:t>
            </w:r>
          </w:p>
        </w:tc>
      </w:tr>
    </w:tbl>
    <w:p>
      <w:pPr>
        <w:pStyle w:val="BodyText"/>
      </w:pPr>
      <w:r>
        <w:t xml:space="preserve">This pack contains</w:t>
      </w:r>
      <w:r>
        <w:t xml:space="preserve"> </w:t>
      </w:r>
      <w:r>
        <w:rPr>
          <w:bCs/>
          <w:b/>
        </w:rPr>
        <w:t xml:space="preserve">policies with embedded standards</w:t>
      </w:r>
      <w:r>
        <w:t xml:space="preserve">. Procedures are</w:t>
      </w:r>
      <w:r>
        <w:t xml:space="preserve"> </w:t>
      </w:r>
      <w:r>
        <w:t xml:space="preserve">referenced but maintained separately in the Cypher Group internal wiki.</w:t>
      </w:r>
    </w:p>
    <w:p>
      <w:r>
        <w:pict>
          <v:rect style="width:0;height:1.5pt" o:hralign="center" o:hrstd="t" o:hr="t"/>
        </w:pict>
      </w:r>
    </w:p>
    <w:bookmarkEnd w:id="21"/>
    <w:bookmarkStart w:id="22" w:name="X6f436ed43309c2f921d7fde836fc74f120f1338"/>
    <w:p>
      <w:pPr>
        <w:pStyle w:val="Heading2"/>
      </w:pPr>
      <w:r>
        <w:t xml:space="preserve">Pack contents and document control register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932"/>
        <w:gridCol w:w="2282"/>
        <w:gridCol w:w="727"/>
        <w:gridCol w:w="1450"/>
        <w:gridCol w:w="831"/>
        <w:gridCol w:w="847"/>
        <w:gridCol w:w="935"/>
        <w:gridCol w:w="847"/>
        <w:gridCol w:w="896"/>
      </w:tblGrid>
      <w:tr>
        <w:trPr>
          <w:tblHeader w:val="true"/>
          <w:tblHeader w:val="true"/>
          <w:cantSplit/>
        </w:trPr>
        <w:tc>
          <w:tcPr>
            <w:tcW w:type="dxa" w:w="93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Doc ID</w:t>
            </w:r>
          </w:p>
        </w:tc>
        <w:tc>
          <w:tcPr>
            <w:tcW w:type="dxa" w:w="228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Policy</w:t>
            </w:r>
          </w:p>
        </w:tc>
        <w:tc>
          <w:tcPr>
            <w:tcW w:type="dxa" w:w="72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Version</w:t>
            </w:r>
          </w:p>
        </w:tc>
        <w:tc>
          <w:tcPr>
            <w:tcW w:type="dxa" w:w="145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Owner (role)</w:t>
            </w:r>
          </w:p>
        </w:tc>
        <w:tc>
          <w:tcPr>
            <w:tcW w:type="dxa" w:w="83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Approver</w:t>
            </w:r>
          </w:p>
        </w:tc>
        <w:tc>
          <w:tcPr>
            <w:tcW w:type="dxa" w:w="84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Approval date</w:t>
            </w:r>
          </w:p>
        </w:tc>
        <w:tc>
          <w:tcPr>
            <w:tcW w:type="dxa" w:w="93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Effective date</w:t>
            </w:r>
          </w:p>
        </w:tc>
        <w:tc>
          <w:tcPr>
            <w:tcW w:type="dxa" w:w="84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Next review</w:t>
            </w:r>
          </w:p>
        </w:tc>
        <w:tc>
          <w:tcPr>
            <w:tcW w:type="dxa" w:w="89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Sign-off required</w:t>
            </w:r>
          </w:p>
        </w:tc>
      </w:tr>
      <w:tr>
        <w:trPr>
          <w:cantSplit/>
        </w:trPr>
        <w:tc>
          <w:tcPr>
            <w:tcW w:type="dxa" w:w="93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CGI-POL-001</w:t>
            </w:r>
          </w:p>
        </w:tc>
        <w:tc>
          <w:tcPr>
            <w:tcW w:type="dxa" w:w="2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Acceptable Use Policy</w:t>
            </w:r>
          </w:p>
        </w:tc>
        <w:tc>
          <w:tcPr>
            <w:tcW w:type="dxa" w:w="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4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Head of People and Operations</w:t>
            </w:r>
          </w:p>
        </w:tc>
        <w:tc>
          <w:tcPr>
            <w:tcW w:type="dxa" w:w="83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8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8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8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Yes, all staff</w:t>
            </w:r>
          </w:p>
        </w:tc>
      </w:tr>
      <w:tr>
        <w:trPr>
          <w:cantSplit/>
        </w:trPr>
        <w:tc>
          <w:tcPr>
            <w:tcW w:type="dxa" w:w="93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CGI-POL-002</w:t>
            </w:r>
          </w:p>
        </w:tc>
        <w:tc>
          <w:tcPr>
            <w:tcW w:type="dxa" w:w="22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Password and Multi-Factor Authentication Policy</w:t>
            </w:r>
          </w:p>
        </w:tc>
        <w:tc>
          <w:tcPr>
            <w:tcW w:type="dxa" w:w="72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4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Chief Technology Officer</w:t>
            </w:r>
          </w:p>
        </w:tc>
        <w:tc>
          <w:tcPr>
            <w:tcW w:type="dxa" w:w="83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8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9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8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89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Yes, all staff</w:t>
            </w:r>
          </w:p>
        </w:tc>
      </w:tr>
      <w:tr>
        <w:trPr>
          <w:cantSplit/>
        </w:trPr>
        <w:tc>
          <w:tcPr>
            <w:tcW w:type="dxa" w:w="93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CGI-POL-003</w:t>
            </w:r>
          </w:p>
        </w:tc>
        <w:tc>
          <w:tcPr>
            <w:tcW w:type="dxa" w:w="2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Onboarding and Offboarding Access Control Policy</w:t>
            </w:r>
          </w:p>
        </w:tc>
        <w:tc>
          <w:tcPr>
            <w:tcW w:type="dxa" w:w="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4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Chief Technology Officer</w:t>
            </w:r>
          </w:p>
        </w:tc>
        <w:tc>
          <w:tcPr>
            <w:tcW w:type="dxa" w:w="83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8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8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8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No, managers only</w:t>
            </w:r>
          </w:p>
        </w:tc>
      </w:tr>
      <w:tr>
        <w:trPr>
          <w:cantSplit/>
        </w:trPr>
        <w:tc>
          <w:tcPr>
            <w:tcW w:type="dxa" w:w="93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CGI-POL-004</w:t>
            </w:r>
          </w:p>
        </w:tc>
        <w:tc>
          <w:tcPr>
            <w:tcW w:type="dxa" w:w="22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Data Classification Policy</w:t>
            </w:r>
          </w:p>
        </w:tc>
        <w:tc>
          <w:tcPr>
            <w:tcW w:type="dxa" w:w="72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4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Chief Technology Officer</w:t>
            </w:r>
          </w:p>
        </w:tc>
        <w:tc>
          <w:tcPr>
            <w:tcW w:type="dxa" w:w="83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8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9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8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89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Yes, all staff</w:t>
            </w:r>
          </w:p>
        </w:tc>
      </w:tr>
      <w:tr>
        <w:trPr>
          <w:cantSplit/>
        </w:trPr>
        <w:tc>
          <w:tcPr>
            <w:tcW w:type="dxa" w:w="93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CGI-POL-005</w:t>
            </w:r>
          </w:p>
        </w:tc>
        <w:tc>
          <w:tcPr>
            <w:tcW w:type="dxa" w:w="22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Incident Reporting Policy</w:t>
            </w:r>
          </w:p>
        </w:tc>
        <w:tc>
          <w:tcPr>
            <w:tcW w:type="dxa" w:w="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4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Chief Technology Officer</w:t>
            </w:r>
          </w:p>
        </w:tc>
        <w:tc>
          <w:tcPr>
            <w:tcW w:type="dxa" w:w="83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8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9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8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89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Yes, all staff</w:t>
            </w:r>
          </w:p>
        </w:tc>
      </w:tr>
    </w:tbl>
    <w:bookmarkEnd w:id="22"/>
    <w:bookmarkStart w:id="23" w:name="X34e4a04e96895c4150d14671360565539ac3a1a"/>
    <w:p>
      <w:pPr>
        <w:pStyle w:val="Heading2"/>
      </w:pPr>
      <w:r>
        <w:t xml:space="preserve">Named roles referenced throughout this pack (simulated)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404"/>
        <w:gridCol w:w="1896"/>
        <w:gridCol w:w="5450"/>
      </w:tblGrid>
      <w:tr>
        <w:trPr>
          <w:tblHeader w:val="true"/>
          <w:tblHeader w:val="true"/>
          <w:cantSplit/>
        </w:trPr>
        <w:tc>
          <w:tcPr>
            <w:tcW w:type="dxa" w:w="240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189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Name (simulated)</w:t>
            </w:r>
          </w:p>
        </w:tc>
        <w:tc>
          <w:tcPr>
            <w:tcW w:type="dxa" w:w="545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Policy responsibilities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Executive Officer</w:t>
            </w:r>
          </w:p>
        </w:tc>
        <w:tc>
          <w:tcPr>
            <w:tcW w:type="dxa" w:w="1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  <w:tc>
          <w:tcPr>
            <w:tcW w:type="dxa" w:w="54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Approves the pack; accountable for the security programme</w:t>
            </w:r>
          </w:p>
        </w:tc>
      </w:tr>
      <w:tr>
        <w:trPr>
          <w:cantSplit/>
        </w:trPr>
        <w:tc>
          <w:tcPr>
            <w:tcW w:type="dxa" w:w="24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Technology Officer</w:t>
            </w:r>
          </w:p>
        </w:tc>
        <w:tc>
          <w:tcPr>
            <w:tcW w:type="dxa" w:w="1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</w:t>
            </w:r>
          </w:p>
        </w:tc>
        <w:tc>
          <w:tcPr>
            <w:tcW w:type="dxa" w:w="54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Owns technical policies; acts as Incident Commander; approves exceptions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People and Operations</w:t>
            </w:r>
          </w:p>
        </w:tc>
        <w:tc>
          <w:tcPr>
            <w:tcW w:type="dxa" w:w="1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Sofia Lindqvist</w:t>
            </w:r>
          </w:p>
        </w:tc>
        <w:tc>
          <w:tcPr>
            <w:tcW w:type="dxa" w:w="54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Owns the AUP; runs sign-off tracking; triggers joiner and leaver events</w:t>
            </w:r>
          </w:p>
        </w:tc>
      </w:tr>
      <w:tr>
        <w:trPr>
          <w:cantSplit/>
        </w:trPr>
        <w:tc>
          <w:tcPr>
            <w:tcW w:type="dxa" w:w="24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IT Operations Manager</w:t>
            </w:r>
          </w:p>
        </w:tc>
        <w:tc>
          <w:tcPr>
            <w:tcW w:type="dxa" w:w="1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Tomas Whitfield</w:t>
            </w:r>
          </w:p>
        </w:tc>
        <w:tc>
          <w:tcPr>
            <w:tcW w:type="dxa" w:w="54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Executes provisioning and deprovisioning; runs access reviews</w:t>
            </w:r>
          </w:p>
        </w:tc>
      </w:tr>
      <w:tr>
        <w:trPr>
          <w:cantSplit/>
        </w:trPr>
        <w:tc>
          <w:tcPr>
            <w:tcW w:type="dxa" w:w="24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Customer Success</w:t>
            </w:r>
          </w:p>
        </w:tc>
        <w:tc>
          <w:tcPr>
            <w:tcW w:type="dxa" w:w="1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Amara Boateng</w:t>
            </w:r>
          </w:p>
        </w:tc>
        <w:tc>
          <w:tcPr>
            <w:tcW w:type="dxa" w:w="54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owner for customer account data</w:t>
            </w:r>
          </w:p>
        </w:tc>
      </w:tr>
      <w:tr>
        <w:trPr>
          <w:cantSplit/>
        </w:trPr>
        <w:tc>
          <w:tcPr>
            <w:tcW w:type="dxa" w:w="24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Finance Manager</w:t>
            </w:r>
          </w:p>
        </w:tc>
        <w:tc>
          <w:tcPr>
            <w:tcW w:type="dxa" w:w="1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Jonas Keller</w:t>
            </w:r>
          </w:p>
        </w:tc>
        <w:tc>
          <w:tcPr>
            <w:tcW w:type="dxa" w:w="54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owner for payment metadata and financial records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7" w:name="cgi-pol-001--acceptable-use-policy"/>
    <w:p>
      <w:pPr>
        <w:pStyle w:val="Heading1"/>
        <w:pageBreakBefore/>
      </w:pPr>
      <w:r>
        <w:t xml:space="preserve">CGI-POL-001 — Acceptable Use Policy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764"/>
        <w:gridCol w:w="6986"/>
      </w:tblGrid>
      <w:tr>
        <w:trPr>
          <w:tblHeader w:val="true"/>
          <w:tblHeader w:val="true"/>
          <w:cantSplit/>
        </w:trPr>
        <w:tc>
          <w:tcPr>
            <w:tcW w:type="dxa" w:w="276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698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ID</w:t>
            </w:r>
          </w:p>
        </w:tc>
        <w:tc>
          <w:tcPr>
            <w:tcW w:type="dxa" w:w="69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CGI-POL-001</w:t>
            </w:r>
          </w:p>
        </w:tc>
      </w:tr>
      <w:tr>
        <w:trPr>
          <w:cantSplit/>
        </w:trPr>
        <w:tc>
          <w:tcPr>
            <w:tcW w:type="dxa" w:w="27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Version</w:t>
            </w:r>
          </w:p>
        </w:tc>
        <w:tc>
          <w:tcPr>
            <w:tcW w:type="dxa" w:w="69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</w:t>
            </w:r>
          </w:p>
        </w:tc>
        <w:tc>
          <w:tcPr>
            <w:tcW w:type="dxa" w:w="69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7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Policy owner</w:t>
            </w:r>
          </w:p>
        </w:tc>
        <w:tc>
          <w:tcPr>
            <w:tcW w:type="dxa" w:w="69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Sofia Lindqvist, Head of People and Operations</w:t>
            </w:r>
          </w:p>
        </w:tc>
      </w:tr>
      <w:tr>
        <w:trPr>
          <w:cantSplit/>
        </w:trPr>
        <w:tc>
          <w:tcPr>
            <w:tcW w:type="dxa" w:w="2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69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Olugboye, Chief Executive Officer</w:t>
            </w:r>
          </w:p>
        </w:tc>
      </w:tr>
      <w:tr>
        <w:trPr>
          <w:cantSplit/>
        </w:trPr>
        <w:tc>
          <w:tcPr>
            <w:tcW w:type="dxa" w:w="27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Approval date</w:t>
            </w:r>
          </w:p>
        </w:tc>
        <w:tc>
          <w:tcPr>
            <w:tcW w:type="dxa" w:w="69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2026</w:t>
            </w:r>
          </w:p>
        </w:tc>
      </w:tr>
      <w:tr>
        <w:trPr>
          <w:cantSplit/>
        </w:trPr>
        <w:tc>
          <w:tcPr>
            <w:tcW w:type="dxa" w:w="2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Effective date</w:t>
            </w:r>
          </w:p>
        </w:tc>
        <w:tc>
          <w:tcPr>
            <w:tcW w:type="dxa" w:w="69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27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Review cadence</w:t>
            </w:r>
          </w:p>
        </w:tc>
        <w:tc>
          <w:tcPr>
            <w:tcW w:type="dxa" w:w="69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Annually, or upon significant change</w:t>
            </w:r>
          </w:p>
        </w:tc>
      </w:tr>
      <w:tr>
        <w:trPr>
          <w:cantSplit/>
        </w:trPr>
        <w:tc>
          <w:tcPr>
            <w:tcW w:type="dxa" w:w="27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Next review due</w:t>
            </w:r>
          </w:p>
        </w:tc>
        <w:tc>
          <w:tcPr>
            <w:tcW w:type="dxa" w:w="69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2027</w:t>
            </w:r>
          </w:p>
        </w:tc>
      </w:tr>
      <w:tr>
        <w:trPr>
          <w:cantSplit/>
        </w:trPr>
        <w:tc>
          <w:tcPr>
            <w:tcW w:type="dxa" w:w="27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 sign-off</w:t>
            </w:r>
          </w:p>
        </w:tc>
        <w:tc>
          <w:tcPr>
            <w:tcW w:type="dxa" w:w="69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 before system access is granted, and annually thereafter</w:t>
            </w:r>
          </w:p>
        </w:tc>
      </w:tr>
    </w:tbl>
    <w:bookmarkStart w:id="25" w:name="version-history"/>
    <w:p>
      <w:pPr>
        <w:pStyle w:val="Heading3"/>
      </w:pPr>
      <w:r>
        <w:t xml:space="preserve">Version history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888"/>
        <w:gridCol w:w="2198"/>
        <w:gridCol w:w="1618"/>
        <w:gridCol w:w="1888"/>
        <w:gridCol w:w="2158"/>
      </w:tblGrid>
      <w:tr>
        <w:trPr>
          <w:tblHeader w:val="true"/>
          <w:tblHeader w:val="true"/>
          <w:cantSplit/>
        </w:trPr>
        <w:tc>
          <w:tcPr>
            <w:tcW w:type="dxa" w:w="188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tcW w:type="dxa" w:w="219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type="dxa" w:w="161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type="dxa" w:w="188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Summary of change</w:t>
            </w:r>
          </w:p>
        </w:tc>
        <w:tc>
          <w:tcPr>
            <w:tcW w:type="dxa" w:w="215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8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>
            <w:tcW w:type="dxa" w:w="2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2026-09-01</w:t>
            </w:r>
          </w:p>
        </w:tc>
        <w:tc>
          <w:tcPr>
            <w:tcW w:type="dxa" w:w="16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O.S</w:t>
            </w:r>
          </w:p>
        </w:tc>
        <w:tc>
          <w:tcPr>
            <w:tcW w:type="dxa" w:w="18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Initial issue</w:t>
            </w:r>
          </w:p>
        </w:tc>
        <w:tc>
          <w:tcPr>
            <w:tcW w:type="dxa" w:w="2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</w:tr>
    </w:tbl>
    <w:bookmarkEnd w:id="25"/>
    <w:bookmarkStart w:id="26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sets out how Cypher Group Inc. systems, devices, accounts and</w:t>
      </w:r>
      <w:r>
        <w:t xml:space="preserve"> </w:t>
      </w:r>
      <w:r>
        <w:t xml:space="preserve">information may and may not be used. It exists to protect customer data, company</w:t>
      </w:r>
      <w:r>
        <w:t xml:space="preserve"> </w:t>
      </w:r>
      <w:r>
        <w:t xml:space="preserve">information and Cypher Group's ability to operate, and to make clear to every</w:t>
      </w:r>
      <w:r>
        <w:t xml:space="preserve"> </w:t>
      </w:r>
      <w:r>
        <w:t xml:space="preserve">individual what is expected of them so that nobody has to guess.</w:t>
      </w:r>
    </w:p>
    <w:p>
      <w:pPr>
        <w:pStyle w:val="BodyText"/>
      </w:pPr>
      <w:r>
        <w:t xml:space="preserve">This policy also serves as the formal notice to all personnel that use of Cypher</w:t>
      </w:r>
      <w:r>
        <w:t xml:space="preserve"> </w:t>
      </w:r>
      <w:r>
        <w:t xml:space="preserve">Group systems is monitored.</w:t>
      </w:r>
    </w:p>
    <w:bookmarkEnd w:id="26"/>
    <w:bookmarkStart w:id="27" w:name="Xb66d8751654b4b3bfdfa8df98730d37eb4be826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to:</w:t>
      </w:r>
    </w:p>
    <w:p>
      <w:pPr>
        <w:numPr>
          <w:ilvl w:val="0"/>
          <w:numId w:val="1001"/>
        </w:numPr>
        <w:pStyle w:val="Compact"/>
      </w:pPr>
      <w:r>
        <w:t xml:space="preserve">All employees, directors, contractors, consultants, interns and temporary staff of Cypher Group Inc., referred to collectively as "personnel".</w:t>
      </w:r>
    </w:p>
    <w:p>
      <w:pPr>
        <w:numPr>
          <w:ilvl w:val="0"/>
          <w:numId w:val="1001"/>
        </w:numPr>
        <w:pStyle w:val="Compact"/>
      </w:pPr>
      <w:r>
        <w:t xml:space="preserve">All Cypher Group accounts, including OfficeCo, ChatCo, CodeCo, CloudCo, the PaymentsCo dashboard and any other system holding Cypher Group information.</w:t>
      </w:r>
    </w:p>
    <w:p>
      <w:pPr>
        <w:numPr>
          <w:ilvl w:val="0"/>
          <w:numId w:val="1001"/>
        </w:numPr>
        <w:pStyle w:val="Compact"/>
      </w:pPr>
      <w:r>
        <w:t xml:space="preserve">All devices used to access Cypher Group information, whether company-owned or personally owned.</w:t>
      </w:r>
    </w:p>
    <w:p>
      <w:pPr>
        <w:numPr>
          <w:ilvl w:val="0"/>
          <w:numId w:val="1001"/>
        </w:numPr>
        <w:pStyle w:val="Compact"/>
      </w:pPr>
      <w:r>
        <w:t xml:space="preserve">All Cypher Group information in any form, including electronic files, printed material and verbal communication.</w:t>
      </w:r>
    </w:p>
    <w:p>
      <w:pPr>
        <w:pStyle w:val="FirstParagraph"/>
      </w:pPr>
      <w:r>
        <w:rPr>
          <w:bCs/>
          <w:b/>
        </w:rPr>
        <w:t xml:space="preserve">Exclusions.</w:t>
      </w:r>
      <w:r>
        <w:t xml:space="preserve"> </w:t>
      </w:r>
      <w:r>
        <w:t xml:space="preserve">This policy does not govern the personal use of personal devices</w:t>
      </w:r>
      <w:r>
        <w:t xml:space="preserve"> </w:t>
      </w:r>
      <w:r>
        <w:t xml:space="preserve">where no Cypher Group information or account is involved.</w:t>
      </w:r>
    </w:p>
    <w:bookmarkEnd w:id="27"/>
    <w:bookmarkStart w:id="28" w:name="X08c4d112b88c1dfc0a973db085feec2e7473a23"/>
    <w:p>
      <w:pPr>
        <w:pStyle w:val="Heading2"/>
      </w:pPr>
      <w:r>
        <w:t xml:space="preserve">3. Roles and responsibilities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909"/>
        <w:gridCol w:w="6841"/>
      </w:tblGrid>
      <w:tr>
        <w:trPr>
          <w:tblHeader w:val="true"/>
          <w:tblHeader w:val="true"/>
          <w:cantSplit/>
        </w:trPr>
        <w:tc>
          <w:tcPr>
            <w:tcW w:type="dxa" w:w="290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684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9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All personnel</w:t>
            </w:r>
          </w:p>
        </w:tc>
        <w:tc>
          <w:tcPr>
            <w:tcW w:type="dxa" w:w="684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Read, sign and comply with this policy; report suspected violations</w:t>
            </w:r>
          </w:p>
        </w:tc>
      </w:tr>
      <w:tr>
        <w:trPr>
          <w:cantSplit/>
        </w:trPr>
        <w:tc>
          <w:tcPr>
            <w:tcW w:type="dxa" w:w="290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Line managers</w:t>
            </w:r>
          </w:p>
        </w:tc>
        <w:tc>
          <w:tcPr>
            <w:tcW w:type="dxa" w:w="684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Ensure their reports have signed the policy; reinforce it in practice</w:t>
            </w:r>
          </w:p>
        </w:tc>
      </w:tr>
      <w:tr>
        <w:trPr>
          <w:cantSplit/>
        </w:trPr>
        <w:tc>
          <w:tcPr>
            <w:tcW w:type="dxa" w:w="29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People and Operations</w:t>
            </w:r>
          </w:p>
        </w:tc>
        <w:tc>
          <w:tcPr>
            <w:tcW w:type="dxa" w:w="684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 the policy; distribute it; track sign-off; include it in onboarding</w:t>
            </w:r>
          </w:p>
        </w:tc>
      </w:tr>
      <w:tr>
        <w:trPr>
          <w:cantSplit/>
        </w:trPr>
        <w:tc>
          <w:tcPr>
            <w:tcW w:type="dxa" w:w="290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Technology Officer</w:t>
            </w:r>
          </w:p>
        </w:tc>
        <w:tc>
          <w:tcPr>
            <w:tcW w:type="dxa" w:w="684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 exceptions; provide the technical controls that enforce this policy</w:t>
            </w:r>
          </w:p>
        </w:tc>
      </w:tr>
      <w:tr>
        <w:trPr>
          <w:cantSplit/>
        </w:trPr>
        <w:tc>
          <w:tcPr>
            <w:tcW w:type="dxa" w:w="29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IT Operations Manager</w:t>
            </w:r>
          </w:p>
        </w:tc>
        <w:tc>
          <w:tcPr>
            <w:tcW w:type="dxa" w:w="684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Configure and maintain the enforcing technical controls</w:t>
            </w:r>
          </w:p>
        </w:tc>
      </w:tr>
    </w:tbl>
    <w:bookmarkEnd w:id="28"/>
    <w:bookmarkStart w:id="40" w:name="X6317eb02ac9f9e5087a52f4b0c871b8e780587d"/>
    <w:p>
      <w:pPr>
        <w:pStyle w:val="Heading2"/>
      </w:pPr>
      <w:r>
        <w:t xml:space="preserve">4. Policy statements</w:t>
      </w:r>
    </w:p>
    <w:bookmarkStart w:id="29" w:name="Xe0120ed7e0b7d74d38082043fe08d5f0aa32800"/>
    <w:p>
      <w:pPr>
        <w:pStyle w:val="Heading3"/>
      </w:pPr>
      <w:r>
        <w:t xml:space="preserve">4.1 General use</w:t>
      </w:r>
    </w:p>
    <w:p>
      <w:pPr>
        <w:pStyle w:val="FirstParagraph"/>
      </w:pPr>
      <w:r>
        <w:t xml:space="preserve">4.1.1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use Cypher Group systems and information primarily for legitimate business purposes.</w:t>
      </w:r>
    </w:p>
    <w:p>
      <w:pPr>
        <w:pStyle w:val="BodyText"/>
      </w:pPr>
      <w:r>
        <w:t xml:space="preserve">4.1.2 Limited, reasonable personal use of email, ChatCo and internet access</w:t>
      </w:r>
      <w:r>
        <w:t xml:space="preserve"> </w:t>
      </w:r>
      <w:r>
        <w:rPr>
          <w:bCs/>
          <w:b/>
        </w:rPr>
        <w:t xml:space="preserve">is permitted</w:t>
      </w:r>
      <w:r>
        <w:t xml:space="preserve">, provided it does not interfere with work, consume significant resources, or breach any statement in this policy.</w:t>
      </w:r>
    </w:p>
    <w:p>
      <w:pPr>
        <w:pStyle w:val="BodyText"/>
      </w:pPr>
      <w:r>
        <w:t xml:space="preserve">4.1.3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assume privacy in any material created, stored or transmitted on Cypher Group systems, including material marked personal.</w:t>
      </w:r>
    </w:p>
    <w:bookmarkEnd w:id="29"/>
    <w:bookmarkStart w:id="30" w:name="Xa8f70842b0aff4782a12cd3c185c311f05ce234"/>
    <w:p>
      <w:pPr>
        <w:pStyle w:val="Heading3"/>
      </w:pPr>
      <w:r>
        <w:t xml:space="preserve">4.2 Prohibited activities</w:t>
      </w:r>
    </w:p>
    <w:p>
      <w:pPr>
        <w:pStyle w:val="FirstParagraph"/>
      </w:pPr>
      <w:r>
        <w:t xml:space="preserve">4.2.1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use Cypher Group systems to access, store, create or transmit material that is unlawful, harassing, discriminatory, defamatory or obscene.</w:t>
      </w:r>
    </w:p>
    <w:p>
      <w:pPr>
        <w:pStyle w:val="BodyText"/>
      </w:pPr>
      <w:r>
        <w:t xml:space="preserve">4.2.2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attempt to gain access to any system, account or data for which they have not been granted authorisation, including by using another person's credentials.</w:t>
      </w:r>
    </w:p>
    <w:p>
      <w:pPr>
        <w:pStyle w:val="BodyText"/>
      </w:pPr>
      <w:r>
        <w:t xml:space="preserve">4.2.3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intentionally circumvent, disable or degrade any security control, including endpoint protection, disk encryption, logging or multi-factor authentication.</w:t>
      </w:r>
    </w:p>
    <w:p>
      <w:pPr>
        <w:pStyle w:val="BodyText"/>
      </w:pPr>
      <w:r>
        <w:t xml:space="preserve">4.2.4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use Cypher Group systems, information or customer relationships to operate a personal business or a competing venture.</w:t>
      </w:r>
    </w:p>
    <w:p>
      <w:pPr>
        <w:pStyle w:val="BodyText"/>
      </w:pPr>
      <w:r>
        <w:t xml:space="preserve">4.2.5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connect any device to the Cypher Group production environment other than a managed device meeting the requirements in section 4.4.</w:t>
      </w:r>
    </w:p>
    <w:bookmarkEnd w:id="30"/>
    <w:bookmarkStart w:id="31" w:name="X76336207f8a0555ced0ea7ca6c8e1b01e9ab250"/>
    <w:p>
      <w:pPr>
        <w:pStyle w:val="Heading3"/>
      </w:pPr>
      <w:r>
        <w:t xml:space="preserve">4.3 Credentials and accounts</w:t>
      </w:r>
    </w:p>
    <w:p>
      <w:pPr>
        <w:pStyle w:val="FirstParagraph"/>
      </w:pPr>
      <w:r>
        <w:t xml:space="preserve">4.3.1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share their account credentials with any other person, including colleagues, contractors and line managers.</w:t>
      </w:r>
    </w:p>
    <w:p>
      <w:pPr>
        <w:pStyle w:val="BodyText"/>
      </w:pPr>
      <w:r>
        <w:t xml:space="preserve">4.3.2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store all work credentials in the Cypher Group-provided password manager and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store credentials in browsers, spreadsheets, notes applications, ChatCo messages or source code.</w:t>
      </w:r>
    </w:p>
    <w:p>
      <w:pPr>
        <w:pStyle w:val="BodyText"/>
      </w:pPr>
      <w:r>
        <w:t xml:space="preserve">4.3.3 Detailed authentication requirements are set out in</w:t>
      </w:r>
      <w:r>
        <w:t xml:space="preserve"> </w:t>
      </w:r>
      <w:r>
        <w:rPr>
          <w:bCs/>
          <w:b/>
        </w:rPr>
        <w:t xml:space="preserve">CGI-POL-002 Password and Multi-Factor Authentication Policy</w:t>
      </w:r>
      <w:r>
        <w:t xml:space="preserve">.</w:t>
      </w:r>
    </w:p>
    <w:bookmarkEnd w:id="31"/>
    <w:bookmarkStart w:id="32" w:name="Xd815dd01b348fdd4b6495cf43cc8c3cdbb75d5c"/>
    <w:p>
      <w:pPr>
        <w:pStyle w:val="Heading3"/>
      </w:pPr>
      <w:r>
        <w:t xml:space="preserve">4.4 Devices, including personally owned devices</w:t>
      </w:r>
    </w:p>
    <w:p>
      <w:pPr>
        <w:pStyle w:val="FirstParagraph"/>
      </w:pPr>
      <w:r>
        <w:t xml:space="preserve">4.4.1 Any device used to access Cypher Group email, ChatCo, documents or code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have full-disk encryption enabled.</w:t>
      </w:r>
    </w:p>
    <w:p>
      <w:pPr>
        <w:pStyle w:val="BodyText"/>
      </w:pPr>
      <w:r>
        <w:t xml:space="preserve">4.4.2 Any such device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lock automatically after no more than 10 minutes of inactivity and require authentication to unlock.</w:t>
      </w:r>
    </w:p>
    <w:p>
      <w:pPr>
        <w:pStyle w:val="BodyText"/>
      </w:pPr>
      <w:r>
        <w:t xml:space="preserve">4.4.3 Operating system and browser security updates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applied within 14 calendar days of release.</w:t>
      </w:r>
    </w:p>
    <w:p>
      <w:pPr>
        <w:pStyle w:val="BodyText"/>
      </w:pPr>
      <w:r>
        <w:t xml:space="preserve">4.4.4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access Cypher Group information from a device that has been jailbroken, rooted or otherwise modified to bypass its manufacturer security controls.</w:t>
      </w:r>
    </w:p>
    <w:p>
      <w:pPr>
        <w:pStyle w:val="BodyText"/>
      </w:pPr>
      <w:r>
        <w:t xml:space="preserve">4.4.5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permit family members or any other individual to use a device while a Cypher Group account is signed in.</w:t>
      </w:r>
    </w:p>
    <w:p>
      <w:pPr>
        <w:pStyle w:val="BodyText"/>
      </w:pPr>
      <w:r>
        <w:t xml:space="preserve">4.4.6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report a lost or stolen device in accordance with</w:t>
      </w:r>
      <w:r>
        <w:t xml:space="preserve"> </w:t>
      </w:r>
      <w:r>
        <w:rPr>
          <w:bCs/>
          <w:b/>
        </w:rPr>
        <w:t xml:space="preserve">CGI-POL-005 Incident Reporting Policy</w:t>
      </w:r>
      <w:r>
        <w:t xml:space="preserve"> </w:t>
      </w:r>
      <w:r>
        <w:t xml:space="preserve">immediately and in any case within one hour of becoming aware.</w:t>
      </w:r>
    </w:p>
    <w:bookmarkEnd w:id="32"/>
    <w:bookmarkStart w:id="33" w:name="Xd2341dc0b44d189c3047bb707acfcf25e36b662"/>
    <w:p>
      <w:pPr>
        <w:pStyle w:val="Heading3"/>
      </w:pPr>
      <w:r>
        <w:t xml:space="preserve">4.5 Use of artificial intelligence tools</w:t>
      </w:r>
    </w:p>
    <w:p>
      <w:pPr>
        <w:pStyle w:val="FirstParagraph"/>
      </w:pPr>
      <w:r>
        <w:t xml:space="preserve">4.5.1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use only AI tools appearing on the Cypher Group approved AI tools list, maintained by the CTO in the internal wiki.</w:t>
      </w:r>
    </w:p>
    <w:p>
      <w:pPr>
        <w:pStyle w:val="BodyText"/>
      </w:pPr>
      <w:r>
        <w:t xml:space="preserve">4.5.2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enter information classified</w:t>
      </w:r>
      <w:r>
        <w:t xml:space="preserve"> </w:t>
      </w:r>
      <w:r>
        <w:rPr>
          <w:bCs/>
          <w:b/>
        </w:rPr>
        <w:t xml:space="preserve">Confidential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t xml:space="preserve">into any AI tool that is not on the approved list. This expressly includes customer account data, customer personal data, payment metadata, credentials, unreleased product plans and proprietary source code.</w:t>
      </w:r>
    </w:p>
    <w:p>
      <w:pPr>
        <w:pStyle w:val="BodyText"/>
      </w:pPr>
      <w:r>
        <w:t xml:space="preserve">4.5.3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treat AI-generated output as unverified. Output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committed to production code, sent to a customer or published without human review by a competent person.</w:t>
      </w:r>
    </w:p>
    <w:p>
      <w:pPr>
        <w:pStyle w:val="BodyText"/>
      </w:pPr>
      <w:r>
        <w:t xml:space="preserve">4.5.4 Requests to add a tool to the approved list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submitted to the CTO, who will assess the vendor's data handling, retention and training practices before approval.</w:t>
      </w:r>
    </w:p>
    <w:bookmarkEnd w:id="33"/>
    <w:bookmarkStart w:id="34" w:name="Xd2377ea53e22ba9d879b7d1e1132ea6b880896b"/>
    <w:p>
      <w:pPr>
        <w:pStyle w:val="Heading3"/>
      </w:pPr>
      <w:r>
        <w:t xml:space="preserve">4.6 Software, services and shadow IT</w:t>
      </w:r>
    </w:p>
    <w:p>
      <w:pPr>
        <w:pStyle w:val="FirstParagraph"/>
      </w:pPr>
      <w:r>
        <w:t xml:space="preserve">4.6.1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procure, sign up for or begin using any third-party service that will store, process or transmit Cypher Group information without prior approval from the CTO.</w:t>
      </w:r>
    </w:p>
    <w:p>
      <w:pPr>
        <w:pStyle w:val="BodyText"/>
      </w:pPr>
      <w:r>
        <w:t xml:space="preserve">4.6.2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install unlicensed software, or software from an untrusted source, on any device used for Cypher Group work.</w:t>
      </w:r>
    </w:p>
    <w:p>
      <w:pPr>
        <w:pStyle w:val="BodyText"/>
      </w:pPr>
      <w:r>
        <w:t xml:space="preserve">4.6.3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report any pre-existing unapproved service in use to the CTO without fear of penalty, so that it can be assessed and either approved or replaced.</w:t>
      </w:r>
    </w:p>
    <w:bookmarkEnd w:id="34"/>
    <w:bookmarkStart w:id="35" w:name="X6fae8ae17bc632d1dce68ebe3c36625f2383094"/>
    <w:p>
      <w:pPr>
        <w:pStyle w:val="Heading3"/>
      </w:pPr>
      <w:r>
        <w:t xml:space="preserve">4.7 Communications conduct</w:t>
      </w:r>
    </w:p>
    <w:p>
      <w:pPr>
        <w:pStyle w:val="FirstParagraph"/>
      </w:pPr>
      <w:r>
        <w:t xml:space="preserve">4.7.1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exercise care when addressing email and ChatCo messages containing Confidential or Restricted information,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verify recipients before sending.</w:t>
      </w:r>
    </w:p>
    <w:p>
      <w:pPr>
        <w:pStyle w:val="BodyText"/>
      </w:pPr>
      <w:r>
        <w:t xml:space="preserve">4.7.2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discuss Cypher Group customers, incidents, unreleased features or internal disputes on public forums, social media or personal messaging applications.</w:t>
      </w:r>
    </w:p>
    <w:p>
      <w:pPr>
        <w:pStyle w:val="BodyText"/>
      </w:pPr>
      <w:r>
        <w:t xml:space="preserve">4.7.3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forward suspected phishing messages to the security reporting channel and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interact with them.</w:t>
      </w:r>
    </w:p>
    <w:bookmarkEnd w:id="35"/>
    <w:bookmarkStart w:id="36" w:name="Xdedfc1ecf0e03935b4d5790af1e44d1ecfa4f93"/>
    <w:p>
      <w:pPr>
        <w:pStyle w:val="Heading3"/>
      </w:pPr>
      <w:r>
        <w:t xml:space="preserve">4.8 Removable media and printing</w:t>
      </w:r>
    </w:p>
    <w:p>
      <w:pPr>
        <w:pStyle w:val="FirstParagraph"/>
      </w:pPr>
      <w:r>
        <w:t xml:space="preserve">4.8.1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copy Confidential or Restricted information onto removable media such as USB drives without prior written approval from the CTO.</w:t>
      </w:r>
    </w:p>
    <w:p>
      <w:pPr>
        <w:pStyle w:val="BodyText"/>
      </w:pPr>
      <w:r>
        <w:t xml:space="preserve">4.8.2 Printed material containing Confidential or Restricted information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left unattended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destroyed by cross-cut shredding when no longer required.</w:t>
      </w:r>
    </w:p>
    <w:bookmarkEnd w:id="36"/>
    <w:bookmarkStart w:id="37" w:name="X92136a2b44534d1d73b2d04cd791ab8d5378c76"/>
    <w:p>
      <w:pPr>
        <w:pStyle w:val="Heading3"/>
      </w:pPr>
      <w:r>
        <w:t xml:space="preserve">4.9 Physical security of devices</w:t>
      </w:r>
    </w:p>
    <w:p>
      <w:pPr>
        <w:pStyle w:val="FirstParagraph"/>
      </w:pPr>
      <w:r>
        <w:t xml:space="preserve">4.9.1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leave devices unattended in public spaces, including cafes, co-working areas and public transport.</w:t>
      </w:r>
    </w:p>
    <w:p>
      <w:pPr>
        <w:pStyle w:val="BodyText"/>
      </w:pPr>
      <w:r>
        <w:t xml:space="preserve">4.9.2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place devices containing Cypher Group information into checked baggage.</w:t>
      </w:r>
    </w:p>
    <w:p>
      <w:pPr>
        <w:pStyle w:val="BodyText"/>
      </w:pPr>
      <w:r>
        <w:t xml:space="preserve">4.9.3 Devices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locked whenever the user steps away from them, including at home.</w:t>
      </w:r>
    </w:p>
    <w:bookmarkEnd w:id="37"/>
    <w:bookmarkStart w:id="38" w:name="Xe854c1dff8d2feca5bd376332ea98d0a2cdc0e9"/>
    <w:p>
      <w:pPr>
        <w:pStyle w:val="Heading3"/>
      </w:pPr>
      <w:r>
        <w:t xml:space="preserve">4.10 Monitoring notice</w:t>
      </w:r>
    </w:p>
    <w:p>
      <w:pPr>
        <w:pStyle w:val="FirstParagraph"/>
      </w:pPr>
      <w:r>
        <w:t xml:space="preserve">4.10.1 Cypher Group</w:t>
      </w:r>
      <w:r>
        <w:t xml:space="preserve"> </w:t>
      </w:r>
      <w:r>
        <w:rPr>
          <w:bCs/>
          <w:b/>
        </w:rPr>
        <w:t xml:space="preserve">monitors</w:t>
      </w:r>
      <w:r>
        <w:t xml:space="preserve"> </w:t>
      </w:r>
      <w:r>
        <w:t xml:space="preserve">the use of its systems for security, availability and compliance purposes. Monitoring includes authentication logs, cloud infrastructure activity logs, endpoint security telemetry, and email and file access metadata.</w:t>
      </w:r>
    </w:p>
    <w:p>
      <w:pPr>
        <w:pStyle w:val="BodyText"/>
      </w:pPr>
      <w:r>
        <w:t xml:space="preserve">4.10.2 Monitoring is limited to what is necessary and proportionate for those purposes. Cypher Group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routinely read the content of personal messages. Content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be accessed where there is a documented security or legal requirement, approved by the CEO.</w:t>
      </w:r>
    </w:p>
    <w:p>
      <w:pPr>
        <w:pStyle w:val="BodyText"/>
      </w:pPr>
      <w:r>
        <w:t xml:space="preserve">4.10.3 By signing this policy, personnel acknowledge that this monitoring occurs.</w:t>
      </w:r>
    </w:p>
    <w:bookmarkEnd w:id="38"/>
    <w:bookmarkStart w:id="39" w:name="X82bdf979d5db70dcedc025d34371b74dbc5d772"/>
    <w:p>
      <w:pPr>
        <w:pStyle w:val="Heading3"/>
      </w:pPr>
      <w:r>
        <w:t xml:space="preserve">4.11 Return of assets</w:t>
      </w:r>
    </w:p>
    <w:p>
      <w:pPr>
        <w:pStyle w:val="FirstParagraph"/>
      </w:pPr>
      <w:r>
        <w:t xml:space="preserve">4.11.1 On termination of employment or engagement,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return all Cypher Group devices, access cards and printed material within five business days.</w:t>
      </w:r>
    </w:p>
    <w:p>
      <w:pPr>
        <w:pStyle w:val="BodyText"/>
      </w:pPr>
      <w:r>
        <w:t xml:space="preserve">4.11.2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retain, copy or transfer any Cypher Group information to a personal account, device or storage service at any time, including in anticipation of departure.</w:t>
      </w:r>
    </w:p>
    <w:bookmarkEnd w:id="39"/>
    <w:bookmarkEnd w:id="40"/>
    <w:bookmarkStart w:id="41" w:name="X1c330be7e7c77b02199c78b2f9522be26b8376a"/>
    <w:p>
      <w:pPr>
        <w:pStyle w:val="Heading2"/>
      </w:pPr>
      <w:r>
        <w:t xml:space="preserve">5. Enforcement</w:t>
      </w:r>
    </w:p>
    <w:p>
      <w:pPr>
        <w:pStyle w:val="FirstParagraph"/>
      </w:pPr>
      <w:r>
        <w:t xml:space="preserve">5.1 Violations of this policy may result in suspension of system access, formal</w:t>
      </w:r>
      <w:r>
        <w:t xml:space="preserve"> </w:t>
      </w:r>
      <w:r>
        <w:t xml:space="preserve">disciplinary action up to and including termination of employment or contract,</w:t>
      </w:r>
      <w:r>
        <w:t xml:space="preserve"> </w:t>
      </w:r>
      <w:r>
        <w:t xml:space="preserve">and, where the conduct is unlawful, referral to law enforcement.</w:t>
      </w:r>
    </w:p>
    <w:p>
      <w:pPr>
        <w:pStyle w:val="BodyText"/>
      </w:pPr>
      <w:r>
        <w:t xml:space="preserve">5.2 Access suspension pending investigation is a protective measure and is not</w:t>
      </w:r>
      <w:r>
        <w:t xml:space="preserve"> </w:t>
      </w:r>
      <w:r>
        <w:t xml:space="preserve">in itself a disciplinary sanction.</w:t>
      </w:r>
    </w:p>
    <w:p>
      <w:pPr>
        <w:pStyle w:val="BodyText"/>
      </w:pPr>
      <w:r>
        <w:t xml:space="preserve">5.3 Personnel who report their own accidental violation promptly and in good</w:t>
      </w:r>
      <w:r>
        <w:t xml:space="preserve"> </w:t>
      </w:r>
      <w:r>
        <w:t xml:space="preserve">faith will be treated as having acted responsibly. Cypher Group prioritises</w:t>
      </w:r>
      <w:r>
        <w:t xml:space="preserve"> </w:t>
      </w:r>
      <w:r>
        <w:t xml:space="preserve">rapid reporting over blame, in line with</w:t>
      </w:r>
      <w:r>
        <w:t xml:space="preserve"> </w:t>
      </w:r>
      <w:r>
        <w:rPr>
          <w:bCs/>
          <w:b/>
        </w:rPr>
        <w:t xml:space="preserve">CGI-POL-005</w:t>
      </w:r>
      <w:r>
        <w:t xml:space="preserve">.</w:t>
      </w:r>
    </w:p>
    <w:p>
      <w:pPr>
        <w:pStyle w:val="BodyText"/>
      </w:pPr>
      <w:r>
        <w:t xml:space="preserve">5.4</w:t>
      </w:r>
      <w:r>
        <w:t xml:space="preserve"> </w:t>
      </w:r>
      <w:r>
        <w:rPr>
          <w:bCs/>
          <w:b/>
        </w:rPr>
        <w:t xml:space="preserve">Exceptions.</w:t>
      </w:r>
      <w:r>
        <w:t xml:space="preserve"> </w:t>
      </w:r>
      <w:r>
        <w:t xml:space="preserve">Any requirement in this policy may be excepted only by</w:t>
      </w:r>
      <w:r>
        <w:t xml:space="preserve"> </w:t>
      </w:r>
      <w:r>
        <w:t xml:space="preserve">written approval of the CTO, recorded in the Cypher Group Exception Register with</w:t>
      </w:r>
      <w:r>
        <w:t xml:space="preserve"> </w:t>
      </w:r>
      <w:r>
        <w:t xml:space="preserve">a business justification, a compensating control, a named accepting owner and an</w:t>
      </w:r>
      <w:r>
        <w:t xml:space="preserve"> </w:t>
      </w:r>
      <w:r>
        <w:t xml:space="preserve">expiry date not exceeding 12 months.</w:t>
      </w:r>
    </w:p>
    <w:bookmarkEnd w:id="41"/>
    <w:bookmarkStart w:id="42" w:name="Xbb5c8674f33998612e55c96c53c483f76f263b2"/>
    <w:p>
      <w:pPr>
        <w:pStyle w:val="Heading2"/>
      </w:pPr>
      <w:r>
        <w:t xml:space="preserve">6. Review cadence</w:t>
      </w:r>
    </w:p>
    <w:p>
      <w:pPr>
        <w:pStyle w:val="FirstParagraph"/>
      </w:pPr>
      <w:r>
        <w:t xml:space="preserve">6.1 This policy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 at least annually by the policy owner, and</w:t>
      </w:r>
      <w:r>
        <w:t xml:space="preserve"> </w:t>
      </w:r>
      <w:r>
        <w:t xml:space="preserve">additionally upon any significant change to Cypher Group's systems, size,</w:t>
      </w:r>
      <w:r>
        <w:t xml:space="preserve"> </w:t>
      </w:r>
      <w:r>
        <w:t xml:space="preserve">customer commitments or regulatory obligations.</w:t>
      </w:r>
    </w:p>
    <w:p>
      <w:pPr>
        <w:pStyle w:val="BodyText"/>
      </w:pPr>
      <w:r>
        <w:t xml:space="preserve">6.2 All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re-acknowledge this policy annually. Sign-off is</w:t>
      </w:r>
      <w:r>
        <w:t xml:space="preserve"> </w:t>
      </w:r>
      <w:r>
        <w:t xml:space="preserve">tracked in the Employee Policy Sign-off and Training Tracker.</w:t>
      </w:r>
    </w:p>
    <w:bookmarkEnd w:id="42"/>
    <w:bookmarkStart w:id="43" w:name="Xd9a4f6588c213860655d05ff54adb43f5dccff9"/>
    <w:p>
      <w:pPr>
        <w:pStyle w:val="Heading2"/>
      </w:pPr>
      <w:r>
        <w:t xml:space="preserve">7. Related documents</w:t>
      </w:r>
    </w:p>
    <w:p>
      <w:pPr>
        <w:numPr>
          <w:ilvl w:val="0"/>
          <w:numId w:val="1002"/>
        </w:numPr>
        <w:pStyle w:val="Compact"/>
      </w:pPr>
      <w:r>
        <w:t xml:space="preserve">CGI-POL-002 Password and Multi-Factor Authentication Policy</w:t>
      </w:r>
    </w:p>
    <w:p>
      <w:pPr>
        <w:numPr>
          <w:ilvl w:val="0"/>
          <w:numId w:val="1002"/>
        </w:numPr>
        <w:pStyle w:val="Compact"/>
      </w:pPr>
      <w:r>
        <w:t xml:space="preserve">CGI-POL-003 Onboarding and Offboarding Access Control Policy</w:t>
      </w:r>
    </w:p>
    <w:p>
      <w:pPr>
        <w:numPr>
          <w:ilvl w:val="0"/>
          <w:numId w:val="1002"/>
        </w:numPr>
        <w:pStyle w:val="Compact"/>
      </w:pPr>
      <w:r>
        <w:t xml:space="preserve">CGI-POL-004 Data Classification Policy</w:t>
      </w:r>
    </w:p>
    <w:p>
      <w:pPr>
        <w:numPr>
          <w:ilvl w:val="0"/>
          <w:numId w:val="1002"/>
        </w:numPr>
        <w:pStyle w:val="Compact"/>
      </w:pPr>
      <w:r>
        <w:t xml:space="preserve">CGI-POL-005 Incident Reporting Policy</w:t>
      </w:r>
    </w:p>
    <w:bookmarkEnd w:id="43"/>
    <w:bookmarkStart w:id="44" w:name="Xbe54651b27a0d7e3db04b1092c3474f47448126"/>
    <w:p>
      <w:pPr>
        <w:pStyle w:val="Heading2"/>
      </w:pPr>
      <w:r>
        <w:t xml:space="preserve">8. Framework mapping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803"/>
        <w:gridCol w:w="3117"/>
        <w:gridCol w:w="2830"/>
      </w:tblGrid>
      <w:tr>
        <w:trPr>
          <w:tblHeader w:val="true"/>
          <w:tblHeader w:val="true"/>
          <w:cantSplit/>
        </w:trPr>
        <w:tc>
          <w:tcPr>
            <w:tcW w:type="dxa" w:w="380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Policy section</w:t>
            </w:r>
          </w:p>
        </w:tc>
        <w:tc>
          <w:tcPr>
            <w:tcW w:type="dxa" w:w="311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ISO/IEC 27001:2022 Annex A</w:t>
            </w:r>
          </w:p>
        </w:tc>
        <w:tc>
          <w:tcPr>
            <w:tcW w:type="dxa" w:w="283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NIST CSF 2.0</w:t>
            </w:r>
          </w:p>
        </w:tc>
      </w:tr>
      <w:tr>
        <w:trPr>
          <w:cantSplit/>
        </w:trPr>
        <w:tc>
          <w:tcPr>
            <w:tcW w:type="dxa" w:w="3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4.1 General use</w:t>
            </w:r>
          </w:p>
        </w:tc>
        <w:tc>
          <w:tcPr>
            <w:tcW w:type="dxa" w:w="31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A.5.10</w:t>
            </w:r>
          </w:p>
        </w:tc>
        <w:tc>
          <w:tcPr>
            <w:tcW w:type="dxa" w:w="28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GV.PO-01</w:t>
            </w:r>
          </w:p>
        </w:tc>
      </w:tr>
      <w:tr>
        <w:trPr>
          <w:cantSplit/>
        </w:trPr>
        <w:tc>
          <w:tcPr>
            <w:tcW w:type="dxa" w:w="38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4.2 Prohibited activities</w:t>
            </w:r>
          </w:p>
        </w:tc>
        <w:tc>
          <w:tcPr>
            <w:tcW w:type="dxa" w:w="31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A.5.10, A.8.1</w:t>
            </w:r>
          </w:p>
        </w:tc>
        <w:tc>
          <w:tcPr>
            <w:tcW w:type="dxa" w:w="28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GV.PO-01, PR.AA-05</w:t>
            </w:r>
          </w:p>
        </w:tc>
      </w:tr>
      <w:tr>
        <w:trPr>
          <w:cantSplit/>
        </w:trPr>
        <w:tc>
          <w:tcPr>
            <w:tcW w:type="dxa" w:w="3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4.3 Credentials</w:t>
            </w:r>
          </w:p>
        </w:tc>
        <w:tc>
          <w:tcPr>
            <w:tcW w:type="dxa" w:w="31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A.5.17</w:t>
            </w:r>
          </w:p>
        </w:tc>
        <w:tc>
          <w:tcPr>
            <w:tcW w:type="dxa" w:w="28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PR.AA-01</w:t>
            </w:r>
          </w:p>
        </w:tc>
      </w:tr>
      <w:tr>
        <w:trPr>
          <w:cantSplit/>
        </w:trPr>
        <w:tc>
          <w:tcPr>
            <w:tcW w:type="dxa" w:w="38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4.4 Devices and BYOD</w:t>
            </w:r>
          </w:p>
        </w:tc>
        <w:tc>
          <w:tcPr>
            <w:tcW w:type="dxa" w:w="31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A.6.7, A.8.1</w:t>
            </w:r>
          </w:p>
        </w:tc>
        <w:tc>
          <w:tcPr>
            <w:tcW w:type="dxa" w:w="28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PR.PS-01, PR.AA-05</w:t>
            </w:r>
          </w:p>
        </w:tc>
      </w:tr>
      <w:tr>
        <w:trPr>
          <w:cantSplit/>
        </w:trPr>
        <w:tc>
          <w:tcPr>
            <w:tcW w:type="dxa" w:w="3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4.5 AI tools</w:t>
            </w:r>
          </w:p>
        </w:tc>
        <w:tc>
          <w:tcPr>
            <w:tcW w:type="dxa" w:w="31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A.5.23, A.8.12</w:t>
            </w:r>
          </w:p>
        </w:tc>
        <w:tc>
          <w:tcPr>
            <w:tcW w:type="dxa" w:w="28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GV.PO-01, PR.DS-01</w:t>
            </w:r>
          </w:p>
        </w:tc>
      </w:tr>
      <w:tr>
        <w:trPr>
          <w:cantSplit/>
        </w:trPr>
        <w:tc>
          <w:tcPr>
            <w:tcW w:type="dxa" w:w="38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4.6 Shadow IT</w:t>
            </w:r>
          </w:p>
        </w:tc>
        <w:tc>
          <w:tcPr>
            <w:tcW w:type="dxa" w:w="31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A.5.23, A.8.19</w:t>
            </w:r>
          </w:p>
        </w:tc>
        <w:tc>
          <w:tcPr>
            <w:tcW w:type="dxa" w:w="28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ID.AM-02, GV.SC-04</w:t>
            </w:r>
          </w:p>
        </w:tc>
      </w:tr>
      <w:tr>
        <w:trPr>
          <w:cantSplit/>
        </w:trPr>
        <w:tc>
          <w:tcPr>
            <w:tcW w:type="dxa" w:w="3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4.7 Communications</w:t>
            </w:r>
          </w:p>
        </w:tc>
        <w:tc>
          <w:tcPr>
            <w:tcW w:type="dxa" w:w="31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A.5.14, A.6.3</w:t>
            </w:r>
          </w:p>
        </w:tc>
        <w:tc>
          <w:tcPr>
            <w:tcW w:type="dxa" w:w="28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PR.AT-01</w:t>
            </w:r>
          </w:p>
        </w:tc>
      </w:tr>
      <w:tr>
        <w:trPr>
          <w:cantSplit/>
        </w:trPr>
        <w:tc>
          <w:tcPr>
            <w:tcW w:type="dxa" w:w="38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4.8 Removable media</w:t>
            </w:r>
          </w:p>
        </w:tc>
        <w:tc>
          <w:tcPr>
            <w:tcW w:type="dxa" w:w="31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A.7.10, A.8.10</w:t>
            </w:r>
          </w:p>
        </w:tc>
        <w:tc>
          <w:tcPr>
            <w:tcW w:type="dxa" w:w="28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PR.DS-01</w:t>
            </w:r>
          </w:p>
        </w:tc>
      </w:tr>
      <w:tr>
        <w:trPr>
          <w:cantSplit/>
        </w:trPr>
        <w:tc>
          <w:tcPr>
            <w:tcW w:type="dxa" w:w="3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4.9 Physical security</w:t>
            </w:r>
          </w:p>
        </w:tc>
        <w:tc>
          <w:tcPr>
            <w:tcW w:type="dxa" w:w="31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A.7.7, A.7.9</w:t>
            </w:r>
          </w:p>
        </w:tc>
        <w:tc>
          <w:tcPr>
            <w:tcW w:type="dxa" w:w="28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PR.AA-06</w:t>
            </w:r>
          </w:p>
        </w:tc>
      </w:tr>
      <w:tr>
        <w:trPr>
          <w:cantSplit/>
        </w:trPr>
        <w:tc>
          <w:tcPr>
            <w:tcW w:type="dxa" w:w="380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4.10 Monitoring notice</w:t>
            </w:r>
          </w:p>
        </w:tc>
        <w:tc>
          <w:tcPr>
            <w:tcW w:type="dxa" w:w="31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A.8.16, A.5.34</w:t>
            </w:r>
          </w:p>
        </w:tc>
        <w:tc>
          <w:tcPr>
            <w:tcW w:type="dxa" w:w="283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DE.CM-03, GV.PO-02</w:t>
            </w:r>
          </w:p>
        </w:tc>
      </w:tr>
      <w:tr>
        <w:trPr>
          <w:cantSplit/>
        </w:trPr>
        <w:tc>
          <w:tcPr>
            <w:tcW w:type="dxa" w:w="380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4.11 Return of assets</w:t>
            </w:r>
          </w:p>
        </w:tc>
        <w:tc>
          <w:tcPr>
            <w:tcW w:type="dxa" w:w="31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A.5.11</w:t>
            </w:r>
          </w:p>
        </w:tc>
        <w:tc>
          <w:tcPr>
            <w:tcW w:type="dxa" w:w="283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</w:t>
            </w:r>
          </w:p>
        </w:tc>
      </w:tr>
    </w:tbl>
    <w:bookmarkEnd w:id="44"/>
    <w:bookmarkStart w:id="45" w:name="X39ed0cd50e70f518350da76a6cab2f2aac5ed6b"/>
    <w:p>
      <w:pPr>
        <w:pStyle w:val="Heading2"/>
      </w:pPr>
      <w:r>
        <w:t xml:space="preserve">9. Definitions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016"/>
        <w:gridCol w:w="7734"/>
      </w:tblGrid>
      <w:tr>
        <w:trPr>
          <w:tblHeader w:val="true"/>
          <w:tblHeader w:val="true"/>
          <w:cantSplit/>
        </w:trPr>
        <w:tc>
          <w:tcPr>
            <w:tcW w:type="dxa" w:w="201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Term</w:t>
            </w:r>
          </w:p>
        </w:tc>
        <w:tc>
          <w:tcPr>
            <w:tcW w:type="dxa" w:w="773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Personnel</w:t>
            </w:r>
          </w:p>
        </w:tc>
        <w:tc>
          <w:tcPr>
            <w:tcW w:type="dxa" w:w="77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Any individual working for or on behalf of Cypher Group, whatever their contract type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Managed device</w:t>
            </w:r>
          </w:p>
        </w:tc>
        <w:tc>
          <w:tcPr>
            <w:tcW w:type="dxa" w:w="773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device configured to Cypher Group standards with encryption, screen lock and endpoint protection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Shadow IT</w:t>
            </w:r>
          </w:p>
        </w:tc>
        <w:tc>
          <w:tcPr>
            <w:tcW w:type="dxa" w:w="77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Any third-party service used for company work that has not been approved</w:t>
            </w:r>
          </w:p>
        </w:tc>
      </w:tr>
      <w:tr>
        <w:trPr>
          <w:cantSplit/>
        </w:trPr>
        <w:tc>
          <w:tcPr>
            <w:tcW w:type="dxa" w:w="201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AI tools list</w:t>
            </w:r>
          </w:p>
        </w:tc>
        <w:tc>
          <w:tcPr>
            <w:tcW w:type="dxa" w:w="773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register of AI services personnel may use, maintained by the CTO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Exception</w:t>
            </w:r>
          </w:p>
        </w:tc>
        <w:tc>
          <w:tcPr>
            <w:tcW w:type="dxa" w:w="773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documented, time-limited, approved deviation from a policy requirement</w:t>
            </w:r>
          </w:p>
        </w:tc>
      </w:tr>
    </w:tbl>
    <w:bookmarkEnd w:id="45"/>
    <w:bookmarkStart w:id="46" w:name="X10248bf840bd33fe3bfdc6b25cd9d1549ae6979"/>
    <w:p>
      <w:pPr>
        <w:pStyle w:val="Heading2"/>
      </w:pPr>
      <w:r>
        <w:t xml:space="preserve">10. Acknowledgement</w:t>
      </w:r>
    </w:p>
    <w:p>
      <w:pPr>
        <w:pStyle w:val="BlockText"/>
      </w:pPr>
      <w:r>
        <w:t xml:space="preserve">I confirm that I have read and understood the Cypher Group Inc. Acceptable Use</w:t>
      </w:r>
      <w:r>
        <w:t xml:space="preserve"> </w:t>
      </w:r>
      <w:r>
        <w:t xml:space="preserve">Policy (CGI-POL-001 v1.0), that I understand my use of company systems is</w:t>
      </w:r>
      <w:r>
        <w:t xml:space="preserve"> </w:t>
      </w:r>
      <w:r>
        <w:t xml:space="preserve">monitored as described in section 4.10, and that I agree to comply with it.</w:t>
      </w:r>
    </w:p>
    <w:p>
      <w:pPr>
        <w:pStyle w:val="BlockText"/>
      </w:pPr>
      <w:r>
        <w:t xml:space="preserve">Name: ________________________ Employee ID: ____________</w:t>
      </w:r>
    </w:p>
    <w:p>
      <w:pPr>
        <w:pStyle w:val="BlockText"/>
      </w:pPr>
      <w:r>
        <w:t xml:space="preserve">Signature: ____________________ Date: 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3" w:name="Xee02f44762b000fd75ea14661c4db91a53a1e3b"/>
    <w:p>
      <w:pPr>
        <w:pStyle w:val="Heading1"/>
        <w:pageBreakBefore/>
      </w:pPr>
      <w:r>
        <w:t xml:space="preserve">CGI-POL-002 — Password and Multi-Factor Authentication Policy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756"/>
        <w:gridCol w:w="5995"/>
      </w:tblGrid>
      <w:tr>
        <w:trPr>
          <w:tblHeader w:val="true"/>
          <w:tblHeader w:val="true"/>
          <w:cantSplit/>
        </w:trPr>
        <w:tc>
          <w:tcPr>
            <w:tcW w:type="dxa" w:w="375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599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ID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CGI-POL-002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Version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Policy owner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Raman, Chief Technology Officer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Olugboye, Chief Executive Officer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Approval date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2026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Effective date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Review cadence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Annually, or upon significant change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Next review due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2027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 sign-off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</w:tr>
    </w:tbl>
    <w:bookmarkStart w:id="48" w:name="version-history-1"/>
    <w:p>
      <w:pPr>
        <w:pStyle w:val="Heading3"/>
      </w:pPr>
      <w:r>
        <w:t xml:space="preserve">Version history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380"/>
        <w:gridCol w:w="1606"/>
        <w:gridCol w:w="1183"/>
        <w:gridCol w:w="4002"/>
        <w:gridCol w:w="1577"/>
      </w:tblGrid>
      <w:tr>
        <w:trPr>
          <w:tblHeader w:val="true"/>
          <w:tblHeader w:val="true"/>
          <w:cantSplit/>
        </w:trPr>
        <w:tc>
          <w:tcPr>
            <w:tcW w:type="dxa" w:w="138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tcW w:type="dxa" w:w="160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type="dxa" w:w="118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type="dxa" w:w="400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Summary of change</w:t>
            </w:r>
          </w:p>
        </w:tc>
        <w:tc>
          <w:tcPr>
            <w:tcW w:type="dxa" w:w="157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38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>
            <w:tcW w:type="dxa" w:w="160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2026-09-01</w:t>
            </w:r>
          </w:p>
        </w:tc>
        <w:tc>
          <w:tcPr>
            <w:tcW w:type="dxa" w:w="118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O.S</w:t>
            </w:r>
          </w:p>
        </w:tc>
        <w:tc>
          <w:tcPr>
            <w:tcW w:type="dxa" w:w="400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Initial issue. Aligned to NIST SP 800-63B-4.</w:t>
            </w:r>
          </w:p>
        </w:tc>
        <w:tc>
          <w:tcPr>
            <w:tcW w:type="dxa" w:w="15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</w:tr>
    </w:tbl>
    <w:bookmarkEnd w:id="48"/>
    <w:bookmarkStart w:id="49" w:name="X32250b50d483597dcbf2767268fe6cbe37a03d8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Stolen and reused passwords are the most common way attackers gain access to a</w:t>
      </w:r>
      <w:r>
        <w:t xml:space="preserve"> </w:t>
      </w:r>
      <w:r>
        <w:t xml:space="preserve">company of Cypher Group's size. This policy sets the authentication standards</w:t>
      </w:r>
      <w:r>
        <w:t xml:space="preserve"> </w:t>
      </w:r>
      <w:r>
        <w:t xml:space="preserve">that make a stolen password insufficient on its own, and defines how credentials</w:t>
      </w:r>
      <w:r>
        <w:t xml:space="preserve"> </w:t>
      </w:r>
      <w:r>
        <w:t xml:space="preserve">must be created, stored and protected.</w:t>
      </w:r>
    </w:p>
    <w:p>
      <w:pPr>
        <w:pStyle w:val="BodyText"/>
      </w:pPr>
      <w:r>
        <w:t xml:space="preserve">The requirements in this policy are aligned to</w:t>
      </w:r>
      <w:r>
        <w:t xml:space="preserve"> </w:t>
      </w:r>
      <w:r>
        <w:rPr>
          <w:bCs/>
          <w:b/>
        </w:rPr>
        <w:t xml:space="preserve">NIST SP 800-63B-4, Digital</w:t>
      </w:r>
      <w:r>
        <w:rPr>
          <w:bCs/>
          <w:b/>
        </w:rPr>
        <w:t xml:space="preserve"> </w:t>
      </w:r>
      <w:r>
        <w:rPr>
          <w:bCs/>
          <w:b/>
        </w:rPr>
        <w:t xml:space="preserve">Identity Guidelines: Authentication and Authenticator Management</w:t>
      </w:r>
      <w:r>
        <w:t xml:space="preserve"> </w:t>
      </w:r>
      <w:r>
        <w:t xml:space="preserve">(the current</w:t>
      </w:r>
      <w:r>
        <w:t xml:space="preserve"> </w:t>
      </w:r>
      <w:r>
        <w:t xml:space="preserve">revision; the earlier SP 800-63B has been withdrawn). Cypher Group has adopted</w:t>
      </w:r>
      <w:r>
        <w:t xml:space="preserve"> </w:t>
      </w:r>
      <w:r>
        <w:t xml:space="preserve">its two most significant modern positions deliberately:</w:t>
      </w:r>
      <w:r>
        <w:t xml:space="preserve"> </w:t>
      </w:r>
      <w:r>
        <w:rPr>
          <w:bCs/>
          <w:b/>
        </w:rPr>
        <w:t xml:space="preserve">length is prioritised</w:t>
      </w:r>
      <w:r>
        <w:rPr>
          <w:bCs/>
          <w:b/>
        </w:rPr>
        <w:t xml:space="preserve"> </w:t>
      </w:r>
      <w:r>
        <w:rPr>
          <w:bCs/>
          <w:b/>
        </w:rPr>
        <w:t xml:space="preserve">over character complexity</w:t>
      </w:r>
      <w:r>
        <w:t xml:space="preserve">, and</w:t>
      </w:r>
      <w:r>
        <w:t xml:space="preserve"> </w:t>
      </w:r>
      <w:r>
        <w:rPr>
          <w:bCs/>
          <w:b/>
        </w:rPr>
        <w:t xml:space="preserve">passwords are not rotated on a routine</w:t>
      </w:r>
      <w:r>
        <w:rPr>
          <w:bCs/>
          <w:b/>
        </w:rPr>
        <w:t xml:space="preserve"> </w:t>
      </w:r>
      <w:r>
        <w:rPr>
          <w:bCs/>
          <w:b/>
        </w:rPr>
        <w:t xml:space="preserve">schedule</w:t>
      </w:r>
      <w:r>
        <w:t xml:space="preserve">, because forced rotation reliably produces weaker, more predictable</w:t>
      </w:r>
      <w:r>
        <w:t xml:space="preserve"> </w:t>
      </w:r>
      <w:r>
        <w:t xml:space="preserve">passwords.</w:t>
      </w:r>
    </w:p>
    <w:bookmarkEnd w:id="49"/>
    <w:bookmarkStart w:id="50" w:name="X1de7ed5a04a819a2aa9133a7415b9ad920055d0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personnel and to all Cypher Group accounts, including</w:t>
      </w:r>
      <w:r>
        <w:t xml:space="preserve"> </w:t>
      </w:r>
      <w:r>
        <w:t xml:space="preserve">OfficeCo, ChatCo, CodeCo, CloudCo, the PaymentsCo dashboard,</w:t>
      </w:r>
      <w:r>
        <w:t xml:space="preserve"> </w:t>
      </w:r>
      <w:r>
        <w:t xml:space="preserve">the production database, and every third-party service holding Cypher Group</w:t>
      </w:r>
      <w:r>
        <w:t xml:space="preserve"> </w:t>
      </w:r>
      <w:r>
        <w:t xml:space="preserve">information classified Internal or above.</w:t>
      </w:r>
    </w:p>
    <w:p>
      <w:pPr>
        <w:pStyle w:val="BodyText"/>
      </w:pPr>
      <w:r>
        <w:t xml:space="preserve">It covers human user accounts, privileged administrative accounts, shared</w:t>
      </w:r>
      <w:r>
        <w:t xml:space="preserve"> </w:t>
      </w:r>
      <w:r>
        <w:t xml:space="preserve">accounts and non-human service accounts and API keys.</w:t>
      </w:r>
    </w:p>
    <w:bookmarkEnd w:id="50"/>
    <w:bookmarkStart w:id="51" w:name="X411ccb28c8f7d5d33cff65958aefd3e748c3780"/>
    <w:p>
      <w:pPr>
        <w:pStyle w:val="Heading2"/>
      </w:pPr>
      <w:r>
        <w:t xml:space="preserve">3. Roles and responsibilities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188"/>
        <w:gridCol w:w="7562"/>
      </w:tblGrid>
      <w:tr>
        <w:trPr>
          <w:tblHeader w:val="true"/>
          <w:tblHeader w:val="true"/>
          <w:cantSplit/>
        </w:trPr>
        <w:tc>
          <w:tcPr>
            <w:tcW w:type="dxa" w:w="218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756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All personnel</w:t>
            </w:r>
          </w:p>
        </w:tc>
        <w:tc>
          <w:tcPr>
            <w:tcW w:type="dxa" w:w="7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Comply with the standards below; enrol in MFA; use the password manager</w:t>
            </w:r>
          </w:p>
        </w:tc>
      </w:tr>
      <w:tr>
        <w:trPr>
          <w:cantSplit/>
        </w:trPr>
        <w:tc>
          <w:tcPr>
            <w:tcW w:type="dxa" w:w="2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IT Operations Manager</w:t>
            </w:r>
          </w:p>
        </w:tc>
        <w:tc>
          <w:tcPr>
            <w:tcW w:type="dxa" w:w="7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Enforce the standards technically; run the quarterly privileged access review; maintain the shared account register</w:t>
            </w:r>
          </w:p>
        </w:tc>
      </w:tr>
      <w:tr>
        <w:trPr>
          <w:cantSplit/>
        </w:trPr>
        <w:tc>
          <w:tcPr>
            <w:tcW w:type="dxa" w:w="2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Technology Officer</w:t>
            </w:r>
          </w:p>
        </w:tc>
        <w:tc>
          <w:tcPr>
            <w:tcW w:type="dxa" w:w="7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 the policy; approve exceptions; hold the sealed break-glass credentials</w:t>
            </w:r>
          </w:p>
        </w:tc>
      </w:tr>
      <w:tr>
        <w:trPr>
          <w:cantSplit/>
        </w:trPr>
        <w:tc>
          <w:tcPr>
            <w:tcW w:type="dxa" w:w="2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People and Operations</w:t>
            </w:r>
          </w:p>
        </w:tc>
        <w:tc>
          <w:tcPr>
            <w:tcW w:type="dxa" w:w="7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Ensure MFA enrolment is verified as part of onboarding</w:t>
            </w:r>
          </w:p>
        </w:tc>
      </w:tr>
    </w:tbl>
    <w:bookmarkEnd w:id="51"/>
    <w:bookmarkStart w:id="58" w:name="X9dbd6bcc26f5dbfa22489f799277d77f5a9b247"/>
    <w:p>
      <w:pPr>
        <w:pStyle w:val="Heading2"/>
      </w:pPr>
      <w:r>
        <w:t xml:space="preserve">4. Policy statements</w:t>
      </w:r>
    </w:p>
    <w:bookmarkStart w:id="52" w:name="Xc08aceb6bdac9ad2b09751ddbac4cc2926ed25b"/>
    <w:p>
      <w:pPr>
        <w:pStyle w:val="Heading3"/>
      </w:pPr>
      <w:r>
        <w:t xml:space="preserve">4.1 Password standards</w:t>
      </w:r>
    </w:p>
    <w:p>
      <w:pPr>
        <w:pStyle w:val="FirstParagraph"/>
      </w:pPr>
      <w:r>
        <w:t xml:space="preserve">4.1.1 Standard user account passwords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 minimum of</w:t>
      </w:r>
      <w:r>
        <w:t xml:space="preserve"> </w:t>
      </w:r>
      <w:r>
        <w:rPr>
          <w:bCs/>
          <w:b/>
        </w:rPr>
        <w:t xml:space="preserve">14 characters</w:t>
      </w:r>
      <w:r>
        <w:t xml:space="preserve">.</w:t>
      </w:r>
    </w:p>
    <w:p>
      <w:pPr>
        <w:pStyle w:val="BodyText"/>
      </w:pPr>
      <w:r>
        <w:t xml:space="preserve">4.1.2 Privileged and administrative account passwords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 minimum of</w:t>
      </w:r>
      <w:r>
        <w:t xml:space="preserve"> </w:t>
      </w:r>
      <w:r>
        <w:rPr>
          <w:bCs/>
          <w:b/>
        </w:rPr>
        <w:t xml:space="preserve">16 characters</w:t>
      </w:r>
      <w:r>
        <w:t xml:space="preserve">.</w:t>
      </w:r>
    </w:p>
    <w:p>
      <w:pPr>
        <w:pStyle w:val="BodyText"/>
      </w:pPr>
      <w:r>
        <w:t xml:space="preserve">4.1.3 Passphrases of four or more unrelated words are</w:t>
      </w:r>
      <w:r>
        <w:t xml:space="preserve"> </w:t>
      </w:r>
      <w:r>
        <w:rPr>
          <w:bCs/>
          <w:b/>
        </w:rPr>
        <w:t xml:space="preserve">recommended</w:t>
      </w:r>
      <w:r>
        <w:t xml:space="preserve"> </w:t>
      </w:r>
      <w:r>
        <w:t xml:space="preserve">as the easiest way to meet the length requirement.</w:t>
      </w:r>
    </w:p>
    <w:p>
      <w:pPr>
        <w:pStyle w:val="BodyText"/>
      </w:pPr>
      <w:r>
        <w:t xml:space="preserve">4.1.4 Cypher Group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impose arbitrary composition rules requiring specific mixes of uppercase, numeric or special characters. Length and uniqueness are the controlling requirements.</w:t>
      </w:r>
    </w:p>
    <w:p>
      <w:pPr>
        <w:pStyle w:val="BodyText"/>
      </w:pPr>
      <w:r>
        <w:t xml:space="preserve">4.1.5 Passwords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reused across any two accounts, and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reused from any personal account.</w:t>
      </w:r>
    </w:p>
    <w:p>
      <w:pPr>
        <w:pStyle w:val="BodyText"/>
      </w:pPr>
      <w:r>
        <w:t xml:space="preserve">4.1.6 Where the platform supports it, candidate passwords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screened against known-breached password lists at the point they are set, and rejected if matched.</w:t>
      </w:r>
    </w:p>
    <w:p>
      <w:pPr>
        <w:pStyle w:val="BodyText"/>
      </w:pPr>
      <w:r>
        <w:t xml:space="preserve">4.1.7 Passwords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subject to routine scheduled expiry. Passwords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changed immediately where there is any indication of compromise, where the account has been shared, or where a person with knowledge of the credential has departed.</w:t>
      </w:r>
    </w:p>
    <w:bookmarkEnd w:id="52"/>
    <w:bookmarkStart w:id="53" w:name="X13ce00a798fa34ae87a1ac30e02eb6b5972c2df"/>
    <w:p>
      <w:pPr>
        <w:pStyle w:val="Heading3"/>
      </w:pPr>
      <w:r>
        <w:t xml:space="preserve">4.2 Password storage</w:t>
      </w:r>
    </w:p>
    <w:p>
      <w:pPr>
        <w:pStyle w:val="FirstParagraph"/>
      </w:pPr>
      <w:r>
        <w:t xml:space="preserve">4.2.1 All work credentials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stored in the Cypher Group-provided password manager.</w:t>
      </w:r>
    </w:p>
    <w:p>
      <w:pPr>
        <w:pStyle w:val="BodyText"/>
      </w:pPr>
      <w:r>
        <w:t xml:space="preserve">4.2.2 Credentials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stored in browser password stores, spreadsheets, documents, notes applications, ChatCo messages, Jira tickets or source code.</w:t>
      </w:r>
    </w:p>
    <w:p>
      <w:pPr>
        <w:pStyle w:val="BodyText"/>
      </w:pPr>
      <w:r>
        <w:t xml:space="preserve">4.2.3 The password manager master password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 minimum of 16 characters,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unique, and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recorded anywhere in electronic form.</w:t>
      </w:r>
    </w:p>
    <w:p>
      <w:pPr>
        <w:pStyle w:val="BodyText"/>
      </w:pPr>
      <w:r>
        <w:t xml:space="preserve">4.2.4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transmit a credential in plain text over any channel. Where a credential must be shared with an authorised person, it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shared through the password manager's secure sharing function.</w:t>
      </w:r>
    </w:p>
    <w:bookmarkEnd w:id="53"/>
    <w:bookmarkStart w:id="54" w:name="X3c5df71bdecf327ceb2499dc2daff3cacf3888f"/>
    <w:p>
      <w:pPr>
        <w:pStyle w:val="Heading3"/>
      </w:pPr>
      <w:r>
        <w:t xml:space="preserve">4.3 Multi-factor authentication</w:t>
      </w:r>
    </w:p>
    <w:p>
      <w:pPr>
        <w:pStyle w:val="FirstParagraph"/>
      </w:pPr>
      <w:r>
        <w:t xml:space="preserve">4.3.1 Multi-factor authentication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enabled on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Cypher Group accounts, without exception, on the following systems as a minimum: OfficeCo, ChatCo, CodeCo, CloudCo, the PaymentsCo dashboard, and the production database administration interface.</w:t>
      </w:r>
    </w:p>
    <w:p>
      <w:pPr>
        <w:pStyle w:val="BodyText"/>
      </w:pPr>
      <w:r>
        <w:t xml:space="preserve">4.3.2 MFA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enrolled within</w:t>
      </w:r>
      <w:r>
        <w:t xml:space="preserve"> </w:t>
      </w:r>
      <w:r>
        <w:rPr>
          <w:bCs/>
          <w:b/>
        </w:rPr>
        <w:t xml:space="preserve">one business day</w:t>
      </w:r>
      <w:r>
        <w:t xml:space="preserve"> </w:t>
      </w:r>
      <w:r>
        <w:t xml:space="preserve">of account creation. Access to Confidential or Restricted information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granted before enrolment is verified.</w:t>
      </w:r>
    </w:p>
    <w:p>
      <w:pPr>
        <w:pStyle w:val="BodyText"/>
      </w:pPr>
      <w:r>
        <w:t xml:space="preserve">4.3.3</w:t>
      </w:r>
      <w:r>
        <w:t xml:space="preserve"> </w:t>
      </w:r>
      <w:r>
        <w:rPr>
          <w:bCs/>
          <w:b/>
        </w:rPr>
        <w:t xml:space="preserve">Privileged and administrative accounts shall use a phishing-resistant factor</w:t>
      </w:r>
      <w:r>
        <w:t xml:space="preserve"> </w:t>
      </w:r>
      <w:r>
        <w:t xml:space="preserve">— a FIDO2 or WebAuthn hardware security key, or a device-bound passkey. Time-based one-time codes are not sufficient for privileged accounts.</w:t>
      </w:r>
    </w:p>
    <w:p>
      <w:pPr>
        <w:pStyle w:val="BodyText"/>
      </w:pPr>
      <w:r>
        <w:t xml:space="preserve">4.3.4 Standard user accounts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use, in order of preference: a device-bound passkey, a hardware security key, or a time-based one-time password generated by an authenticator application.</w:t>
      </w:r>
    </w:p>
    <w:p>
      <w:pPr>
        <w:pStyle w:val="BodyText"/>
      </w:pPr>
      <w:r>
        <w:t xml:space="preserve">4.3.5</w:t>
      </w:r>
      <w:r>
        <w:t xml:space="preserve"> </w:t>
      </w:r>
      <w:r>
        <w:rPr>
          <w:bCs/>
          <w:b/>
        </w:rPr>
        <w:t xml:space="preserve">SMS text message and voice call shall not be used as an MFA factor</w:t>
      </w:r>
      <w:r>
        <w:t xml:space="preserve">, because both are defeated by SIM-swap and interception attacks. Where a third-party service offers no alternative, use of SMS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recorded as a documented exception with an expiry date.</w:t>
      </w:r>
    </w:p>
    <w:p>
      <w:pPr>
        <w:pStyle w:val="BodyText"/>
      </w:pPr>
      <w:r>
        <w:t xml:space="preserve">4.3.6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register at least two MFA factors where the platform permits, so that loss of a single device does not cause lockout.</w:t>
      </w:r>
    </w:p>
    <w:p>
      <w:pPr>
        <w:pStyle w:val="BodyText"/>
      </w:pPr>
      <w:r>
        <w:t xml:space="preserve">4.3.7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approve an MFA prompt they did not initiate. An unexpected prompt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reported under CGI-POL-005 within one hour, as it indicates the password is already compromised.</w:t>
      </w:r>
    </w:p>
    <w:bookmarkEnd w:id="54"/>
    <w:bookmarkStart w:id="55" w:name="Xb74b013b1918801396bd7e30250bceb39195ee0"/>
    <w:p>
      <w:pPr>
        <w:pStyle w:val="Heading3"/>
      </w:pPr>
      <w:r>
        <w:t xml:space="preserve">4.4 Privileged, shared and break-glass accounts</w:t>
      </w:r>
    </w:p>
    <w:p>
      <w:pPr>
        <w:pStyle w:val="FirstParagraph"/>
      </w:pPr>
      <w:r>
        <w:t xml:space="preserve">4.4.1 Personnel requiring administrative rights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issued a</w:t>
      </w:r>
      <w:r>
        <w:t xml:space="preserve"> </w:t>
      </w:r>
      <w:r>
        <w:rPr>
          <w:bCs/>
          <w:b/>
        </w:rPr>
        <w:t xml:space="preserve">separate administrative account</w:t>
      </w:r>
      <w:r>
        <w:t xml:space="preserve">. Administrative accounts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used for email, browsing or day-to-day work.</w:t>
      </w:r>
    </w:p>
    <w:p>
      <w:pPr>
        <w:pStyle w:val="BodyText"/>
      </w:pPr>
      <w:r>
        <w:t xml:space="preserve">4.4.2 Shared accounts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avoided. Where a platform makes a shared account technically unavoidable, it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recorded in the shared account register with a named accountable owner, the credential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held only in the password manager, and the credential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rotated within</w:t>
      </w:r>
      <w:r>
        <w:t xml:space="preserve"> </w:t>
      </w:r>
      <w:r>
        <w:rPr>
          <w:bCs/>
          <w:b/>
        </w:rPr>
        <w:t xml:space="preserve">four hours</w:t>
      </w:r>
      <w:r>
        <w:t xml:space="preserve"> </w:t>
      </w:r>
      <w:r>
        <w:t xml:space="preserve">of any person with access departing or changing role.</w:t>
      </w:r>
    </w:p>
    <w:p>
      <w:pPr>
        <w:pStyle w:val="BodyText"/>
      </w:pPr>
      <w:r>
        <w:t xml:space="preserve">4.4.3 The</w:t>
      </w:r>
      <w:r>
        <w:t xml:space="preserve"> </w:t>
      </w:r>
      <w:r>
        <w:rPr>
          <w:bCs/>
          <w:b/>
        </w:rPr>
        <w:t xml:space="preserve">CloudCo root account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protected by a hardware MFA device,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used for routine administration, and its credentials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sealed and held by the CTO. Any use of the root account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generate an alert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documented.</w:t>
      </w:r>
    </w:p>
    <w:p>
      <w:pPr>
        <w:pStyle w:val="BodyText"/>
      </w:pPr>
      <w:r>
        <w:t xml:space="preserve">4.4.4 Break-glass emergency access credentials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sealed, stored in the password manager under CTO control, alerted on use, and rotated within 24 hours of any use.</w:t>
      </w:r>
    </w:p>
    <w:bookmarkEnd w:id="55"/>
    <w:bookmarkStart w:id="56" w:name="X05111f6b818673f73e30f59d81d072730db9734"/>
    <w:p>
      <w:pPr>
        <w:pStyle w:val="Heading3"/>
      </w:pPr>
      <w:r>
        <w:t xml:space="preserve">4.5 Service accounts, API keys and secrets</w:t>
      </w:r>
    </w:p>
    <w:p>
      <w:pPr>
        <w:pStyle w:val="FirstParagraph"/>
      </w:pPr>
      <w:r>
        <w:t xml:space="preserve">4.5.1 Non-human service account credentials and API keys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rotated at least every</w:t>
      </w:r>
      <w:r>
        <w:t xml:space="preserve"> </w:t>
      </w:r>
      <w:r>
        <w:rPr>
          <w:bCs/>
          <w:b/>
        </w:rPr>
        <w:t xml:space="preserve">180 days</w:t>
      </w:r>
      <w:r>
        <w:t xml:space="preserve">, and immediately on suspected compromise.</w:t>
      </w:r>
    </w:p>
    <w:p>
      <w:pPr>
        <w:pStyle w:val="BodyText"/>
      </w:pPr>
      <w:r>
        <w:t xml:space="preserve">4.5.2 Secrets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committed to any CodeCo repository. CodeCo secret scanning and push protection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remain enabled on all Cypher Group repositories.</w:t>
      </w:r>
    </w:p>
    <w:p>
      <w:pPr>
        <w:pStyle w:val="BodyText"/>
      </w:pPr>
      <w:r>
        <w:t xml:space="preserve">4.5.3 Where a secret is found to have been committed, it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treated as compromised, rotated immediately, and reported under CGI-POL-005 — removing the commit alone is not sufficient remediation.</w:t>
      </w:r>
    </w:p>
    <w:p>
      <w:pPr>
        <w:pStyle w:val="BodyText"/>
      </w:pPr>
      <w:r>
        <w:t xml:space="preserve">4.5.4 Service accounts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granted the minimum permissions required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have a named human owner recorded.</w:t>
      </w:r>
    </w:p>
    <w:bookmarkEnd w:id="56"/>
    <w:bookmarkStart w:id="57" w:name="X8e8afa4968d716c6895aa31ee20d56089a3be9a"/>
    <w:p>
      <w:pPr>
        <w:pStyle w:val="Heading3"/>
      </w:pPr>
      <w:r>
        <w:t xml:space="preserve">4.6 Single sign-on and account lockout</w:t>
      </w:r>
    </w:p>
    <w:p>
      <w:pPr>
        <w:pStyle w:val="FirstParagraph"/>
      </w:pPr>
      <w:r>
        <w:t xml:space="preserve">4.6.1 Where a third-party service supports single sign-on through OfficeCo, Cypher Group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enable it, so that account deprovisioning is centralised.</w:t>
      </w:r>
    </w:p>
    <w:p>
      <w:pPr>
        <w:pStyle w:val="BodyText"/>
      </w:pPr>
      <w:r>
        <w:t xml:space="preserve">4.6.2 Accounts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temporarily locked for 15 minutes after 10 consecutive failed authentication attempts, and the event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logged. Permanent lockout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used, as it enables denial-of-service against legitimate users.</w:t>
      </w:r>
    </w:p>
    <w:bookmarkEnd w:id="57"/>
    <w:bookmarkEnd w:id="58"/>
    <w:bookmarkStart w:id="59" w:name="X4b41a6ea8be9eebaa50ea76e62753c3afa4cbbe"/>
    <w:p>
      <w:pPr>
        <w:pStyle w:val="Heading2"/>
      </w:pPr>
      <w:r>
        <w:t xml:space="preserve">5. Enforcement</w:t>
      </w:r>
    </w:p>
    <w:p>
      <w:pPr>
        <w:pStyle w:val="FirstParagraph"/>
      </w:pPr>
      <w:r>
        <w:t xml:space="preserve">5.1 Accounts not meeting the MFA requirement in section 4.3.1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have</w:t>
      </w:r>
      <w:r>
        <w:t xml:space="preserve"> </w:t>
      </w:r>
      <w:r>
        <w:t xml:space="preserve">access to Confidential and Restricted systems suspended by the IT Operations</w:t>
      </w:r>
      <w:r>
        <w:t xml:space="preserve"> </w:t>
      </w:r>
      <w:r>
        <w:t xml:space="preserve">Manager until the requirement is met.</w:t>
      </w:r>
    </w:p>
    <w:p>
      <w:pPr>
        <w:pStyle w:val="BodyText"/>
      </w:pPr>
      <w:r>
        <w:t xml:space="preserve">5.2 Deliberate circumvention of authentication controls is a serious violation</w:t>
      </w:r>
      <w:r>
        <w:t xml:space="preserve"> </w:t>
      </w:r>
      <w:r>
        <w:t xml:space="preserve">of CGI-POL-001 and may result in disciplinary action up to and including</w:t>
      </w:r>
      <w:r>
        <w:t xml:space="preserve"> </w:t>
      </w:r>
      <w:r>
        <w:t xml:space="preserve">termination.</w:t>
      </w:r>
    </w:p>
    <w:p>
      <w:pPr>
        <w:pStyle w:val="BodyText"/>
      </w:pPr>
      <w:r>
        <w:t xml:space="preserve">5.3 Exceptions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approved in writing by the CTO, recorded in the</w:t>
      </w:r>
      <w:r>
        <w:t xml:space="preserve"> </w:t>
      </w:r>
      <w:r>
        <w:t xml:space="preserve">Exception Register with a compensating control and an expiry date not exceeding</w:t>
      </w:r>
      <w:r>
        <w:t xml:space="preserve"> </w:t>
      </w:r>
      <w:r>
        <w:t xml:space="preserve">six months, and reviewed at expiry.</w:t>
      </w:r>
    </w:p>
    <w:bookmarkEnd w:id="59"/>
    <w:bookmarkStart w:id="60" w:name="X5f2c3c179fdb7a15ea8de1b92c703d1e3c6d210"/>
    <w:p>
      <w:pPr>
        <w:pStyle w:val="Heading2"/>
      </w:pPr>
      <w:r>
        <w:t xml:space="preserve">6. Review cadence</w:t>
      </w:r>
    </w:p>
    <w:p>
      <w:pPr>
        <w:pStyle w:val="FirstParagraph"/>
      </w:pPr>
      <w:r>
        <w:t xml:space="preserve">6.1 This policy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 annually, and additionally following any</w:t>
      </w:r>
      <w:r>
        <w:t xml:space="preserve"> </w:t>
      </w:r>
      <w:r>
        <w:t xml:space="preserve">authentication-related security incident or any material change to the identity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6.2 The IT Operations Manager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produce an</w:t>
      </w:r>
      <w:r>
        <w:t xml:space="preserve"> </w:t>
      </w:r>
      <w:r>
        <w:rPr>
          <w:bCs/>
          <w:b/>
        </w:rPr>
        <w:t xml:space="preserve">MFA coverage report</w:t>
      </w:r>
      <w:r>
        <w:rPr>
          <w:bCs/>
          <w:b/>
        </w:rPr>
        <w:t xml:space="preserve"> </w:t>
      </w:r>
      <w:r>
        <w:rPr>
          <w:bCs/>
          <w:b/>
        </w:rPr>
        <w:t xml:space="preserve">quarterly</w:t>
      </w:r>
      <w:r>
        <w:t xml:space="preserve">, listing every account and its MFA status,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provide it</w:t>
      </w:r>
      <w:r>
        <w:t xml:space="preserve"> </w:t>
      </w:r>
      <w:r>
        <w:t xml:space="preserve">to the CTO. This report is retained as audit evidence.</w:t>
      </w:r>
    </w:p>
    <w:bookmarkEnd w:id="60"/>
    <w:bookmarkStart w:id="61" w:name="Xe50bad873ef02fd7f3babd5994b54d7c9725729"/>
    <w:p>
      <w:pPr>
        <w:pStyle w:val="Heading2"/>
      </w:pPr>
      <w:r>
        <w:t xml:space="preserve">7. Framework mapping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4461"/>
        <w:gridCol w:w="2772"/>
        <w:gridCol w:w="2517"/>
      </w:tblGrid>
      <w:tr>
        <w:trPr>
          <w:tblHeader w:val="true"/>
          <w:tblHeader w:val="true"/>
          <w:cantSplit/>
        </w:trPr>
        <w:tc>
          <w:tcPr>
            <w:tcW w:type="dxa" w:w="446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Policy section</w:t>
            </w:r>
          </w:p>
        </w:tc>
        <w:tc>
          <w:tcPr>
            <w:tcW w:type="dxa" w:w="277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ISO/IEC 27001:2022 Annex A</w:t>
            </w:r>
          </w:p>
        </w:tc>
        <w:tc>
          <w:tcPr>
            <w:tcW w:type="dxa" w:w="251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NIST CSF 2.0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4.1 Password standards</w:t>
            </w:r>
          </w:p>
        </w:tc>
        <w:tc>
          <w:tcPr>
            <w:tcW w:type="dxa" w:w="27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A.5.17</w:t>
            </w:r>
          </w:p>
        </w:tc>
        <w:tc>
          <w:tcPr>
            <w:tcW w:type="dxa" w:w="25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PR.AA-01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4.2 Password storage</w:t>
            </w:r>
          </w:p>
        </w:tc>
        <w:tc>
          <w:tcPr>
            <w:tcW w:type="dxa" w:w="277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A.5.17, A.8.24</w:t>
            </w:r>
          </w:p>
        </w:tc>
        <w:tc>
          <w:tcPr>
            <w:tcW w:type="dxa" w:w="25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PR.AA-01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4.3 Multi-factor authentication</w:t>
            </w:r>
          </w:p>
        </w:tc>
        <w:tc>
          <w:tcPr>
            <w:tcW w:type="dxa" w:w="27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A.8.5</w:t>
            </w:r>
          </w:p>
        </w:tc>
        <w:tc>
          <w:tcPr>
            <w:tcW w:type="dxa" w:w="25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PR.AA-03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4.4 Privileged and shared accounts</w:t>
            </w:r>
          </w:p>
        </w:tc>
        <w:tc>
          <w:tcPr>
            <w:tcW w:type="dxa" w:w="277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A.8.2, A.5.16</w:t>
            </w:r>
          </w:p>
        </w:tc>
        <w:tc>
          <w:tcPr>
            <w:tcW w:type="dxa" w:w="25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</w:t>
            </w:r>
          </w:p>
        </w:tc>
      </w:tr>
      <w:tr>
        <w:trPr>
          <w:cantSplit/>
        </w:trPr>
        <w:tc>
          <w:tcPr>
            <w:tcW w:type="dxa" w:w="44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4.5 Service accounts and secrets</w:t>
            </w:r>
          </w:p>
        </w:tc>
        <w:tc>
          <w:tcPr>
            <w:tcW w:type="dxa" w:w="277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A.5.17, A.8.28</w:t>
            </w:r>
          </w:p>
        </w:tc>
        <w:tc>
          <w:tcPr>
            <w:tcW w:type="dxa" w:w="251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PR.AA-01, PR.PS-06</w:t>
            </w:r>
          </w:p>
        </w:tc>
      </w:tr>
      <w:tr>
        <w:trPr>
          <w:cantSplit/>
        </w:trPr>
        <w:tc>
          <w:tcPr>
            <w:tcW w:type="dxa" w:w="44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4.6 SSO and lockout</w:t>
            </w:r>
          </w:p>
        </w:tc>
        <w:tc>
          <w:tcPr>
            <w:tcW w:type="dxa" w:w="277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A.8.5</w:t>
            </w:r>
          </w:p>
        </w:tc>
        <w:tc>
          <w:tcPr>
            <w:tcW w:type="dxa" w:w="251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PR.AA-03</w:t>
            </w:r>
          </w:p>
        </w:tc>
      </w:tr>
    </w:tbl>
    <w:bookmarkEnd w:id="61"/>
    <w:bookmarkStart w:id="62" w:name="Xa130ebadd31958d8c4516d5d08b6349fd65db7a"/>
    <w:p>
      <w:pPr>
        <w:pStyle w:val="Heading2"/>
      </w:pPr>
      <w:r>
        <w:t xml:space="preserve">8. Definitions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050"/>
        <w:gridCol w:w="7700"/>
      </w:tblGrid>
      <w:tr>
        <w:trPr>
          <w:tblHeader w:val="true"/>
          <w:tblHeader w:val="true"/>
          <w:cantSplit/>
        </w:trPr>
        <w:tc>
          <w:tcPr>
            <w:tcW w:type="dxa" w:w="205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Term</w:t>
            </w:r>
          </w:p>
        </w:tc>
        <w:tc>
          <w:tcPr>
            <w:tcW w:type="dxa" w:w="770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05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MFA</w:t>
            </w:r>
          </w:p>
        </w:tc>
        <w:tc>
          <w:tcPr>
            <w:tcW w:type="dxa" w:w="77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Multi-Factor Authentication: proving identity with two or more different types of evidence</w:t>
            </w:r>
          </w:p>
        </w:tc>
      </w:tr>
      <w:tr>
        <w:trPr>
          <w:cantSplit/>
        </w:trPr>
        <w:tc>
          <w:tcPr>
            <w:tcW w:type="dxa" w:w="205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Phishing-resistant factor</w:t>
            </w:r>
          </w:p>
        </w:tc>
        <w:tc>
          <w:tcPr>
            <w:tcW w:type="dxa" w:w="770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authenticator cryptographically bound to the legitimate site, such as FIDO2, WebAuthn or a passkey, which cannot be relayed to a fake login page</w:t>
            </w:r>
          </w:p>
        </w:tc>
      </w:tr>
      <w:tr>
        <w:trPr>
          <w:cantSplit/>
        </w:trPr>
        <w:tc>
          <w:tcPr>
            <w:tcW w:type="dxa" w:w="205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TOTP</w:t>
            </w:r>
          </w:p>
        </w:tc>
        <w:tc>
          <w:tcPr>
            <w:tcW w:type="dxa" w:w="77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Time-based One-Time Password: the rotating six-digit code produced by an authenticator app</w:t>
            </w:r>
          </w:p>
        </w:tc>
      </w:tr>
      <w:tr>
        <w:trPr>
          <w:cantSplit/>
        </w:trPr>
        <w:tc>
          <w:tcPr>
            <w:tcW w:type="dxa" w:w="205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Privileged account</w:t>
            </w:r>
          </w:p>
        </w:tc>
        <w:tc>
          <w:tcPr>
            <w:tcW w:type="dxa" w:w="770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account able to change security settings, access all data, or administer infrastructure</w:t>
            </w:r>
          </w:p>
        </w:tc>
      </w:tr>
      <w:tr>
        <w:trPr>
          <w:cantSplit/>
        </w:trPr>
        <w:tc>
          <w:tcPr>
            <w:tcW w:type="dxa" w:w="205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Break-glass account</w:t>
            </w:r>
          </w:p>
        </w:tc>
        <w:tc>
          <w:tcPr>
            <w:tcW w:type="dxa" w:w="77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emergency account used only when normal access paths fail</w:t>
            </w:r>
          </w:p>
        </w:tc>
      </w:tr>
      <w:tr>
        <w:trPr>
          <w:cantSplit/>
        </w:trPr>
        <w:tc>
          <w:tcPr>
            <w:tcW w:type="dxa" w:w="205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Service account</w:t>
            </w:r>
          </w:p>
        </w:tc>
        <w:tc>
          <w:tcPr>
            <w:tcW w:type="dxa" w:w="770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non-human account used by software to authenticate to another system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80" w:name="X9ab736aa8754e0d1a78bd81560a234485d48249"/>
    <w:p>
      <w:pPr>
        <w:pStyle w:val="Heading1"/>
        <w:pageBreakBefore/>
      </w:pPr>
      <w:r>
        <w:t xml:space="preserve">CGI-POL-003 — Onboarding and Offboarding Access Control Policy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562"/>
        <w:gridCol w:w="7189"/>
      </w:tblGrid>
      <w:tr>
        <w:trPr>
          <w:tblHeader w:val="true"/>
          <w:tblHeader w:val="true"/>
          <w:cantSplit/>
        </w:trPr>
        <w:tc>
          <w:tcPr>
            <w:tcW w:type="dxa" w:w="256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718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ID</w:t>
            </w:r>
          </w:p>
        </w:tc>
        <w:tc>
          <w:tcPr>
            <w:tcW w:type="dxa" w:w="7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CGI-POL-003</w:t>
            </w:r>
          </w:p>
        </w:tc>
      </w:tr>
      <w:tr>
        <w:trPr>
          <w:cantSplit/>
        </w:trPr>
        <w:tc>
          <w:tcPr>
            <w:tcW w:type="dxa" w:w="2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Version</w:t>
            </w:r>
          </w:p>
        </w:tc>
        <w:tc>
          <w:tcPr>
            <w:tcW w:type="dxa" w:w="7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</w:t>
            </w:r>
          </w:p>
        </w:tc>
        <w:tc>
          <w:tcPr>
            <w:tcW w:type="dxa" w:w="7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2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Policy owner</w:t>
            </w:r>
          </w:p>
        </w:tc>
        <w:tc>
          <w:tcPr>
            <w:tcW w:type="dxa" w:w="7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Raman, Chief Technology Officer</w:t>
            </w:r>
          </w:p>
        </w:tc>
      </w:tr>
      <w:tr>
        <w:trPr>
          <w:cantSplit/>
        </w:trPr>
        <w:tc>
          <w:tcPr>
            <w:tcW w:type="dxa" w:w="2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7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Olugboye, Chief Executive Officer</w:t>
            </w:r>
          </w:p>
        </w:tc>
      </w:tr>
      <w:tr>
        <w:trPr>
          <w:cantSplit/>
        </w:trPr>
        <w:tc>
          <w:tcPr>
            <w:tcW w:type="dxa" w:w="2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Approval date</w:t>
            </w:r>
          </w:p>
        </w:tc>
        <w:tc>
          <w:tcPr>
            <w:tcW w:type="dxa" w:w="7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2026</w:t>
            </w:r>
          </w:p>
        </w:tc>
      </w:tr>
      <w:tr>
        <w:trPr>
          <w:cantSplit/>
        </w:trPr>
        <w:tc>
          <w:tcPr>
            <w:tcW w:type="dxa" w:w="2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Effective date</w:t>
            </w:r>
          </w:p>
        </w:tc>
        <w:tc>
          <w:tcPr>
            <w:tcW w:type="dxa" w:w="7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2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Review cadence</w:t>
            </w:r>
          </w:p>
        </w:tc>
        <w:tc>
          <w:tcPr>
            <w:tcW w:type="dxa" w:w="7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Annually, or upon significant change</w:t>
            </w:r>
          </w:p>
        </w:tc>
      </w:tr>
      <w:tr>
        <w:trPr>
          <w:cantSplit/>
        </w:trPr>
        <w:tc>
          <w:tcPr>
            <w:tcW w:type="dxa" w:w="256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Next review due</w:t>
            </w:r>
          </w:p>
        </w:tc>
        <w:tc>
          <w:tcPr>
            <w:tcW w:type="dxa" w:w="718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2027</w:t>
            </w:r>
          </w:p>
        </w:tc>
      </w:tr>
      <w:tr>
        <w:trPr>
          <w:cantSplit/>
        </w:trPr>
        <w:tc>
          <w:tcPr>
            <w:tcW w:type="dxa" w:w="256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 sign-off</w:t>
            </w:r>
          </w:p>
        </w:tc>
        <w:tc>
          <w:tcPr>
            <w:tcW w:type="dxa" w:w="718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Not required for all staff; required acknowledgement by all line managers</w:t>
            </w:r>
          </w:p>
        </w:tc>
      </w:tr>
    </w:tbl>
    <w:bookmarkStart w:id="64" w:name="version-history-2"/>
    <w:p>
      <w:pPr>
        <w:pStyle w:val="Heading3"/>
      </w:pPr>
      <w:r>
        <w:t xml:space="preserve">Version history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888"/>
        <w:gridCol w:w="2198"/>
        <w:gridCol w:w="1618"/>
        <w:gridCol w:w="1888"/>
        <w:gridCol w:w="2158"/>
      </w:tblGrid>
      <w:tr>
        <w:trPr>
          <w:tblHeader w:val="true"/>
          <w:tblHeader w:val="true"/>
          <w:cantSplit/>
        </w:trPr>
        <w:tc>
          <w:tcPr>
            <w:tcW w:type="dxa" w:w="188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tcW w:type="dxa" w:w="219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type="dxa" w:w="161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type="dxa" w:w="188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Summary of change</w:t>
            </w:r>
          </w:p>
        </w:tc>
        <w:tc>
          <w:tcPr>
            <w:tcW w:type="dxa" w:w="215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8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>
            <w:tcW w:type="dxa" w:w="219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2026-09-01</w:t>
            </w:r>
          </w:p>
        </w:tc>
        <w:tc>
          <w:tcPr>
            <w:tcW w:type="dxa" w:w="16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O.S</w:t>
            </w:r>
          </w:p>
        </w:tc>
        <w:tc>
          <w:tcPr>
            <w:tcW w:type="dxa" w:w="18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Initial issue</w:t>
            </w:r>
          </w:p>
        </w:tc>
        <w:tc>
          <w:tcPr>
            <w:tcW w:type="dxa" w:w="215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</w:tr>
    </w:tbl>
    <w:bookmarkEnd w:id="64"/>
    <w:bookmarkStart w:id="65" w:name="X37152b7bfe5484e4b1a9cee8bd32b9961f03332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governs the full lifecycle of a person's access to Cypher Group</w:t>
      </w:r>
      <w:r>
        <w:t xml:space="preserve"> </w:t>
      </w:r>
      <w:r>
        <w:t xml:space="preserve">systems: how it is granted when they join, changed when their role changes, and</w:t>
      </w:r>
      <w:r>
        <w:t xml:space="preserve"> </w:t>
      </w:r>
      <w:r>
        <w:t xml:space="preserve">removed when they leave. Its central objective is that</w:t>
      </w:r>
      <w:r>
        <w:t xml:space="preserve"> </w:t>
      </w:r>
      <w:r>
        <w:rPr>
          <w:bCs/>
          <w:b/>
        </w:rPr>
        <w:t xml:space="preserve">no individual retains</w:t>
      </w:r>
      <w:r>
        <w:rPr>
          <w:bCs/>
          <w:b/>
        </w:rPr>
        <w:t xml:space="preserve"> </w:t>
      </w:r>
      <w:r>
        <w:rPr>
          <w:bCs/>
          <w:b/>
        </w:rPr>
        <w:t xml:space="preserve">access they no longer need</w:t>
      </w:r>
      <w:r>
        <w:t xml:space="preserve">, and that departures never leave live accounts</w:t>
      </w:r>
      <w:r>
        <w:t xml:space="preserve"> </w:t>
      </w:r>
      <w:r>
        <w:t xml:space="preserve">behind.</w:t>
      </w:r>
    </w:p>
    <w:p>
      <w:pPr>
        <w:pStyle w:val="BodyText"/>
      </w:pPr>
      <w:r>
        <w:t xml:space="preserve">The lifecycle is referred to throughout as</w:t>
      </w:r>
      <w:r>
        <w:t xml:space="preserve"> </w:t>
      </w:r>
      <w:r>
        <w:rPr>
          <w:bCs/>
          <w:b/>
        </w:rPr>
        <w:t xml:space="preserve">JML — Joiner, Mover, Leaver</w:t>
      </w:r>
      <w:r>
        <w:t xml:space="preserve">.</w:t>
      </w:r>
    </w:p>
    <w:bookmarkEnd w:id="65"/>
    <w:bookmarkStart w:id="66" w:name="Xd90c1aa3a6820b89238dcbe6eb48efcfed3d362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personnel and to all Cypher Group systems and data,</w:t>
      </w:r>
      <w:r>
        <w:t xml:space="preserve"> </w:t>
      </w:r>
      <w:r>
        <w:t xml:space="preserve">including OfficeCo, ChatCo, CodeCo, CloudCo, the PaymentsCo</w:t>
      </w:r>
      <w:r>
        <w:t xml:space="preserve"> </w:t>
      </w:r>
      <w:r>
        <w:t xml:space="preserve">dashboard, the production database, the customer support platform and all</w:t>
      </w:r>
      <w:r>
        <w:t xml:space="preserve"> </w:t>
      </w:r>
      <w:r>
        <w:t xml:space="preserve">approved third-party services.</w:t>
      </w:r>
    </w:p>
    <w:p>
      <w:pPr>
        <w:pStyle w:val="BodyText"/>
      </w:pPr>
      <w:r>
        <w:t xml:space="preserve">It applies equally to employees, contractors, interns and any third party granted</w:t>
      </w:r>
      <w:r>
        <w:t xml:space="preserve"> </w:t>
      </w:r>
      <w:r>
        <w:t xml:space="preserve">access to Cypher Group systems.</w:t>
      </w:r>
    </w:p>
    <w:bookmarkEnd w:id="66"/>
    <w:bookmarkStart w:id="67" w:name="X6732fd851c7dfe6e605b4b8009ed7f81da8e6a2"/>
    <w:p>
      <w:pPr>
        <w:pStyle w:val="Heading2"/>
      </w:pPr>
      <w:r>
        <w:t xml:space="preserve">3. Roles and responsibilities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684"/>
        <w:gridCol w:w="7066"/>
      </w:tblGrid>
      <w:tr>
        <w:trPr>
          <w:tblHeader w:val="true"/>
          <w:tblHeader w:val="true"/>
          <w:cantSplit/>
        </w:trPr>
        <w:tc>
          <w:tcPr>
            <w:tcW w:type="dxa" w:w="268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706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6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People and Operations</w:t>
            </w:r>
          </w:p>
        </w:tc>
        <w:tc>
          <w:tcPr>
            <w:tcW w:type="dxa" w:w="70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Notify IT of every joiner, mover and leaver; own the JML trigger process</w:t>
            </w:r>
          </w:p>
        </w:tc>
      </w:tr>
      <w:tr>
        <w:trPr>
          <w:cantSplit/>
        </w:trPr>
        <w:tc>
          <w:tcPr>
            <w:tcW w:type="dxa" w:w="26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Line manager</w:t>
            </w:r>
          </w:p>
        </w:tc>
        <w:tc>
          <w:tcPr>
            <w:tcW w:type="dxa" w:w="706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Raise and approve the access request; specify the role profile; confirm leaver timing</w:t>
            </w:r>
          </w:p>
        </w:tc>
      </w:tr>
      <w:tr>
        <w:trPr>
          <w:cantSplit/>
        </w:trPr>
        <w:tc>
          <w:tcPr>
            <w:tcW w:type="dxa" w:w="26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IT Operations Manager</w:t>
            </w:r>
          </w:p>
        </w:tc>
        <w:tc>
          <w:tcPr>
            <w:tcW w:type="dxa" w:w="70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Provision, modify and revoke access; maintain the access register; run access reviews</w:t>
            </w:r>
          </w:p>
        </w:tc>
      </w:tr>
      <w:tr>
        <w:trPr>
          <w:cantSplit/>
        </w:trPr>
        <w:tc>
          <w:tcPr>
            <w:tcW w:type="dxa" w:w="26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Technology Officer</w:t>
            </w:r>
          </w:p>
        </w:tc>
        <w:tc>
          <w:tcPr>
            <w:tcW w:type="dxa" w:w="706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 privileged access and all exceptions; own this policy</w:t>
            </w:r>
          </w:p>
        </w:tc>
      </w:tr>
      <w:tr>
        <w:trPr>
          <w:cantSplit/>
        </w:trPr>
        <w:tc>
          <w:tcPr>
            <w:tcW w:type="dxa" w:w="26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System owner</w:t>
            </w:r>
          </w:p>
        </w:tc>
        <w:tc>
          <w:tcPr>
            <w:tcW w:type="dxa" w:w="706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 access to the system they own where it holds Restricted data</w:t>
            </w:r>
          </w:p>
        </w:tc>
      </w:tr>
      <w:tr>
        <w:trPr>
          <w:cantSplit/>
        </w:trPr>
        <w:tc>
          <w:tcPr>
            <w:tcW w:type="dxa" w:w="26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All personnel</w:t>
            </w:r>
          </w:p>
        </w:tc>
        <w:tc>
          <w:tcPr>
            <w:tcW w:type="dxa" w:w="706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Request access through the defined process only; never share access</w:t>
            </w:r>
          </w:p>
        </w:tc>
      </w:tr>
    </w:tbl>
    <w:bookmarkEnd w:id="67"/>
    <w:bookmarkStart w:id="75" w:name="Xc34a3612a5c51c8704354a83f98a2903f334ae5"/>
    <w:p>
      <w:pPr>
        <w:pStyle w:val="Heading2"/>
      </w:pPr>
      <w:r>
        <w:t xml:space="preserve">4. Policy statements</w:t>
      </w:r>
    </w:p>
    <w:bookmarkStart w:id="68" w:name="X5ff4547e391a6fca8ca120ea75d476398f73c26"/>
    <w:p>
      <w:pPr>
        <w:pStyle w:val="Heading3"/>
      </w:pPr>
      <w:r>
        <w:t xml:space="preserve">4.1 Governing principles</w:t>
      </w:r>
    </w:p>
    <w:p>
      <w:pPr>
        <w:pStyle w:val="FirstParagraph"/>
      </w:pPr>
      <w:r>
        <w:t xml:space="preserve">4.1.1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granted on the principle of</w:t>
      </w:r>
      <w:r>
        <w:t xml:space="preserve"> </w:t>
      </w:r>
      <w:r>
        <w:rPr>
          <w:bCs/>
          <w:b/>
        </w:rPr>
        <w:t xml:space="preserve">least privilege</w:t>
      </w:r>
      <w:r>
        <w:t xml:space="preserve">: the minimum access required to perform the role, and no more.</w:t>
      </w:r>
    </w:p>
    <w:p>
      <w:pPr>
        <w:pStyle w:val="BodyText"/>
      </w:pPr>
      <w:r>
        <w:t xml:space="preserve">4.1.2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granted on the principle of</w:t>
      </w:r>
      <w:r>
        <w:t xml:space="preserve"> </w:t>
      </w:r>
      <w:r>
        <w:rPr>
          <w:bCs/>
          <w:b/>
        </w:rPr>
        <w:t xml:space="preserve">need to know</w:t>
      </w:r>
      <w:r>
        <w:t xml:space="preserve">: possession of a general access level does not entitle an individual to data unrelated to their duties.</w:t>
      </w:r>
    </w:p>
    <w:p>
      <w:pPr>
        <w:pStyle w:val="BodyText"/>
      </w:pPr>
      <w:r>
        <w:t xml:space="preserve">4.1.3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granted</w:t>
      </w:r>
      <w:r>
        <w:t xml:space="preserve"> </w:t>
      </w:r>
      <w:r>
        <w:rPr>
          <w:bCs/>
          <w:b/>
        </w:rPr>
        <w:t xml:space="preserve">by role, not by individual request</w:t>
      </w:r>
      <w:r>
        <w:t xml:space="preserve">, using the standard role profiles defined in section 4.2. Deviations from a role profile require CTO approval.</w:t>
      </w:r>
    </w:p>
    <w:p>
      <w:pPr>
        <w:pStyle w:val="BodyText"/>
      </w:pPr>
      <w:r>
        <w:t xml:space="preserve">4.1.4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time-bounded wherever the need is time-bounded. Access granted for a project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carry an expiry date.</w:t>
      </w:r>
    </w:p>
    <w:p>
      <w:pPr>
        <w:pStyle w:val="BodyText"/>
      </w:pPr>
      <w:r>
        <w:t xml:space="preserve">4.1.5 All access grants, changes and revocations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recorded in a ticket. An access change with no ticket is a policy violation, because it destroys the audit trail.</w:t>
      </w:r>
    </w:p>
    <w:bookmarkEnd w:id="68"/>
    <w:bookmarkStart w:id="69" w:name="X9918e8240a82557d9ab8bb2834f9319bd6151ff"/>
    <w:p>
      <w:pPr>
        <w:pStyle w:val="Heading3"/>
      </w:pPr>
      <w:r>
        <w:t xml:space="preserve">4.2 Standard role profiles</w:t>
      </w:r>
    </w:p>
    <w:p>
      <w:pPr>
        <w:pStyle w:val="FirstParagraph"/>
      </w:pPr>
      <w:r>
        <w:t xml:space="preserve">4.2.1 Cypher Group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maintain a documented set of role profiles defining the default access bundle for each function.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489"/>
        <w:gridCol w:w="4943"/>
        <w:gridCol w:w="3317"/>
      </w:tblGrid>
      <w:tr>
        <w:trPr>
          <w:tblHeader w:val="true"/>
          <w:tblHeader w:val="true"/>
          <w:cantSplit/>
        </w:trPr>
        <w:tc>
          <w:tcPr>
            <w:tcW w:type="dxa" w:w="149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 profile</w:t>
            </w:r>
          </w:p>
        </w:tc>
        <w:tc>
          <w:tcPr>
            <w:tcW w:type="dxa" w:w="494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Default access granted</w:t>
            </w:r>
          </w:p>
        </w:tc>
        <w:tc>
          <w:tcPr>
            <w:tcW w:type="dxa" w:w="331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Access explicitly excluded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Engineering</w:t>
            </w:r>
          </w:p>
        </w:tc>
        <w:tc>
          <w:tcPr>
            <w:tcW w:type="dxa" w:w="49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OfficeCo, ChatCo, CodeCo (write, non-admin), CloudCo non-production, ticketing</w:t>
            </w:r>
          </w:p>
        </w:tc>
        <w:tc>
          <w:tcPr>
            <w:tcW w:type="dxa" w:w="33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CloudCo production, PaymentsCo, production database, billing</w:t>
            </w:r>
          </w:p>
        </w:tc>
      </w:tr>
      <w:tr>
        <w:trPr>
          <w:cantSplit/>
        </w:trPr>
        <w:tc>
          <w:tcPr>
            <w:tcW w:type="dxa" w:w="149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Engineering (on-call)</w:t>
            </w:r>
          </w:p>
        </w:tc>
        <w:tc>
          <w:tcPr>
            <w:tcW w:type="dxa" w:w="494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Engineering profile plus CloudCo production (time-bounded), production database read</w:t>
            </w:r>
          </w:p>
        </w:tc>
        <w:tc>
          <w:tcPr>
            <w:tcW w:type="dxa" w:w="331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PaymentsCo, billing, HR records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Customer Success</w:t>
            </w:r>
          </w:p>
        </w:tc>
        <w:tc>
          <w:tcPr>
            <w:tcW w:type="dxa" w:w="49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OfficeCo, ChatCo, support platform, customer account read</w:t>
            </w:r>
          </w:p>
        </w:tc>
        <w:tc>
          <w:tcPr>
            <w:tcW w:type="dxa" w:w="33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Source code, CloudCo, PaymentsCo, HR records</w:t>
            </w:r>
          </w:p>
        </w:tc>
      </w:tr>
      <w:tr>
        <w:trPr>
          <w:cantSplit/>
        </w:trPr>
        <w:tc>
          <w:tcPr>
            <w:tcW w:type="dxa" w:w="149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Sales</w:t>
            </w:r>
          </w:p>
        </w:tc>
        <w:tc>
          <w:tcPr>
            <w:tcW w:type="dxa" w:w="494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OfficeCo, ChatCo, CRM, customer account read</w:t>
            </w:r>
          </w:p>
        </w:tc>
        <w:tc>
          <w:tcPr>
            <w:tcW w:type="dxa" w:w="331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Source code, CloudCo, PaymentsCo, production database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Finance</w:t>
            </w:r>
          </w:p>
        </w:tc>
        <w:tc>
          <w:tcPr>
            <w:tcW w:type="dxa" w:w="49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OfficeCo, ChatCo, PaymentsCo dashboard, accounting platform</w:t>
            </w:r>
          </w:p>
        </w:tc>
        <w:tc>
          <w:tcPr>
            <w:tcW w:type="dxa" w:w="33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Source code, CloudCo, production database, HR records</w:t>
            </w:r>
          </w:p>
        </w:tc>
      </w:tr>
      <w:tr>
        <w:trPr>
          <w:cantSplit/>
        </w:trPr>
        <w:tc>
          <w:tcPr>
            <w:tcW w:type="dxa" w:w="149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People and Operations</w:t>
            </w:r>
          </w:p>
        </w:tc>
        <w:tc>
          <w:tcPr>
            <w:tcW w:type="dxa" w:w="494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OfficeCo, ChatCo, HR platform, payroll</w:t>
            </w:r>
          </w:p>
        </w:tc>
        <w:tc>
          <w:tcPr>
            <w:tcW w:type="dxa" w:w="331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Source code, CloudCo, PaymentsCo, customer data</w:t>
            </w:r>
          </w:p>
        </w:tc>
      </w:tr>
      <w:tr>
        <w:trPr>
          <w:cantSplit/>
        </w:trPr>
        <w:tc>
          <w:tcPr>
            <w:tcW w:type="dxa" w:w="14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Administrator</w:t>
            </w:r>
          </w:p>
        </w:tc>
        <w:tc>
          <w:tcPr>
            <w:tcW w:type="dxa" w:w="49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Named separate admin account with elevated rights on a specific system</w:t>
            </w:r>
          </w:p>
        </w:tc>
        <w:tc>
          <w:tcPr>
            <w:tcW w:type="dxa" w:w="331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Use for day-to-day work</w:t>
            </w:r>
          </w:p>
        </w:tc>
      </w:tr>
    </w:tbl>
    <w:p>
      <w:pPr>
        <w:pStyle w:val="BodyText"/>
      </w:pPr>
      <w:r>
        <w:t xml:space="preserve">4.2.2 Role profiles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 at least annually by the CTO and the relevant department head.</w:t>
      </w:r>
    </w:p>
    <w:bookmarkEnd w:id="69"/>
    <w:bookmarkStart w:id="70" w:name="X9589a6bdf16dc8a7e72d5ff8efd12564a9363d5"/>
    <w:p>
      <w:pPr>
        <w:pStyle w:val="Heading3"/>
      </w:pPr>
      <w:r>
        <w:t xml:space="preserve">4.3 Joiner — onboarding</w:t>
      </w:r>
    </w:p>
    <w:p>
      <w:pPr>
        <w:pStyle w:val="FirstParagraph"/>
      </w:pPr>
      <w:r>
        <w:t xml:space="preserve">4.3.1 The Head of People and Operations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notify the IT Operations Manager of a confirmed start date</w:t>
      </w:r>
      <w:r>
        <w:t xml:space="preserve"> </w:t>
      </w:r>
      <w:r>
        <w:rPr>
          <w:bCs/>
          <w:b/>
        </w:rPr>
        <w:t xml:space="preserve">no later than five business days</w:t>
      </w:r>
      <w:r>
        <w:t xml:space="preserve"> </w:t>
      </w:r>
      <w:r>
        <w:t xml:space="preserve">before the start date.</w:t>
      </w:r>
    </w:p>
    <w:p>
      <w:pPr>
        <w:pStyle w:val="BodyText"/>
      </w:pPr>
      <w:r>
        <w:t xml:space="preserve">4.3.2 The line manager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raise an access request ticket specifying the role profile and any documented deviation,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approve it.</w:t>
      </w:r>
    </w:p>
    <w:p>
      <w:pPr>
        <w:pStyle w:val="BodyText"/>
      </w:pPr>
      <w:r>
        <w:t xml:space="preserve">4.3.3 Accounts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created more than</w:t>
      </w:r>
      <w:r>
        <w:t xml:space="preserve"> </w:t>
      </w:r>
      <w:r>
        <w:rPr>
          <w:bCs/>
          <w:b/>
        </w:rPr>
        <w:t xml:space="preserve">two business days</w:t>
      </w:r>
      <w:r>
        <w:t xml:space="preserve"> </w:t>
      </w:r>
      <w:r>
        <w:t xml:space="preserve">before the start date.</w:t>
      </w:r>
    </w:p>
    <w:p>
      <w:pPr>
        <w:pStyle w:val="BodyText"/>
      </w:pPr>
      <w:r>
        <w:t xml:space="preserve">4.3.4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provisioned within</w:t>
      </w:r>
      <w:r>
        <w:t xml:space="preserve"> </w:t>
      </w:r>
      <w:r>
        <w:rPr>
          <w:bCs/>
          <w:b/>
        </w:rPr>
        <w:t xml:space="preserve">one business day</w:t>
      </w:r>
      <w:r>
        <w:t xml:space="preserve"> </w:t>
      </w:r>
      <w:r>
        <w:t xml:space="preserve">of the approved ticket.</w:t>
      </w:r>
    </w:p>
    <w:p>
      <w:pPr>
        <w:pStyle w:val="BodyText"/>
      </w:pPr>
      <w:r>
        <w:t xml:space="preserve">4.3.5</w:t>
      </w:r>
      <w:r>
        <w:t xml:space="preserve"> </w:t>
      </w:r>
      <w:r>
        <w:rPr>
          <w:bCs/>
          <w:b/>
        </w:rPr>
        <w:t xml:space="preserve">Access shall not be activated until the individual has signed CGI-POL-001 (Acceptable Use Policy), CGI-POL-002, CGI-POL-004 and CGI-POL-005, and has completed MFA enrolment.</w:t>
      </w:r>
      <w:r>
        <w:t xml:space="preserve"> </w:t>
      </w:r>
      <w:r>
        <w:t xml:space="preserve">Sign-off is recorded in the Employee Policy Sign-off and Training Tracker.</w:t>
      </w:r>
    </w:p>
    <w:p>
      <w:pPr>
        <w:pStyle w:val="BodyText"/>
      </w:pPr>
      <w:r>
        <w:t xml:space="preserve">4.3.6 New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complete security awareness induction within</w:t>
      </w:r>
      <w:r>
        <w:t xml:space="preserve"> </w:t>
      </w:r>
      <w:r>
        <w:rPr>
          <w:bCs/>
          <w:b/>
        </w:rPr>
        <w:t xml:space="preserve">10 business days</w:t>
      </w:r>
      <w:r>
        <w:t xml:space="preserve"> </w:t>
      </w:r>
      <w:r>
        <w:t xml:space="preserve">of their start date.</w:t>
      </w:r>
    </w:p>
    <w:p>
      <w:pPr>
        <w:pStyle w:val="BodyText"/>
      </w:pPr>
      <w:r>
        <w:t xml:space="preserve">4.3.7 Access to systems holding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t xml:space="preserve">data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additionally require written approval from the relevant system owner and the CTO.</w:t>
      </w:r>
    </w:p>
    <w:bookmarkEnd w:id="70"/>
    <w:bookmarkStart w:id="71" w:name="Xd57831d28ca2204741f2e3776f93f24decab4bc"/>
    <w:p>
      <w:pPr>
        <w:pStyle w:val="Heading3"/>
      </w:pPr>
      <w:r>
        <w:t xml:space="preserve">4.4 Mover — role change</w:t>
      </w:r>
    </w:p>
    <w:p>
      <w:pPr>
        <w:pStyle w:val="FirstParagraph"/>
      </w:pPr>
      <w:r>
        <w:t xml:space="preserve">4.4.1 The line manager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raise a change ticket within</w:t>
      </w:r>
      <w:r>
        <w:t xml:space="preserve"> </w:t>
      </w:r>
      <w:r>
        <w:rPr>
          <w:bCs/>
          <w:b/>
        </w:rPr>
        <w:t xml:space="preserve">two business days</w:t>
      </w:r>
      <w:r>
        <w:t xml:space="preserve"> </w:t>
      </w:r>
      <w:r>
        <w:t xml:space="preserve">of a confirmed role change, secondment or internal transfer.</w:t>
      </w:r>
    </w:p>
    <w:p>
      <w:pPr>
        <w:pStyle w:val="BodyText"/>
      </w:pPr>
      <w:r>
        <w:t xml:space="preserve">4.4.2 The change ticket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state both the access to be</w:t>
      </w:r>
      <w:r>
        <w:t xml:space="preserve"> </w:t>
      </w:r>
      <w:r>
        <w:rPr>
          <w:bCs/>
          <w:b/>
        </w:rPr>
        <w:t xml:space="preserve">added</w:t>
      </w:r>
      <w:r>
        <w:t xml:space="preserve"> </w:t>
      </w:r>
      <w:r>
        <w:t xml:space="preserve">and the access to be</w:t>
      </w:r>
      <w:r>
        <w:t xml:space="preserve"> </w:t>
      </w:r>
      <w:r>
        <w:rPr>
          <w:bCs/>
          <w:b/>
        </w:rPr>
        <w:t xml:space="preserve">removed</w:t>
      </w:r>
      <w:r>
        <w:t xml:space="preserve">.</w:t>
      </w:r>
    </w:p>
    <w:p>
      <w:pPr>
        <w:pStyle w:val="BodyText"/>
      </w:pPr>
      <w:r>
        <w:t xml:space="preserve">4.4.3 Access no longer required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removed within</w:t>
      </w:r>
      <w:r>
        <w:t xml:space="preserve"> </w:t>
      </w:r>
      <w:r>
        <w:rPr>
          <w:bCs/>
          <w:b/>
        </w:rPr>
        <w:t xml:space="preserve">five business days</w:t>
      </w:r>
      <w:r>
        <w:t xml:space="preserve"> </w:t>
      </w:r>
      <w:r>
        <w:t xml:space="preserve">of the effective date of the change. Adding new access without removing redundant access, a condition known as</w:t>
      </w:r>
      <w:r>
        <w:t xml:space="preserve"> </w:t>
      </w:r>
      <w:r>
        <w:rPr>
          <w:bCs/>
          <w:b/>
        </w:rPr>
        <w:t xml:space="preserve">privilege creep</w:t>
      </w:r>
      <w:r>
        <w:t xml:space="preserve">, is expressly prohibited.</w:t>
      </w:r>
    </w:p>
    <w:p>
      <w:pPr>
        <w:pStyle w:val="BodyText"/>
      </w:pPr>
      <w:r>
        <w:t xml:space="preserve">4.4.4 Where an individual moves into a role requiring privileged access, the CTO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approve, and a separate administrative account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issued in accordance with CGI-POL-002 section 4.4.</w:t>
      </w:r>
    </w:p>
    <w:bookmarkEnd w:id="71"/>
    <w:bookmarkStart w:id="72" w:name="X403f09aaad9d1d449732ed2db534119fccfc46d"/>
    <w:p>
      <w:pPr>
        <w:pStyle w:val="Heading3"/>
      </w:pPr>
      <w:r>
        <w:t xml:space="preserve">4.5 Leaver — offboarding</w:t>
      </w:r>
    </w:p>
    <w:p>
      <w:pPr>
        <w:pStyle w:val="FirstParagraph"/>
      </w:pPr>
      <w:r>
        <w:t xml:space="preserve">4.5.1 The Head of People and Operations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notify the IT Operations Manager and the CTO</w:t>
      </w:r>
      <w:r>
        <w:t xml:space="preserve"> </w:t>
      </w:r>
      <w:r>
        <w:rPr>
          <w:bCs/>
          <w:b/>
        </w:rPr>
        <w:t xml:space="preserve">immediately</w:t>
      </w:r>
      <w:r>
        <w:t xml:space="preserve"> </w:t>
      </w:r>
      <w:r>
        <w:t xml:space="preserve">upon a resignation being tendered or a termination decision being made,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confirm the exact effective date and time of departure.</w:t>
      </w:r>
    </w:p>
    <w:p>
      <w:pPr>
        <w:pStyle w:val="BodyText"/>
      </w:pPr>
      <w:r>
        <w:t xml:space="preserve">4.5.2</w:t>
      </w:r>
      <w:r>
        <w:t xml:space="preserve"> </w:t>
      </w:r>
      <w:r>
        <w:rPr>
          <w:bCs/>
          <w:b/>
        </w:rPr>
        <w:t xml:space="preserve">All access shall be revoked within four hours of the effective termination time.</w:t>
      </w:r>
      <w:r>
        <w:t xml:space="preserve"> </w:t>
      </w:r>
      <w:r>
        <w:t xml:space="preserve">This includes OfficeCo, ChatCo, CodeCo, CloudCo, PaymentsCo, the production database, the support platform, all third-party services, and any physical access credential.</w:t>
      </w:r>
    </w:p>
    <w:p>
      <w:pPr>
        <w:pStyle w:val="BodyText"/>
      </w:pPr>
      <w:r>
        <w:t xml:space="preserve">4.5.3 For</w:t>
      </w:r>
      <w:r>
        <w:t xml:space="preserve"> </w:t>
      </w:r>
      <w:r>
        <w:rPr>
          <w:bCs/>
          <w:b/>
        </w:rPr>
        <w:t xml:space="preserve">involuntary terminations</w:t>
      </w:r>
      <w:r>
        <w:t xml:space="preserve">, access revocation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executed</w:t>
      </w:r>
      <w:r>
        <w:t xml:space="preserve"> </w:t>
      </w:r>
      <w:r>
        <w:rPr>
          <w:bCs/>
          <w:b/>
        </w:rPr>
        <w:t xml:space="preserve">simultaneously with</w:t>
      </w:r>
      <w:r>
        <w:t xml:space="preserve">, and not after, the notification meeting.</w:t>
      </w:r>
    </w:p>
    <w:p>
      <w:pPr>
        <w:pStyle w:val="BodyText"/>
      </w:pPr>
      <w:r>
        <w:t xml:space="preserve">4.5.4 Shared account credentials known to the departing individual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rotated within</w:t>
      </w:r>
      <w:r>
        <w:t xml:space="preserve"> </w:t>
      </w:r>
      <w:r>
        <w:rPr>
          <w:bCs/>
          <w:b/>
        </w:rPr>
        <w:t xml:space="preserve">four hours</w:t>
      </w:r>
      <w:r>
        <w:t xml:space="preserve"> </w:t>
      </w:r>
      <w:r>
        <w:t xml:space="preserve">of the effective termination time, in accordance with CGI-POL-002 section 4.4.2.</w:t>
      </w:r>
    </w:p>
    <w:p>
      <w:pPr>
        <w:pStyle w:val="BodyText"/>
      </w:pPr>
      <w:r>
        <w:t xml:space="preserve">4.5.5 Any API key, deploy key, personal access token or service credential created by the departing individual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identified and rotated within</w:t>
      </w:r>
      <w:r>
        <w:t xml:space="preserve"> </w:t>
      </w:r>
      <w:r>
        <w:rPr>
          <w:bCs/>
          <w:b/>
        </w:rPr>
        <w:t xml:space="preserve">five business days</w:t>
      </w:r>
      <w:r>
        <w:t xml:space="preserve">.</w:t>
      </w:r>
    </w:p>
    <w:p>
      <w:pPr>
        <w:pStyle w:val="BodyText"/>
      </w:pPr>
      <w:r>
        <w:t xml:space="preserve">4.5.6 The departing individual's OfficeCo and ChatCo accounts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suspended, not deleted</w:t>
      </w:r>
      <w:r>
        <w:t xml:space="preserve">, for a minimum of</w:t>
      </w:r>
      <w:r>
        <w:t xml:space="preserve"> </w:t>
      </w:r>
      <w:r>
        <w:rPr>
          <w:bCs/>
          <w:b/>
        </w:rPr>
        <w:t xml:space="preserve">90 days</w:t>
      </w:r>
      <w:r>
        <w:t xml:space="preserve">, so that records remain available for business continuity and any investigation. Deletion after 90 days requires line manager confirmation.</w:t>
      </w:r>
    </w:p>
    <w:p>
      <w:pPr>
        <w:pStyle w:val="BodyText"/>
      </w:pPr>
      <w:r>
        <w:t xml:space="preserve">4.5.7 Ownership of files, documents and tickets held by the departing individual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transferred to their line manager before suspension.</w:t>
      </w:r>
    </w:p>
    <w:p>
      <w:pPr>
        <w:pStyle w:val="BodyText"/>
      </w:pPr>
      <w:r>
        <w:t xml:space="preserve">4.5.8 Company devices, access cards and printed material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returned within</w:t>
      </w:r>
      <w:r>
        <w:t xml:space="preserve"> </w:t>
      </w:r>
      <w:r>
        <w:rPr>
          <w:bCs/>
          <w:b/>
        </w:rPr>
        <w:t xml:space="preserve">five business days</w:t>
      </w:r>
      <w:r>
        <w:t xml:space="preserve"> </w:t>
      </w:r>
      <w:r>
        <w:t xml:space="preserve">of the effective date.</w:t>
      </w:r>
    </w:p>
    <w:p>
      <w:pPr>
        <w:pStyle w:val="BodyText"/>
      </w:pPr>
      <w:r>
        <w:t xml:space="preserve">4.5.9 The IT Operations Manager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complete an offboarding checklist for every leaver and retain it as evidence. An offboarding is not closed until every line is evidenced.</w:t>
      </w:r>
    </w:p>
    <w:bookmarkEnd w:id="72"/>
    <w:bookmarkStart w:id="73" w:name="Xec1b3bdae607331a0d171a2745e9e4f740f8e2b"/>
    <w:p>
      <w:pPr>
        <w:pStyle w:val="Heading3"/>
      </w:pPr>
      <w:r>
        <w:t xml:space="preserve">4.6 Third-party and contractor access</w:t>
      </w:r>
    </w:p>
    <w:p>
      <w:pPr>
        <w:pStyle w:val="FirstParagraph"/>
      </w:pPr>
      <w:r>
        <w:t xml:space="preserve">4.6.1 Every third party granted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have a named Cypher Group employee sponsor who is accountable for that access.</w:t>
      </w:r>
    </w:p>
    <w:p>
      <w:pPr>
        <w:pStyle w:val="BodyText"/>
      </w:pPr>
      <w:r>
        <w:t xml:space="preserve">4.6.2 Third-party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carry a mandatory expiry date not exceeding the contract end date, and in no case exceeding</w:t>
      </w:r>
      <w:r>
        <w:t xml:space="preserve"> </w:t>
      </w:r>
      <w:r>
        <w:rPr>
          <w:bCs/>
          <w:b/>
        </w:rPr>
        <w:t xml:space="preserve">12 months</w:t>
      </w:r>
      <w:r>
        <w:t xml:space="preserve">.</w:t>
      </w:r>
    </w:p>
    <w:p>
      <w:pPr>
        <w:pStyle w:val="BodyText"/>
      </w:pPr>
      <w:r>
        <w:t xml:space="preserve">4.6.3 Third-party access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</w:t>
      </w:r>
      <w:r>
        <w:t xml:space="preserve"> </w:t>
      </w:r>
      <w:r>
        <w:rPr>
          <w:bCs/>
          <w:b/>
        </w:rPr>
        <w:t xml:space="preserve">monthly</w:t>
      </w:r>
      <w:r>
        <w:t xml:space="preserve"> </w:t>
      </w:r>
      <w:r>
        <w:t xml:space="preserve">by the sponsor, who confirms it is still required.</w:t>
      </w:r>
    </w:p>
    <w:p>
      <w:pPr>
        <w:pStyle w:val="BodyText"/>
      </w:pPr>
      <w:r>
        <w:t xml:space="preserve">4.6.4 Third parties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meet the same authentication requirements as employees under CGI-POL-002.</w:t>
      </w:r>
    </w:p>
    <w:bookmarkEnd w:id="73"/>
    <w:bookmarkStart w:id="74" w:name="X78ec3f77221e3cf6f92dd337bc235b1e3388450"/>
    <w:p>
      <w:pPr>
        <w:pStyle w:val="Heading3"/>
      </w:pPr>
      <w:r>
        <w:t xml:space="preserve">4.7 Access reviews</w:t>
      </w:r>
    </w:p>
    <w:p>
      <w:pPr>
        <w:pStyle w:val="FirstParagraph"/>
      </w:pPr>
      <w:r>
        <w:t xml:space="preserve">4.7.1 A</w:t>
      </w:r>
      <w:r>
        <w:t xml:space="preserve"> </w:t>
      </w:r>
      <w:r>
        <w:rPr>
          <w:bCs/>
          <w:b/>
        </w:rPr>
        <w:t xml:space="preserve">privileged access review shall be performed quarterly</w:t>
      </w:r>
      <w:r>
        <w:t xml:space="preserve">. The IT Operations Manager generates a listing of all accounts with administrative rights or access to Restricted data, reviews it with each relevant department head, and records approval or removal decisions in a ticket. Removals identified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completed within</w:t>
      </w:r>
      <w:r>
        <w:t xml:space="preserve"> </w:t>
      </w:r>
      <w:r>
        <w:rPr>
          <w:bCs/>
          <w:b/>
        </w:rPr>
        <w:t xml:space="preserve">five business days</w:t>
      </w:r>
      <w:r>
        <w:t xml:space="preserve">.</w:t>
      </w:r>
    </w:p>
    <w:p>
      <w:pPr>
        <w:pStyle w:val="BodyText"/>
      </w:pPr>
      <w:r>
        <w:t xml:space="preserve">4.7.2 A</w:t>
      </w:r>
      <w:r>
        <w:t xml:space="preserve"> </w:t>
      </w:r>
      <w:r>
        <w:rPr>
          <w:bCs/>
          <w:b/>
        </w:rPr>
        <w:t xml:space="preserve">general user access review shall be performed semi-annually</w:t>
      </w:r>
      <w:r>
        <w:t xml:space="preserve"> </w:t>
      </w:r>
      <w:r>
        <w:t xml:space="preserve">across all systems, following the same evidence requirements.</w:t>
      </w:r>
    </w:p>
    <w:p>
      <w:pPr>
        <w:pStyle w:val="BodyText"/>
      </w:pPr>
      <w:r>
        <w:t xml:space="preserve">4.7.3 An</w:t>
      </w:r>
      <w:r>
        <w:t xml:space="preserve"> </w:t>
      </w:r>
      <w:r>
        <w:rPr>
          <w:bCs/>
          <w:b/>
        </w:rPr>
        <w:t xml:space="preserve">orphaned account check shall be performed monthly</w:t>
      </w:r>
      <w:r>
        <w:t xml:space="preserve">: the IT Operations Manager reconciles the active account list against the current personnel list and investigates every discrepancy.</w:t>
      </w:r>
    </w:p>
    <w:p>
      <w:pPr>
        <w:pStyle w:val="BodyText"/>
      </w:pPr>
      <w:r>
        <w:t xml:space="preserve">4.7.4 Evidence of every review — the listing reviewed, the reviewer, the date, the decisions and the completion of removals —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retained for a minimum of</w:t>
      </w:r>
      <w:r>
        <w:t xml:space="preserve"> </w:t>
      </w:r>
      <w:r>
        <w:rPr>
          <w:bCs/>
          <w:b/>
        </w:rPr>
        <w:t xml:space="preserve">two years</w:t>
      </w:r>
      <w:r>
        <w:t xml:space="preserve">.</w:t>
      </w:r>
    </w:p>
    <w:bookmarkEnd w:id="74"/>
    <w:bookmarkEnd w:id="75"/>
    <w:bookmarkStart w:id="76" w:name="Xb335fa151e2b0f1b2ceb1e3a67604e39bbe3ee7"/>
    <w:p>
      <w:pPr>
        <w:pStyle w:val="Heading2"/>
      </w:pPr>
      <w:r>
        <w:t xml:space="preserve">5. Enforcement</w:t>
      </w:r>
    </w:p>
    <w:p>
      <w:pPr>
        <w:pStyle w:val="FirstParagraph"/>
      </w:pPr>
      <w:r>
        <w:t xml:space="preserve">5.1 Granting access outside this process, including informally or verbally, is a</w:t>
      </w:r>
      <w:r>
        <w:t xml:space="preserve"> </w:t>
      </w:r>
      <w:r>
        <w:t xml:space="preserve">policy violation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reported to the CTO.</w:t>
      </w:r>
    </w:p>
    <w:p>
      <w:pPr>
        <w:pStyle w:val="BodyText"/>
      </w:pPr>
      <w:r>
        <w:t xml:space="preserve">5.2 Failure by a line manager to notify a leaver in accordance with section 4.5.1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escalated to the CEO, because it is the single control failure most</w:t>
      </w:r>
      <w:r>
        <w:t xml:space="preserve"> </w:t>
      </w:r>
      <w:r>
        <w:t xml:space="preserve">likely to result in unauthorised access.</w:t>
      </w:r>
    </w:p>
    <w:p>
      <w:pPr>
        <w:pStyle w:val="BodyText"/>
      </w:pPr>
      <w:r>
        <w:t xml:space="preserve">5.3 Exceptions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approved in writing by the CTO, recorded in the</w:t>
      </w:r>
      <w:r>
        <w:t xml:space="preserve"> </w:t>
      </w:r>
      <w:r>
        <w:t xml:space="preserve">Exception Register with a compensating control, an accepting owner and an expiry</w:t>
      </w:r>
      <w:r>
        <w:t xml:space="preserve"> </w:t>
      </w:r>
      <w:r>
        <w:t xml:space="preserve">date not exceeding 12 months.</w:t>
      </w:r>
    </w:p>
    <w:bookmarkEnd w:id="76"/>
    <w:bookmarkStart w:id="77" w:name="X36a364386a33e471802584c181ad56601dadd13"/>
    <w:p>
      <w:pPr>
        <w:pStyle w:val="Heading2"/>
      </w:pPr>
      <w:r>
        <w:t xml:space="preserve">6. Review cadence</w:t>
      </w:r>
    </w:p>
    <w:p>
      <w:pPr>
        <w:pStyle w:val="FirstParagraph"/>
      </w:pPr>
      <w:r>
        <w:t xml:space="preserve">6.1 This policy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 annually, and additionally after any</w:t>
      </w:r>
      <w:r>
        <w:t xml:space="preserve"> </w:t>
      </w:r>
      <w:r>
        <w:t xml:space="preserve">access-related incident, any change of identity provider, or any material change</w:t>
      </w:r>
      <w:r>
        <w:t xml:space="preserve"> </w:t>
      </w:r>
      <w:r>
        <w:t xml:space="preserve">in headcount or organisational structure.</w:t>
      </w:r>
    </w:p>
    <w:p>
      <w:pPr>
        <w:pStyle w:val="BodyText"/>
      </w:pPr>
      <w:r>
        <w:t xml:space="preserve">6.2 Metrics reported to the CTO quarterly: mean time to revoke access after</w:t>
      </w:r>
      <w:r>
        <w:t xml:space="preserve"> </w:t>
      </w:r>
      <w:r>
        <w:t xml:space="preserve">departure, number of orphaned accounts found, percentage of access changes with a</w:t>
      </w:r>
      <w:r>
        <w:t xml:space="preserve"> </w:t>
      </w:r>
      <w:r>
        <w:t xml:space="preserve">ticket, and percentage of access reviews completed on schedule.</w:t>
      </w:r>
    </w:p>
    <w:bookmarkEnd w:id="77"/>
    <w:bookmarkStart w:id="78" w:name="X5c18dc625af5a7973f694d34f1ed4717d4e1e72"/>
    <w:p>
      <w:pPr>
        <w:pStyle w:val="Heading2"/>
      </w:pPr>
      <w:r>
        <w:t xml:space="preserve">7. Framework mapping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667"/>
        <w:gridCol w:w="3252"/>
        <w:gridCol w:w="2831"/>
      </w:tblGrid>
      <w:tr>
        <w:trPr>
          <w:tblHeader w:val="true"/>
          <w:tblHeader w:val="true"/>
          <w:cantSplit/>
        </w:trPr>
        <w:tc>
          <w:tcPr>
            <w:tcW w:type="dxa" w:w="366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Policy section</w:t>
            </w:r>
          </w:p>
        </w:tc>
        <w:tc>
          <w:tcPr>
            <w:tcW w:type="dxa" w:w="325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ISO/IEC 27001:2022 Annex A</w:t>
            </w:r>
          </w:p>
        </w:tc>
        <w:tc>
          <w:tcPr>
            <w:tcW w:type="dxa" w:w="283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NIST CSF 2.0</w:t>
            </w:r>
          </w:p>
        </w:tc>
      </w:tr>
      <w:tr>
        <w:trPr>
          <w:cantSplit/>
        </w:trPr>
        <w:tc>
          <w:tcPr>
            <w:tcW w:type="dxa" w:w="36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4.1 Governing principles</w:t>
            </w:r>
          </w:p>
        </w:tc>
        <w:tc>
          <w:tcPr>
            <w:tcW w:type="dxa" w:w="32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A.5.15, A.8.2</w:t>
            </w:r>
          </w:p>
        </w:tc>
        <w:tc>
          <w:tcPr>
            <w:tcW w:type="dxa" w:w="28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</w:t>
            </w:r>
          </w:p>
        </w:tc>
      </w:tr>
      <w:tr>
        <w:trPr>
          <w:cantSplit/>
        </w:trPr>
        <w:tc>
          <w:tcPr>
            <w:tcW w:type="dxa" w:w="36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4.2 Role profiles</w:t>
            </w:r>
          </w:p>
        </w:tc>
        <w:tc>
          <w:tcPr>
            <w:tcW w:type="dxa" w:w="32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A.5.15, A.5.18</w:t>
            </w:r>
          </w:p>
        </w:tc>
        <w:tc>
          <w:tcPr>
            <w:tcW w:type="dxa" w:w="283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</w:t>
            </w:r>
          </w:p>
        </w:tc>
      </w:tr>
      <w:tr>
        <w:trPr>
          <w:cantSplit/>
        </w:trPr>
        <w:tc>
          <w:tcPr>
            <w:tcW w:type="dxa" w:w="36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4.3 Joiner</w:t>
            </w:r>
          </w:p>
        </w:tc>
        <w:tc>
          <w:tcPr>
            <w:tcW w:type="dxa" w:w="32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A.5.16, A.6.1, A.6.3</w:t>
            </w:r>
          </w:p>
        </w:tc>
        <w:tc>
          <w:tcPr>
            <w:tcW w:type="dxa" w:w="28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PR.AA-01, PR.AT-01</w:t>
            </w:r>
          </w:p>
        </w:tc>
      </w:tr>
      <w:tr>
        <w:trPr>
          <w:cantSplit/>
        </w:trPr>
        <w:tc>
          <w:tcPr>
            <w:tcW w:type="dxa" w:w="36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4.4 Mover</w:t>
            </w:r>
          </w:p>
        </w:tc>
        <w:tc>
          <w:tcPr>
            <w:tcW w:type="dxa" w:w="32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A.5.18</w:t>
            </w:r>
          </w:p>
        </w:tc>
        <w:tc>
          <w:tcPr>
            <w:tcW w:type="dxa" w:w="283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</w:t>
            </w:r>
          </w:p>
        </w:tc>
      </w:tr>
      <w:tr>
        <w:trPr>
          <w:cantSplit/>
        </w:trPr>
        <w:tc>
          <w:tcPr>
            <w:tcW w:type="dxa" w:w="36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4.5 Leaver</w:t>
            </w:r>
          </w:p>
        </w:tc>
        <w:tc>
          <w:tcPr>
            <w:tcW w:type="dxa" w:w="32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A.5.11, A.6.5, A.5.18</w:t>
            </w:r>
          </w:p>
        </w:tc>
        <w:tc>
          <w:tcPr>
            <w:tcW w:type="dxa" w:w="28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</w:t>
            </w:r>
          </w:p>
        </w:tc>
      </w:tr>
      <w:tr>
        <w:trPr>
          <w:cantSplit/>
        </w:trPr>
        <w:tc>
          <w:tcPr>
            <w:tcW w:type="dxa" w:w="36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4.6 Third-party access</w:t>
            </w:r>
          </w:p>
        </w:tc>
        <w:tc>
          <w:tcPr>
            <w:tcW w:type="dxa" w:w="325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A.5.19, A.5.20</w:t>
            </w:r>
          </w:p>
        </w:tc>
        <w:tc>
          <w:tcPr>
            <w:tcW w:type="dxa" w:w="283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GV.SC-04, PR.AA-05</w:t>
            </w:r>
          </w:p>
        </w:tc>
      </w:tr>
      <w:tr>
        <w:trPr>
          <w:cantSplit/>
        </w:trPr>
        <w:tc>
          <w:tcPr>
            <w:tcW w:type="dxa" w:w="36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4.7 Access reviews</w:t>
            </w:r>
          </w:p>
        </w:tc>
        <w:tc>
          <w:tcPr>
            <w:tcW w:type="dxa" w:w="325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A.5.18, A.8.2</w:t>
            </w:r>
          </w:p>
        </w:tc>
        <w:tc>
          <w:tcPr>
            <w:tcW w:type="dxa" w:w="283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PR.AA-05, DE.CM-03</w:t>
            </w:r>
          </w:p>
        </w:tc>
      </w:tr>
    </w:tbl>
    <w:bookmarkEnd w:id="78"/>
    <w:bookmarkStart w:id="79" w:name="Xc29e03888333e17b82715fe0e92766d6bee0371"/>
    <w:p>
      <w:pPr>
        <w:pStyle w:val="Heading2"/>
      </w:pPr>
      <w:r>
        <w:t xml:space="preserve">8. Definitions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063"/>
        <w:gridCol w:w="7687"/>
      </w:tblGrid>
      <w:tr>
        <w:trPr>
          <w:tblHeader w:val="true"/>
          <w:tblHeader w:val="true"/>
          <w:cantSplit/>
        </w:trPr>
        <w:tc>
          <w:tcPr>
            <w:tcW w:type="dxa" w:w="206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Term</w:t>
            </w:r>
          </w:p>
        </w:tc>
        <w:tc>
          <w:tcPr>
            <w:tcW w:type="dxa" w:w="768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JML</w:t>
            </w:r>
          </w:p>
        </w:tc>
        <w:tc>
          <w:tcPr>
            <w:tcW w:type="dxa" w:w="7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Joiner, Mover, Leaver: the three lifecycle events at which access must change</w:t>
            </w:r>
          </w:p>
        </w:tc>
      </w:tr>
      <w:tr>
        <w:trPr>
          <w:cantSplit/>
        </w:trPr>
        <w:tc>
          <w:tcPr>
            <w:tcW w:type="dxa" w:w="20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Provisioning</w:t>
            </w:r>
          </w:p>
        </w:tc>
        <w:tc>
          <w:tcPr>
            <w:tcW w:type="dxa" w:w="76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Creating and enabling a person's accounts and permissions</w:t>
            </w:r>
          </w:p>
        </w:tc>
      </w:tr>
      <w:tr>
        <w:trPr>
          <w:cantSplit/>
        </w:trPr>
        <w:tc>
          <w:tcPr>
            <w:tcW w:type="dxa" w:w="2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Deprovisioning</w:t>
            </w:r>
          </w:p>
        </w:tc>
        <w:tc>
          <w:tcPr>
            <w:tcW w:type="dxa" w:w="7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Disabling and removing a person's accounts and permissions</w:t>
            </w:r>
          </w:p>
        </w:tc>
      </w:tr>
      <w:tr>
        <w:trPr>
          <w:cantSplit/>
        </w:trPr>
        <w:tc>
          <w:tcPr>
            <w:tcW w:type="dxa" w:w="20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Least privilege</w:t>
            </w:r>
          </w:p>
        </w:tc>
        <w:tc>
          <w:tcPr>
            <w:tcW w:type="dxa" w:w="76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Granting only the minimum access required, for the minimum time required</w:t>
            </w:r>
          </w:p>
        </w:tc>
      </w:tr>
      <w:tr>
        <w:trPr>
          <w:cantSplit/>
        </w:trPr>
        <w:tc>
          <w:tcPr>
            <w:tcW w:type="dxa" w:w="2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Need to know</w:t>
            </w:r>
          </w:p>
        </w:tc>
        <w:tc>
          <w:tcPr>
            <w:tcW w:type="dxa" w:w="7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Restricting information to those whose duties require it, regardless of clearance level</w:t>
            </w:r>
          </w:p>
        </w:tc>
      </w:tr>
      <w:tr>
        <w:trPr>
          <w:cantSplit/>
        </w:trPr>
        <w:tc>
          <w:tcPr>
            <w:tcW w:type="dxa" w:w="20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Privilege creep</w:t>
            </w:r>
          </w:p>
        </w:tc>
        <w:tc>
          <w:tcPr>
            <w:tcW w:type="dxa" w:w="76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gradual accumulation of access rights as a person changes roles without old access being removed</w:t>
            </w:r>
          </w:p>
        </w:tc>
      </w:tr>
      <w:tr>
        <w:trPr>
          <w:cantSplit/>
        </w:trPr>
        <w:tc>
          <w:tcPr>
            <w:tcW w:type="dxa" w:w="206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Orphaned account</w:t>
            </w:r>
          </w:p>
        </w:tc>
        <w:tc>
          <w:tcPr>
            <w:tcW w:type="dxa" w:w="768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active account with no current, identifiable owner</w:t>
            </w:r>
          </w:p>
        </w:tc>
      </w:tr>
      <w:tr>
        <w:trPr>
          <w:cantSplit/>
        </w:trPr>
        <w:tc>
          <w:tcPr>
            <w:tcW w:type="dxa" w:w="206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Role profile</w:t>
            </w:r>
          </w:p>
        </w:tc>
        <w:tc>
          <w:tcPr>
            <w:tcW w:type="dxa" w:w="768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predefined bundle of access rights associated with a job function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6" w:name="cgi-pol-004--data-classification-policy"/>
    <w:p>
      <w:pPr>
        <w:pStyle w:val="Heading1"/>
        <w:pageBreakBefore/>
      </w:pPr>
      <w:r>
        <w:t xml:space="preserve">CGI-POL-004 — Data Classification Policy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756"/>
        <w:gridCol w:w="5995"/>
      </w:tblGrid>
      <w:tr>
        <w:trPr>
          <w:tblHeader w:val="true"/>
          <w:tblHeader w:val="true"/>
          <w:cantSplit/>
        </w:trPr>
        <w:tc>
          <w:tcPr>
            <w:tcW w:type="dxa" w:w="375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599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ID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CGI-POL-004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Version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Policy owner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Raman, Chief Technology Officer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Olugboye, Chief Executive Officer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Approval date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2026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Effective date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Review cadence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Annually, or upon significant change</w:t>
            </w:r>
          </w:p>
        </w:tc>
      </w:tr>
      <w:tr>
        <w:trPr>
          <w:cantSplit/>
        </w:trPr>
        <w:tc>
          <w:tcPr>
            <w:tcW w:type="dxa" w:w="375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Next review due</w:t>
            </w:r>
          </w:p>
        </w:tc>
        <w:tc>
          <w:tcPr>
            <w:tcW w:type="dxa" w:w="599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2027</w:t>
            </w:r>
          </w:p>
        </w:tc>
      </w:tr>
      <w:tr>
        <w:trPr>
          <w:cantSplit/>
        </w:trPr>
        <w:tc>
          <w:tcPr>
            <w:tcW w:type="dxa" w:w="375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 sign-off</w:t>
            </w:r>
          </w:p>
        </w:tc>
        <w:tc>
          <w:tcPr>
            <w:tcW w:type="dxa" w:w="599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</w:tr>
    </w:tbl>
    <w:bookmarkStart w:id="81" w:name="version-history-3"/>
    <w:p>
      <w:pPr>
        <w:pStyle w:val="Heading3"/>
      </w:pPr>
      <w:r>
        <w:t xml:space="preserve">Version history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441"/>
        <w:gridCol w:w="1677"/>
        <w:gridCol w:w="1235"/>
        <w:gridCol w:w="3749"/>
        <w:gridCol w:w="1647"/>
      </w:tblGrid>
      <w:tr>
        <w:trPr>
          <w:tblHeader w:val="true"/>
          <w:tblHeader w:val="true"/>
          <w:cantSplit/>
        </w:trPr>
        <w:tc>
          <w:tcPr>
            <w:tcW w:type="dxa" w:w="144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tcW w:type="dxa" w:w="167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type="dxa" w:w="123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type="dxa" w:w="374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Summary of change</w:t>
            </w:r>
          </w:p>
        </w:tc>
        <w:tc>
          <w:tcPr>
            <w:tcW w:type="dxa" w:w="164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44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>
            <w:tcW w:type="dxa" w:w="16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2026-09-01</w:t>
            </w:r>
          </w:p>
        </w:tc>
        <w:tc>
          <w:tcPr>
            <w:tcW w:type="dxa" w:w="12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O.S</w:t>
            </w:r>
          </w:p>
        </w:tc>
        <w:tc>
          <w:tcPr>
            <w:tcW w:type="dxa" w:w="37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Initial issue. Four-tier model adopted.</w:t>
            </w:r>
          </w:p>
        </w:tc>
        <w:tc>
          <w:tcPr>
            <w:tcW w:type="dxa" w:w="16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</w:tr>
    </w:tbl>
    <w:bookmarkEnd w:id="81"/>
    <w:bookmarkStart w:id="82" w:name="Xbb4d8778ad9520532a4815a359ae823c43ac216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Not all information needs the same protection, and treating everything as highly</w:t>
      </w:r>
      <w:r>
        <w:t xml:space="preserve"> </w:t>
      </w:r>
      <w:r>
        <w:t xml:space="preserve">sensitive is as ineffective as treating nothing as sensitive: it produces</w:t>
      </w:r>
      <w:r>
        <w:t xml:space="preserve"> </w:t>
      </w:r>
      <w:r>
        <w:t xml:space="preserve">controls that people work around. This policy establishes a</w:t>
      </w:r>
      <w:r>
        <w:t xml:space="preserve"> </w:t>
      </w:r>
      <w:r>
        <w:rPr>
          <w:bCs/>
          <w:b/>
        </w:rPr>
        <w:t xml:space="preserve">four-tier</w:t>
      </w:r>
      <w:r>
        <w:rPr>
          <w:bCs/>
          <w:b/>
        </w:rPr>
        <w:t xml:space="preserve"> </w:t>
      </w:r>
      <w:r>
        <w:rPr>
          <w:bCs/>
          <w:b/>
        </w:rPr>
        <w:t xml:space="preserve">classification model</w:t>
      </w:r>
      <w:r>
        <w:t xml:space="preserve"> </w:t>
      </w:r>
      <w:r>
        <w:t xml:space="preserve">and, critically, defines the</w:t>
      </w:r>
      <w:r>
        <w:t xml:space="preserve"> </w:t>
      </w:r>
      <w:r>
        <w:rPr>
          <w:bCs/>
          <w:b/>
        </w:rPr>
        <w:t xml:space="preserve">handling requirements</w:t>
      </w:r>
      <w:r>
        <w:t xml:space="preserve"> </w:t>
      </w:r>
      <w:r>
        <w:t xml:space="preserve">that follow from each tier.</w:t>
      </w:r>
    </w:p>
    <w:p>
      <w:pPr>
        <w:pStyle w:val="BodyText"/>
      </w:pPr>
      <w:r>
        <w:t xml:space="preserve">This policy is the foundation on which the other policies in this pack rest.</w:t>
      </w:r>
      <w:r>
        <w:t xml:space="preserve"> </w:t>
      </w:r>
      <w:r>
        <w:t xml:space="preserve">Access decisions under CGI-POL-003, encryption requirements, sharing rules and</w:t>
      </w:r>
      <w:r>
        <w:t xml:space="preserve"> </w:t>
      </w:r>
      <w:r>
        <w:t xml:space="preserve">retention periods are all determined by the classification assigned here.</w:t>
      </w:r>
    </w:p>
    <w:bookmarkEnd w:id="82"/>
    <w:bookmarkStart w:id="83" w:name="X4a2972eb4f65b566a7106f550e78d309d263c92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Cypher Group information in any form — electronic</w:t>
      </w:r>
      <w:r>
        <w:t xml:space="preserve"> </w:t>
      </w:r>
      <w:r>
        <w:t xml:space="preserve">files, databases, printed material, verbal communication and information held by</w:t>
      </w:r>
      <w:r>
        <w:t xml:space="preserve"> </w:t>
      </w:r>
      <w:r>
        <w:t xml:space="preserve">third parties on Cypher Group's behalf — and to all personnel who create, handle,</w:t>
      </w:r>
      <w:r>
        <w:t xml:space="preserve"> </w:t>
      </w:r>
      <w:r>
        <w:t xml:space="preserve">store, transmit or dispose of it.</w:t>
      </w:r>
    </w:p>
    <w:bookmarkEnd w:id="83"/>
    <w:bookmarkStart w:id="85" w:name="Xb014ac67b06a621c09b22e0be9d35cc1ee14764"/>
    <w:p>
      <w:pPr>
        <w:pStyle w:val="Heading2"/>
      </w:pPr>
      <w:r>
        <w:t xml:space="preserve">3. Roles and responsibilities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084"/>
        <w:gridCol w:w="7666"/>
      </w:tblGrid>
      <w:tr>
        <w:trPr>
          <w:tblHeader w:val="true"/>
          <w:tblHeader w:val="true"/>
          <w:cantSplit/>
        </w:trPr>
        <w:tc>
          <w:tcPr>
            <w:tcW w:type="dxa" w:w="208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766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Technology Officer</w:t>
            </w:r>
          </w:p>
        </w:tc>
        <w:tc>
          <w:tcPr>
            <w:tcW w:type="dxa" w:w="76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 this policy; arbitrate classification disputes; approve reclassification of Restricted data</w:t>
            </w:r>
          </w:p>
        </w:tc>
      </w:tr>
      <w:tr>
        <w:trPr>
          <w:cantSplit/>
        </w:trPr>
        <w:tc>
          <w:tcPr>
            <w:tcW w:type="dxa" w:w="20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owners</w:t>
            </w:r>
          </w:p>
        </w:tc>
        <w:tc>
          <w:tcPr>
            <w:tcW w:type="dxa" w:w="766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Assign and maintain the classification of information in their domain; approve external sharing</w:t>
            </w:r>
          </w:p>
        </w:tc>
      </w:tr>
      <w:tr>
        <w:trPr>
          <w:cantSplit/>
        </w:trPr>
        <w:tc>
          <w:tcPr>
            <w:tcW w:type="dxa" w:w="208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All personnel</w:t>
            </w:r>
          </w:p>
        </w:tc>
        <w:tc>
          <w:tcPr>
            <w:tcW w:type="dxa" w:w="766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Apply the correct classification to information they create; handle information per its classification</w:t>
            </w:r>
          </w:p>
        </w:tc>
      </w:tr>
      <w:tr>
        <w:trPr>
          <w:cantSplit/>
        </w:trPr>
        <w:tc>
          <w:tcPr>
            <w:tcW w:type="dxa" w:w="208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IT Operations Manager</w:t>
            </w:r>
          </w:p>
        </w:tc>
        <w:tc>
          <w:tcPr>
            <w:tcW w:type="dxa" w:w="766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Implement the technical controls that enforce the handling matrix</w:t>
            </w:r>
          </w:p>
        </w:tc>
      </w:tr>
    </w:tbl>
    <w:bookmarkStart w:id="84" w:name="X86c7986ccd90c7e50bdfe3ad0b73be6003d0b61"/>
    <w:p>
      <w:pPr>
        <w:pStyle w:val="Heading3"/>
      </w:pPr>
      <w:r>
        <w:t xml:space="preserve">3.1 Assigned data owners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4211"/>
        <w:gridCol w:w="3226"/>
        <w:gridCol w:w="2313"/>
      </w:tblGrid>
      <w:tr>
        <w:trPr>
          <w:tblHeader w:val="true"/>
          <w:tblHeader w:val="true"/>
          <w:cantSplit/>
        </w:trPr>
        <w:tc>
          <w:tcPr>
            <w:tcW w:type="dxa" w:w="421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Information domain</w:t>
            </w:r>
          </w:p>
        </w:tc>
        <w:tc>
          <w:tcPr>
            <w:tcW w:type="dxa" w:w="322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Data owner (role)</w:t>
            </w:r>
          </w:p>
        </w:tc>
        <w:tc>
          <w:tcPr>
            <w:tcW w:type="dxa" w:w="231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Data owner (simulated name)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Customer account data</w:t>
            </w:r>
          </w:p>
        </w:tc>
        <w:tc>
          <w:tcPr>
            <w:tcW w:type="dxa" w:w="32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Customer Success</w:t>
            </w:r>
          </w:p>
        </w:tc>
        <w:tc>
          <w:tcPr>
            <w:tcW w:type="dxa" w:w="23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Amara Boateng</w:t>
            </w:r>
          </w:p>
        </w:tc>
      </w:tr>
      <w:tr>
        <w:trPr>
          <w:cantSplit/>
        </w:trPr>
        <w:tc>
          <w:tcPr>
            <w:tcW w:type="dxa" w:w="421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Payment metadata and financial records</w:t>
            </w:r>
          </w:p>
        </w:tc>
        <w:tc>
          <w:tcPr>
            <w:tcW w:type="dxa" w:w="322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Finance Manager</w:t>
            </w:r>
          </w:p>
        </w:tc>
        <w:tc>
          <w:tcPr>
            <w:tcW w:type="dxa" w:w="23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Jonas Keller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Source code and technical documentation</w:t>
            </w:r>
          </w:p>
        </w:tc>
        <w:tc>
          <w:tcPr>
            <w:tcW w:type="dxa" w:w="32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Technology Officer</w:t>
            </w:r>
          </w:p>
        </w:tc>
        <w:tc>
          <w:tcPr>
            <w:tcW w:type="dxa" w:w="23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</w:t>
            </w:r>
          </w:p>
        </w:tc>
      </w:tr>
      <w:tr>
        <w:trPr>
          <w:cantSplit/>
        </w:trPr>
        <w:tc>
          <w:tcPr>
            <w:tcW w:type="dxa" w:w="421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 and recruitment records</w:t>
            </w:r>
          </w:p>
        </w:tc>
        <w:tc>
          <w:tcPr>
            <w:tcW w:type="dxa" w:w="322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Head of People and Operations</w:t>
            </w:r>
          </w:p>
        </w:tc>
        <w:tc>
          <w:tcPr>
            <w:tcW w:type="dxa" w:w="23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Sofia Lindqvist</w:t>
            </w:r>
          </w:p>
        </w:tc>
      </w:tr>
      <w:tr>
        <w:trPr>
          <w:cantSplit/>
        </w:trPr>
        <w:tc>
          <w:tcPr>
            <w:tcW w:type="dxa" w:w="42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Marketing and public communications</w:t>
            </w:r>
          </w:p>
        </w:tc>
        <w:tc>
          <w:tcPr>
            <w:tcW w:type="dxa" w:w="32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Chief Executive Officer</w:t>
            </w:r>
          </w:p>
        </w:tc>
        <w:tc>
          <w:tcPr>
            <w:tcW w:type="dxa" w:w="23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</w:tr>
    </w:tbl>
    <w:bookmarkEnd w:id="84"/>
    <w:bookmarkEnd w:id="85"/>
    <w:bookmarkStart w:id="91" w:name="Xdffde476a278a16c89ad971cce2a3cbc601cfaa"/>
    <w:p>
      <w:pPr>
        <w:pStyle w:val="Heading2"/>
      </w:pPr>
      <w:r>
        <w:t xml:space="preserve">4. Policy statements</w:t>
      </w:r>
    </w:p>
    <w:bookmarkStart w:id="86" w:name="X99eda4cdc576454d25d5ddbb158e5c308fee9f8"/>
    <w:p>
      <w:pPr>
        <w:pStyle w:val="Heading3"/>
      </w:pPr>
      <w:r>
        <w:t xml:space="preserve">4.1 The four classification tiers</w:t>
      </w:r>
    </w:p>
    <w:p>
      <w:pPr>
        <w:pStyle w:val="FirstParagraph"/>
      </w:pPr>
      <w:r>
        <w:t xml:space="preserve">4.1.1 All Cypher Group information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classified into exactly one of four tiers.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373"/>
        <w:gridCol w:w="3040"/>
        <w:gridCol w:w="2050"/>
        <w:gridCol w:w="3287"/>
      </w:tblGrid>
      <w:tr>
        <w:trPr>
          <w:tblHeader w:val="true"/>
          <w:tblHeader w:val="true"/>
          <w:cantSplit/>
        </w:trPr>
        <w:tc>
          <w:tcPr>
            <w:tcW w:type="dxa" w:w="137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Tier</w:t>
            </w:r>
          </w:p>
        </w:tc>
        <w:tc>
          <w:tcPr>
            <w:tcW w:type="dxa" w:w="304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tcW w:type="dxa" w:w="205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Impact if disclosed without authorisation</w:t>
            </w:r>
          </w:p>
        </w:tc>
        <w:tc>
          <w:tcPr>
            <w:tcW w:type="dxa" w:w="328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Cypher Group examples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Public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Information approved for release to anyone, including outside the company</w:t>
            </w:r>
          </w:p>
        </w:tc>
        <w:tc>
          <w:tcPr>
            <w:tcW w:type="dxa" w:w="20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 adverse impact</w:t>
            </w:r>
          </w:p>
        </w:tc>
        <w:tc>
          <w:tcPr>
            <w:tcW w:type="dxa" w:w="32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Marketing website copy, published pricing, job advertisements, public API documentation, press releases</w:t>
            </w:r>
          </w:p>
        </w:tc>
      </w:tr>
      <w:tr>
        <w:trPr>
          <w:cantSplit/>
        </w:trPr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  <w:tc>
          <w:tcPr>
            <w:tcW w:type="dxa" w:w="30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Information intended for personnel and approved contractors, not for public release</w:t>
            </w:r>
          </w:p>
        </w:tc>
        <w:tc>
          <w:tcPr>
            <w:tcW w:type="dxa" w:w="20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Minor adverse impact; embarrassment or minor competitive disadvantage</w:t>
            </w:r>
          </w:p>
        </w:tc>
        <w:tc>
          <w:tcPr>
            <w:tcW w:type="dxa" w:w="328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Team wiki pages, org chart, internal roadmap, meeting notes, most ChatCo channels, this policy pack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Confidential</w:t>
            </w:r>
          </w:p>
        </w:tc>
        <w:tc>
          <w:tcPr>
            <w:tcW w:type="dxa" w:w="304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Information whose disclosure would cause material harm to Cypher Group, a customer or an individual</w:t>
            </w:r>
          </w:p>
        </w:tc>
        <w:tc>
          <w:tcPr>
            <w:tcW w:type="dxa" w:w="20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Material harm; contractual breach, lost customers, regulatory attention</w:t>
            </w:r>
          </w:p>
        </w:tc>
        <w:tc>
          <w:tcPr>
            <w:tcW w:type="dxa" w:w="328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Customer account data, application source code, customer contracts, employee records, support tickets, unreleased product designs</w:t>
            </w:r>
          </w:p>
        </w:tc>
      </w:tr>
      <w:tr>
        <w:trPr>
          <w:cantSplit/>
        </w:trPr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Restricted</w:t>
            </w:r>
          </w:p>
        </w:tc>
        <w:tc>
          <w:tcPr>
            <w:tcW w:type="dxa" w:w="304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most sensitive information, disclosure of which would cause severe harm; access is limited to a named list</w:t>
            </w:r>
          </w:p>
        </w:tc>
        <w:tc>
          <w:tcPr>
            <w:tcW w:type="dxa" w:w="20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Severe harm; existential business or regulatory consequence</w:t>
            </w:r>
          </w:p>
        </w:tc>
        <w:tc>
          <w:tcPr>
            <w:tcW w:type="dxa" w:w="328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PaymentsCo payment metadata, production database credentials, CloudCo root credentials, API keys and secrets, security incident records, bulk exports of customer personal data</w:t>
            </w:r>
          </w:p>
        </w:tc>
      </w:tr>
    </w:tbl>
    <w:p>
      <w:pPr>
        <w:pStyle w:val="BodyText"/>
      </w:pPr>
      <w:r>
        <w:t xml:space="preserve">4.1.2</w:t>
      </w:r>
      <w:r>
        <w:t xml:space="preserve"> </w:t>
      </w:r>
      <w:r>
        <w:rPr>
          <w:bCs/>
          <w:b/>
        </w:rPr>
        <w:t xml:space="preserve">Default classification.</w:t>
      </w:r>
      <w:r>
        <w:t xml:space="preserve"> </w:t>
      </w:r>
      <w:r>
        <w:t xml:space="preserve">Information that has not been explicitly classified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treated as</w:t>
      </w:r>
      <w:r>
        <w:t xml:space="preserve"> </w:t>
      </w:r>
      <w:r>
        <w:rPr>
          <w:bCs/>
          <w:b/>
        </w:rPr>
        <w:t xml:space="preserve">Internal</w:t>
      </w:r>
      <w:r>
        <w:t xml:space="preserve">.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treat unlabelled information as Public.</w:t>
      </w:r>
    </w:p>
    <w:p>
      <w:pPr>
        <w:pStyle w:val="BodyText"/>
      </w:pPr>
      <w:r>
        <w:t xml:space="preserve">4.1.3</w:t>
      </w:r>
      <w:r>
        <w:t xml:space="preserve"> </w:t>
      </w:r>
      <w:r>
        <w:rPr>
          <w:bCs/>
          <w:b/>
        </w:rPr>
        <w:t xml:space="preserve">Aggregation.</w:t>
      </w:r>
      <w:r>
        <w:t xml:space="preserve"> </w:t>
      </w:r>
      <w:r>
        <w:t xml:space="preserve">A collection of lower-tier records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warrant a higher classification than any individual record. A single customer's contact detail is Confidential; a full export of all 200 customer records is</w:t>
      </w:r>
      <w:r>
        <w:t xml:space="preserve"> </w:t>
      </w:r>
      <w:r>
        <w:rPr>
          <w:bCs/>
          <w:b/>
        </w:rPr>
        <w:t xml:space="preserve">Restricted</w:t>
      </w:r>
      <w:r>
        <w:t xml:space="preserve">.</w:t>
      </w:r>
    </w:p>
    <w:p>
      <w:pPr>
        <w:pStyle w:val="BodyText"/>
      </w:pPr>
      <w:r>
        <w:t xml:space="preserve">4.1.4</w:t>
      </w:r>
      <w:r>
        <w:t xml:space="preserve"> </w:t>
      </w:r>
      <w:r>
        <w:rPr>
          <w:bCs/>
          <w:b/>
        </w:rPr>
        <w:t xml:space="preserve">Payment data scope.</w:t>
      </w:r>
      <w:r>
        <w:t xml:space="preserve"> </w:t>
      </w:r>
      <w:r>
        <w:t xml:space="preserve">Cypher Group</w:t>
      </w:r>
      <w:r>
        <w:t xml:space="preserve"> </w:t>
      </w:r>
      <w:r>
        <w:rPr>
          <w:bCs/>
          <w:b/>
        </w:rPr>
        <w:t xml:space="preserve">does not store payment card numbers</w:t>
      </w:r>
      <w:r>
        <w:t xml:space="preserve">. Card data is held by PaymentsCo. Cypher Group holds</w:t>
      </w:r>
      <w:r>
        <w:t xml:space="preserve"> </w:t>
      </w:r>
      <w:r>
        <w:rPr>
          <w:bCs/>
          <w:b/>
        </w:rPr>
        <w:t xml:space="preserve">payment metadata</w:t>
      </w:r>
      <w:r>
        <w:t xml:space="preserve"> </w:t>
      </w:r>
      <w:r>
        <w:t xml:space="preserve">— amounts, dates, transaction identifiers and the customer account they relate to — which is classified</w:t>
      </w:r>
      <w:r>
        <w:t xml:space="preserve"> </w:t>
      </w:r>
      <w:r>
        <w:rPr>
          <w:bCs/>
          <w:b/>
        </w:rPr>
        <w:t xml:space="preserve">Restricted</w:t>
      </w:r>
      <w:r>
        <w:t xml:space="preserve">.</w:t>
      </w:r>
    </w:p>
    <w:bookmarkEnd w:id="86"/>
    <w:bookmarkStart w:id="87" w:name="X884bfde4efef3bb4a9524b9f570c7204bf1a791"/>
    <w:p>
      <w:pPr>
        <w:pStyle w:val="Heading3"/>
      </w:pPr>
      <w:r>
        <w:t xml:space="preserve">4.2 Handling matrix</w:t>
      </w:r>
    </w:p>
    <w:p>
      <w:pPr>
        <w:pStyle w:val="FirstParagraph"/>
      </w:pPr>
      <w:r>
        <w:t xml:space="preserve">4.2.1 Information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handled in accordance with the following matrix.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520"/>
        <w:gridCol w:w="1373"/>
        <w:gridCol w:w="1442"/>
        <w:gridCol w:w="2978"/>
        <w:gridCol w:w="2436"/>
      </w:tblGrid>
      <w:tr>
        <w:trPr>
          <w:tblHeader w:val="true"/>
          <w:tblHeader w:val="true"/>
          <w:cantSplit/>
        </w:trPr>
        <w:tc>
          <w:tcPr>
            <w:tcW w:type="dxa" w:w="152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Handling requirement</w:t>
            </w:r>
          </w:p>
        </w:tc>
        <w:tc>
          <w:tcPr>
            <w:tcW w:type="dxa" w:w="137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Public</w:t>
            </w:r>
          </w:p>
        </w:tc>
        <w:tc>
          <w:tcPr>
            <w:tcW w:type="dxa" w:w="144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Internal</w:t>
            </w:r>
          </w:p>
        </w:tc>
        <w:tc>
          <w:tcPr>
            <w:tcW w:type="dxa" w:w="297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Confidential</w:t>
            </w:r>
          </w:p>
        </w:tc>
        <w:tc>
          <w:tcPr>
            <w:tcW w:type="dxa" w:w="243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Restricted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Encryption at rest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Not required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Recommended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Encryption in transit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Recommended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storage locations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Any approved system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OfficeCo, ChatCo, approved SaaS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OfficeCo with restricted sharing, CodeCo private repositories, CloudCo production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Named approved systems only, listed by the data owner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Access basis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Open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All personnel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Role profile plus business need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Named individual list, approved by data owner and CTO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 sharing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Unrestricted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Unrestricted within personnel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Business need only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Named list only; no forwarding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External sharing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Line manager approval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owner approval plus signed NDA or contract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owner plus CTO approval plus contract with security terms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 transmission channels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Any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Company email, ChatCo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Company email, ChatCo, approved file sharing with link expiry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file sharing with expiry and named recipients only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Removable media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Discouraged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CTO approval required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Use in unapproved AI tools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Prohibited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Prohibited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Prohibited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Printing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Permitted, must not be left unattended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Prohibited without CTO approval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Minimum retention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None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 year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 contract, minimum 3 years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 contract or legal obligation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Maximum retention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Indefinite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 years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7 years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Minimum necessary, documented by data owner</w:t>
            </w:r>
          </w:p>
        </w:tc>
      </w:tr>
      <w:tr>
        <w:trPr>
          <w:cantSplit/>
        </w:trPr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Disposal method</w:t>
            </w:r>
          </w:p>
        </w:tc>
        <w:tc>
          <w:tcPr>
            <w:tcW w:type="dxa" w:w="1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Standard delete</w:t>
            </w:r>
          </w:p>
        </w:tc>
        <w:tc>
          <w:tcPr>
            <w:tcW w:type="dxa" w:w="144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Standard delete</w:t>
            </w:r>
          </w:p>
        </w:tc>
        <w:tc>
          <w:tcPr>
            <w:tcW w:type="dxa" w:w="29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Secure delete, action logged</w:t>
            </w:r>
          </w:p>
        </w:tc>
        <w:tc>
          <w:tcPr>
            <w:tcW w:type="dxa" w:w="243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Cryptographic erasure or certified destruction, certificate retained</w:t>
            </w:r>
          </w:p>
        </w:tc>
      </w:tr>
      <w:tr>
        <w:trPr>
          <w:cantSplit/>
        </w:trPr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Incident reporting on loss</w:t>
            </w:r>
          </w:p>
        </w:tc>
        <w:tc>
          <w:tcPr>
            <w:tcW w:type="dxa" w:w="1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Not required</w:t>
            </w:r>
          </w:p>
        </w:tc>
        <w:tc>
          <w:tcPr>
            <w:tcW w:type="dxa" w:w="144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Report within 24 hours</w:t>
            </w:r>
          </w:p>
        </w:tc>
        <w:tc>
          <w:tcPr>
            <w:tcW w:type="dxa" w:w="29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Report within 1 hour</w:t>
            </w:r>
          </w:p>
        </w:tc>
        <w:tc>
          <w:tcPr>
            <w:tcW w:type="dxa" w:w="243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Report immediately, SEV1 or SEV2</w:t>
            </w:r>
          </w:p>
        </w:tc>
      </w:tr>
    </w:tbl>
    <w:bookmarkEnd w:id="87"/>
    <w:bookmarkStart w:id="88" w:name="Xfd08f72e2cde252423202a386b8e8107bd92baa"/>
    <w:p>
      <w:pPr>
        <w:pStyle w:val="Heading3"/>
      </w:pPr>
      <w:r>
        <w:t xml:space="preserve">4.3 Labelling</w:t>
      </w:r>
    </w:p>
    <w:p>
      <w:pPr>
        <w:pStyle w:val="FirstParagraph"/>
      </w:pPr>
      <w:r>
        <w:t xml:space="preserve">4.3.1 Documents classified</w:t>
      </w:r>
      <w:r>
        <w:t xml:space="preserve"> </w:t>
      </w:r>
      <w:r>
        <w:rPr>
          <w:bCs/>
          <w:b/>
        </w:rPr>
        <w:t xml:space="preserve">Confidential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carry the classification in the document header or on the first page.</w:t>
      </w:r>
    </w:p>
    <w:p>
      <w:pPr>
        <w:pStyle w:val="BodyText"/>
      </w:pPr>
      <w:r>
        <w:t xml:space="preserve">4.3.2 ChatCo channels carrying Confidential or Restricted information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private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state the classification in the channel description.</w:t>
      </w:r>
    </w:p>
    <w:p>
      <w:pPr>
        <w:pStyle w:val="BodyText"/>
      </w:pPr>
      <w:r>
        <w:t xml:space="preserve">4.3.3 Email containing Restricted information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carry the classification in the subject line.</w:t>
      </w:r>
    </w:p>
    <w:p>
      <w:pPr>
        <w:pStyle w:val="BodyText"/>
      </w:pPr>
      <w:r>
        <w:t xml:space="preserve">4.3.4 Absence of a label does not lower the handling requirement; the information's actual sensitivity governs.</w:t>
      </w:r>
    </w:p>
    <w:bookmarkEnd w:id="88"/>
    <w:bookmarkStart w:id="89" w:name="X0b7e5950a95737a085c9b1689363b12af488b67"/>
    <w:p>
      <w:pPr>
        <w:pStyle w:val="Heading3"/>
      </w:pPr>
      <w:r>
        <w:t xml:space="preserve">4.4 Reclassification and declassification</w:t>
      </w:r>
    </w:p>
    <w:p>
      <w:pPr>
        <w:pStyle w:val="FirstParagraph"/>
      </w:pPr>
      <w:r>
        <w:t xml:space="preserve">4.4.1 The data owner</w:t>
      </w:r>
      <w:r>
        <w:t xml:space="preserve"> </w:t>
      </w:r>
      <w:r>
        <w:rPr>
          <w:bCs/>
          <w:b/>
        </w:rPr>
        <w:t xml:space="preserve">may</w:t>
      </w:r>
      <w:r>
        <w:t xml:space="preserve"> </w:t>
      </w:r>
      <w:r>
        <w:t xml:space="preserve">reclassify information when its sensitivity changes — for example, an unreleased product design becomes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on launch day.</w:t>
      </w:r>
    </w:p>
    <w:p>
      <w:pPr>
        <w:pStyle w:val="BodyText"/>
      </w:pPr>
      <w:r>
        <w:t xml:space="preserve">4.4.2 Reclassification of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t xml:space="preserve">information downward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require CTO approval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recorded.</w:t>
      </w:r>
    </w:p>
    <w:p>
      <w:pPr>
        <w:pStyle w:val="BodyText"/>
      </w:pPr>
      <w:r>
        <w:t xml:space="preserve">4.4.3 Reclassification does not retrospectively authorise a disclosure that breached the previous classification.</w:t>
      </w:r>
    </w:p>
    <w:bookmarkEnd w:id="89"/>
    <w:bookmarkStart w:id="90" w:name="Xa4e7b9f88e130a07883091eaa9fad99ef2ff358"/>
    <w:p>
      <w:pPr>
        <w:pStyle w:val="Heading3"/>
      </w:pPr>
      <w:r>
        <w:t xml:space="preserve">4.5 Personal data</w:t>
      </w:r>
    </w:p>
    <w:p>
      <w:pPr>
        <w:pStyle w:val="FirstParagraph"/>
      </w:pPr>
      <w:r>
        <w:t xml:space="preserve">4.5.1 Cypher Group processes a limited amount of</w:t>
      </w:r>
      <w:r>
        <w:t xml:space="preserve"> </w:t>
      </w:r>
      <w:r>
        <w:rPr>
          <w:bCs/>
          <w:b/>
        </w:rPr>
        <w:t xml:space="preserve">PII (Personally Identifiable Information)</w:t>
      </w:r>
      <w:r>
        <w:t xml:space="preserve">, principally customer contact details and employee records. All PII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classified</w:t>
      </w:r>
      <w:r>
        <w:t xml:space="preserve"> </w:t>
      </w:r>
      <w:r>
        <w:rPr>
          <w:bCs/>
          <w:b/>
        </w:rPr>
        <w:t xml:space="preserve">Confidential</w:t>
      </w:r>
      <w:r>
        <w:t xml:space="preserve"> </w:t>
      </w:r>
      <w:r>
        <w:t xml:space="preserve">as a minimum, and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t xml:space="preserve">where held in bulk.</w:t>
      </w:r>
    </w:p>
    <w:p>
      <w:pPr>
        <w:pStyle w:val="BodyText"/>
      </w:pPr>
      <w:r>
        <w:t xml:space="preserve">4.5.2 Personal data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collected and retained only where there is a defined business purpose,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deleted when that purpose ends, in accordance with the retention limits in section 4.2.</w:t>
      </w:r>
    </w:p>
    <w:p>
      <w:pPr>
        <w:pStyle w:val="BodyText"/>
      </w:pPr>
      <w:r>
        <w:t xml:space="preserve">4.5.3 Where a third party processes personal data on Cypher Group's behalf, a written</w:t>
      </w:r>
      <w:r>
        <w:t xml:space="preserve"> </w:t>
      </w:r>
      <w:r>
        <w:rPr>
          <w:bCs/>
          <w:b/>
        </w:rPr>
        <w:t xml:space="preserve">DPA (Data Processing Agreement)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in place before processing begins.</w:t>
      </w:r>
    </w:p>
    <w:p>
      <w:pPr>
        <w:pStyle w:val="BodyText"/>
      </w:pPr>
      <w:r>
        <w:t xml:space="preserve">4.5.4 Where the</w:t>
      </w:r>
      <w:r>
        <w:t xml:space="preserve"> </w:t>
      </w:r>
      <w:r>
        <w:rPr>
          <w:bCs/>
          <w:b/>
        </w:rPr>
        <w:t xml:space="preserve">GDPR (General Data Protection Regulation)</w:t>
      </w:r>
      <w:r>
        <w:t xml:space="preserve"> </w:t>
      </w:r>
      <w:r>
        <w:t xml:space="preserve">applies to a given customer or employee relationship, Cypher Group acts as a</w:t>
      </w:r>
      <w:r>
        <w:t xml:space="preserve"> </w:t>
      </w:r>
      <w:r>
        <w:rPr>
          <w:bCs/>
          <w:b/>
        </w:rPr>
        <w:t xml:space="preserve">processor</w:t>
      </w:r>
      <w:r>
        <w:t xml:space="preserve"> </w:t>
      </w:r>
      <w:r>
        <w:t xml:space="preserve">in respect of customer data and a</w:t>
      </w:r>
      <w:r>
        <w:t xml:space="preserve"> </w:t>
      </w:r>
      <w:r>
        <w:rPr>
          <w:bCs/>
          <w:b/>
        </w:rPr>
        <w:t xml:space="preserve">controller</w:t>
      </w:r>
      <w:r>
        <w:t xml:space="preserve"> </w:t>
      </w:r>
      <w:r>
        <w:t xml:space="preserve">in respect of employee data. Notification obligations arising from a personal data breach are addressed in CGI-POL-005.</w:t>
      </w:r>
    </w:p>
    <w:p>
      <w:pPr>
        <w:pStyle w:val="BodyText"/>
      </w:pPr>
      <w:r>
        <w:t xml:space="preserve">4.5.5 Requests from individuals to access, correct or delete their personal data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routed to the Head of People and Operations for employee data, or the Head of Customer Success for customer data,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acknowledged within five business days.</w:t>
      </w:r>
    </w:p>
    <w:bookmarkEnd w:id="90"/>
    <w:bookmarkEnd w:id="91"/>
    <w:bookmarkStart w:id="92" w:name="Xd4fd0ab3a53b38a665d16595efff7b549b92130"/>
    <w:p>
      <w:pPr>
        <w:pStyle w:val="Heading2"/>
      </w:pPr>
      <w:r>
        <w:t xml:space="preserve">5. Enforcement</w:t>
      </w:r>
    </w:p>
    <w:p>
      <w:pPr>
        <w:pStyle w:val="FirstParagraph"/>
      </w:pPr>
      <w:r>
        <w:t xml:space="preserve">5.1 Handling information below its required classification level is a policy</w:t>
      </w:r>
      <w:r>
        <w:t xml:space="preserve"> </w:t>
      </w:r>
      <w:r>
        <w:t xml:space="preserve">violation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reported under CGI-POL-005.</w:t>
      </w:r>
    </w:p>
    <w:p>
      <w:pPr>
        <w:pStyle w:val="BodyText"/>
      </w:pPr>
      <w:r>
        <w:t xml:space="preserve">5.2 Deliberate mislabelling of information to avoid handling requirements is a</w:t>
      </w:r>
      <w:r>
        <w:t xml:space="preserve"> </w:t>
      </w:r>
      <w:r>
        <w:t xml:space="preserve">serious violation and may result in disciplinary action up to and including</w:t>
      </w:r>
      <w:r>
        <w:t xml:space="preserve"> </w:t>
      </w:r>
      <w:r>
        <w:t xml:space="preserve">termination.</w:t>
      </w:r>
    </w:p>
    <w:p>
      <w:pPr>
        <w:pStyle w:val="BodyText"/>
      </w:pPr>
      <w:r>
        <w:t xml:space="preserve">5.3 Personnel who identify information that is misclassified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report it</w:t>
      </w:r>
      <w:r>
        <w:t xml:space="preserve"> </w:t>
      </w:r>
      <w:r>
        <w:t xml:space="preserve">to the data owner. Reporting in good faith attracts no penalty.</w:t>
      </w:r>
    </w:p>
    <w:p>
      <w:pPr>
        <w:pStyle w:val="BodyText"/>
      </w:pPr>
      <w:r>
        <w:t xml:space="preserve">5.4 Exceptions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approved in writing by the CTO and the relevant data</w:t>
      </w:r>
      <w:r>
        <w:t xml:space="preserve"> </w:t>
      </w:r>
      <w:r>
        <w:t xml:space="preserve">owner, recorded in the Exception Register with a compensating control and an</w:t>
      </w:r>
      <w:r>
        <w:t xml:space="preserve"> </w:t>
      </w:r>
      <w:r>
        <w:t xml:space="preserve">expiry date not exceeding 12 months.</w:t>
      </w:r>
    </w:p>
    <w:bookmarkEnd w:id="92"/>
    <w:bookmarkStart w:id="93" w:name="X51dc324122cf80d9186ff0ec06f29eeb323d9e2"/>
    <w:p>
      <w:pPr>
        <w:pStyle w:val="Heading2"/>
      </w:pPr>
      <w:r>
        <w:t xml:space="preserve">6. Review cadence</w:t>
      </w:r>
    </w:p>
    <w:p>
      <w:pPr>
        <w:pStyle w:val="FirstParagraph"/>
      </w:pPr>
      <w:r>
        <w:t xml:space="preserve">6.1 This policy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 annually, and additionally upon any new</w:t>
      </w:r>
      <w:r>
        <w:t xml:space="preserve"> </w:t>
      </w:r>
      <w:r>
        <w:t xml:space="preserve">customer contractual data commitment, any new category of data being processed,</w:t>
      </w:r>
      <w:r>
        <w:t xml:space="preserve"> </w:t>
      </w:r>
      <w:r>
        <w:t xml:space="preserve">or any change in applicable data protection law.</w:t>
      </w:r>
    </w:p>
    <w:p>
      <w:pPr>
        <w:pStyle w:val="BodyText"/>
      </w:pPr>
      <w:r>
        <w:t xml:space="preserve">6.2 Data owners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confirm annually that the classification of information</w:t>
      </w:r>
      <w:r>
        <w:t xml:space="preserve"> </w:t>
      </w:r>
      <w:r>
        <w:t xml:space="preserve">in their domain remains correct, and this confirmation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retained as</w:t>
      </w:r>
      <w:r>
        <w:t xml:space="preserve"> </w:t>
      </w:r>
      <w:r>
        <w:t xml:space="preserve">evidence.</w:t>
      </w:r>
    </w:p>
    <w:bookmarkEnd w:id="93"/>
    <w:bookmarkStart w:id="94" w:name="X82712971dc690a959a3defee59647cdab99ff1e"/>
    <w:p>
      <w:pPr>
        <w:pStyle w:val="Heading2"/>
      </w:pPr>
      <w:r>
        <w:t xml:space="preserve">7. Framework mapping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185"/>
        <w:gridCol w:w="4346"/>
        <w:gridCol w:w="2218"/>
      </w:tblGrid>
      <w:tr>
        <w:trPr>
          <w:tblHeader w:val="true"/>
          <w:tblHeader w:val="true"/>
          <w:cantSplit/>
        </w:trPr>
        <w:tc>
          <w:tcPr>
            <w:tcW w:type="dxa" w:w="318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Policy section</w:t>
            </w:r>
          </w:p>
        </w:tc>
        <w:tc>
          <w:tcPr>
            <w:tcW w:type="dxa" w:w="434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ISO/IEC 27001:2022 Annex A</w:t>
            </w:r>
          </w:p>
        </w:tc>
        <w:tc>
          <w:tcPr>
            <w:tcW w:type="dxa" w:w="221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NIST CSF 2.0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4.1 Classification tiers</w:t>
            </w:r>
          </w:p>
        </w:tc>
        <w:tc>
          <w:tcPr>
            <w:tcW w:type="dxa" w:w="43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A.5.12</w:t>
            </w:r>
          </w:p>
        </w:tc>
        <w:tc>
          <w:tcPr>
            <w:tcW w:type="dxa" w:w="22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ID.AM-07</w:t>
            </w:r>
          </w:p>
        </w:tc>
      </w:tr>
      <w:tr>
        <w:trPr>
          <w:cantSplit/>
        </w:trPr>
        <w:tc>
          <w:tcPr>
            <w:tcW w:type="dxa" w:w="318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4.2 Handling matrix</w:t>
            </w:r>
          </w:p>
        </w:tc>
        <w:tc>
          <w:tcPr>
            <w:tcW w:type="dxa" w:w="43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A.5.13, A.5.14, A.8.10, A.8.11, A.8.24</w:t>
            </w:r>
          </w:p>
        </w:tc>
        <w:tc>
          <w:tcPr>
            <w:tcW w:type="dxa" w:w="221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PR.DS-01, PR.DS-02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4.3 Labelling</w:t>
            </w:r>
          </w:p>
        </w:tc>
        <w:tc>
          <w:tcPr>
            <w:tcW w:type="dxa" w:w="43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A.5.13</w:t>
            </w:r>
          </w:p>
        </w:tc>
        <w:tc>
          <w:tcPr>
            <w:tcW w:type="dxa" w:w="22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ID.AM-07</w:t>
            </w:r>
          </w:p>
        </w:tc>
      </w:tr>
      <w:tr>
        <w:trPr>
          <w:cantSplit/>
        </w:trPr>
        <w:tc>
          <w:tcPr>
            <w:tcW w:type="dxa" w:w="318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4.4 Reclassification</w:t>
            </w:r>
          </w:p>
        </w:tc>
        <w:tc>
          <w:tcPr>
            <w:tcW w:type="dxa" w:w="43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A.5.12</w:t>
            </w:r>
          </w:p>
        </w:tc>
        <w:tc>
          <w:tcPr>
            <w:tcW w:type="dxa" w:w="221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ID.AM-07</w:t>
            </w:r>
          </w:p>
        </w:tc>
      </w:tr>
      <w:tr>
        <w:trPr>
          <w:cantSplit/>
        </w:trPr>
        <w:tc>
          <w:tcPr>
            <w:tcW w:type="dxa" w:w="31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4.5 Personal data</w:t>
            </w:r>
          </w:p>
        </w:tc>
        <w:tc>
          <w:tcPr>
            <w:tcW w:type="dxa" w:w="434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A.5.34, A.5.33</w:t>
            </w:r>
          </w:p>
        </w:tc>
        <w:tc>
          <w:tcPr>
            <w:tcW w:type="dxa" w:w="221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GV.PO-01, PR.DS-01</w:t>
            </w:r>
          </w:p>
        </w:tc>
      </w:tr>
      <w:tr>
        <w:trPr>
          <w:cantSplit/>
        </w:trPr>
        <w:tc>
          <w:tcPr>
            <w:tcW w:type="dxa" w:w="318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Retention and disposal</w:t>
            </w:r>
          </w:p>
        </w:tc>
        <w:tc>
          <w:tcPr>
            <w:tcW w:type="dxa" w:w="434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A.5.33, A.8.10</w:t>
            </w:r>
          </w:p>
        </w:tc>
        <w:tc>
          <w:tcPr>
            <w:tcW w:type="dxa" w:w="221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PR.DS-01</w:t>
            </w:r>
          </w:p>
        </w:tc>
      </w:tr>
    </w:tbl>
    <w:bookmarkEnd w:id="94"/>
    <w:bookmarkStart w:id="95" w:name="X112cdeccb6238ca349f278bf91b70ad6dcefad9"/>
    <w:p>
      <w:pPr>
        <w:pStyle w:val="Heading2"/>
      </w:pPr>
      <w:r>
        <w:t xml:space="preserve">8. Definitions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855"/>
        <w:gridCol w:w="7896"/>
      </w:tblGrid>
      <w:tr>
        <w:trPr>
          <w:tblHeader w:val="true"/>
          <w:tblHeader w:val="true"/>
          <w:cantSplit/>
        </w:trPr>
        <w:tc>
          <w:tcPr>
            <w:tcW w:type="dxa" w:w="185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Term</w:t>
            </w:r>
          </w:p>
        </w:tc>
        <w:tc>
          <w:tcPr>
            <w:tcW w:type="dxa" w:w="789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1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</w:t>
            </w:r>
          </w:p>
        </w:tc>
        <w:tc>
          <w:tcPr>
            <w:tcW w:type="dxa" w:w="7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assignment of information to a defined sensitivity tier</w:t>
            </w:r>
          </w:p>
        </w:tc>
      </w:tr>
      <w:tr>
        <w:trPr>
          <w:cantSplit/>
        </w:trPr>
        <w:tc>
          <w:tcPr>
            <w:tcW w:type="dxa" w:w="18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owner</w:t>
            </w:r>
          </w:p>
        </w:tc>
        <w:tc>
          <w:tcPr>
            <w:tcW w:type="dxa" w:w="7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accountable individual for a category of information, who approves its classification and its sharing</w:t>
            </w:r>
          </w:p>
        </w:tc>
      </w:tr>
      <w:tr>
        <w:trPr>
          <w:cantSplit/>
        </w:trPr>
        <w:tc>
          <w:tcPr>
            <w:tcW w:type="dxa" w:w="1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PII</w:t>
            </w:r>
          </w:p>
        </w:tc>
        <w:tc>
          <w:tcPr>
            <w:tcW w:type="dxa" w:w="7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Personally Identifiable Information: data that identifies or can identify a living individual</w:t>
            </w:r>
          </w:p>
        </w:tc>
      </w:tr>
      <w:tr>
        <w:trPr>
          <w:cantSplit/>
        </w:trPr>
        <w:tc>
          <w:tcPr>
            <w:tcW w:type="dxa" w:w="18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Payment metadata</w:t>
            </w:r>
          </w:p>
        </w:tc>
        <w:tc>
          <w:tcPr>
            <w:tcW w:type="dxa" w:w="7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about a transaction — amount, date, identifier, associated account — excluding card numbers</w:t>
            </w:r>
          </w:p>
        </w:tc>
      </w:tr>
      <w:tr>
        <w:trPr>
          <w:cantSplit/>
        </w:trPr>
        <w:tc>
          <w:tcPr>
            <w:tcW w:type="dxa" w:w="1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Aggregation</w:t>
            </w:r>
          </w:p>
        </w:tc>
        <w:tc>
          <w:tcPr>
            <w:tcW w:type="dxa" w:w="7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principle that a collection of records may be more sensitive than any single record</w:t>
            </w:r>
          </w:p>
        </w:tc>
      </w:tr>
      <w:tr>
        <w:trPr>
          <w:cantSplit/>
        </w:trPr>
        <w:tc>
          <w:tcPr>
            <w:tcW w:type="dxa" w:w="18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DPA</w:t>
            </w:r>
          </w:p>
        </w:tc>
        <w:tc>
          <w:tcPr>
            <w:tcW w:type="dxa" w:w="7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Data Processing Agreement: the contract required where a third party processes personal data on your behalf</w:t>
            </w:r>
          </w:p>
        </w:tc>
      </w:tr>
      <w:tr>
        <w:trPr>
          <w:cantSplit/>
        </w:trPr>
        <w:tc>
          <w:tcPr>
            <w:tcW w:type="dxa" w:w="18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Controller and processor</w:t>
            </w:r>
          </w:p>
        </w:tc>
        <w:tc>
          <w:tcPr>
            <w:tcW w:type="dxa" w:w="78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Under GDPR, the party deciding why and how personal data is processed, and the party processing it on their instructions</w:t>
            </w:r>
          </w:p>
        </w:tc>
      </w:tr>
      <w:tr>
        <w:trPr>
          <w:cantSplit/>
        </w:trPr>
        <w:tc>
          <w:tcPr>
            <w:tcW w:type="dxa" w:w="18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Cryptographic erasure</w:t>
            </w:r>
          </w:p>
        </w:tc>
        <w:tc>
          <w:tcPr>
            <w:tcW w:type="dxa" w:w="78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Rendering data unrecoverable by destroying the encryption key rather than the data itself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3" w:name="cgi-pol-005--incident-reporting-policy"/>
    <w:p>
      <w:pPr>
        <w:pStyle w:val="Heading1"/>
        <w:pageBreakBefore/>
      </w:pPr>
      <w:r>
        <w:t xml:space="preserve">CGI-POL-005 — Incident Reporting Policy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376"/>
        <w:gridCol w:w="6374"/>
      </w:tblGrid>
      <w:tr>
        <w:trPr>
          <w:tblHeader w:val="true"/>
          <w:tblHeader w:val="true"/>
          <w:cantSplit/>
        </w:trPr>
        <w:tc>
          <w:tcPr>
            <w:tcW w:type="dxa" w:w="337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Field</w:t>
            </w:r>
          </w:p>
        </w:tc>
        <w:tc>
          <w:tcPr>
            <w:tcW w:type="dxa" w:w="637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Document ID</w:t>
            </w:r>
          </w:p>
        </w:tc>
        <w:tc>
          <w:tcPr>
            <w:tcW w:type="dxa" w:w="6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CGI-POL-005</w:t>
            </w:r>
          </w:p>
        </w:tc>
      </w:tr>
      <w:tr>
        <w:trPr>
          <w:cantSplit/>
        </w:trPr>
        <w:tc>
          <w:tcPr>
            <w:tcW w:type="dxa" w:w="3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Version</w:t>
            </w:r>
          </w:p>
        </w:tc>
        <w:tc>
          <w:tcPr>
            <w:tcW w:type="dxa" w:w="6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Classification</w:t>
            </w:r>
          </w:p>
        </w:tc>
        <w:tc>
          <w:tcPr>
            <w:tcW w:type="dxa" w:w="6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Internal</w:t>
            </w:r>
          </w:p>
        </w:tc>
      </w:tr>
      <w:tr>
        <w:trPr>
          <w:cantSplit/>
        </w:trPr>
        <w:tc>
          <w:tcPr>
            <w:tcW w:type="dxa" w:w="3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Policy owner</w:t>
            </w:r>
          </w:p>
        </w:tc>
        <w:tc>
          <w:tcPr>
            <w:tcW w:type="dxa" w:w="6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Raman, Chief Technology Officer</w:t>
            </w:r>
          </w:p>
        </w:tc>
      </w:tr>
      <w:tr>
        <w:trPr>
          <w:cantSplit/>
        </w:trPr>
        <w:tc>
          <w:tcPr>
            <w:tcW w:type="dxa" w:w="3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Approved by</w:t>
            </w:r>
          </w:p>
        </w:tc>
        <w:tc>
          <w:tcPr>
            <w:tcW w:type="dxa" w:w="6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Olugboye, Chief Executive Officer</w:t>
            </w:r>
          </w:p>
        </w:tc>
      </w:tr>
      <w:tr>
        <w:trPr>
          <w:cantSplit/>
        </w:trPr>
        <w:tc>
          <w:tcPr>
            <w:tcW w:type="dxa" w:w="3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Approval date</w:t>
            </w:r>
          </w:p>
        </w:tc>
        <w:tc>
          <w:tcPr>
            <w:tcW w:type="dxa" w:w="6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2026</w:t>
            </w:r>
          </w:p>
        </w:tc>
      </w:tr>
      <w:tr>
        <w:trPr>
          <w:cantSplit/>
        </w:trPr>
        <w:tc>
          <w:tcPr>
            <w:tcW w:type="dxa" w:w="3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Effective date</w:t>
            </w:r>
          </w:p>
        </w:tc>
        <w:tc>
          <w:tcPr>
            <w:tcW w:type="dxa" w:w="6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September 2026</w:t>
            </w:r>
          </w:p>
        </w:tc>
      </w:tr>
      <w:tr>
        <w:trPr>
          <w:cantSplit/>
        </w:trPr>
        <w:tc>
          <w:tcPr>
            <w:tcW w:type="dxa" w:w="3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Review cadence</w:t>
            </w:r>
          </w:p>
        </w:tc>
        <w:tc>
          <w:tcPr>
            <w:tcW w:type="dxa" w:w="6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Annually, and after every SEV1 or SEV2 incident</w:t>
            </w:r>
          </w:p>
        </w:tc>
      </w:tr>
      <w:tr>
        <w:trPr>
          <w:cantSplit/>
        </w:trPr>
        <w:tc>
          <w:tcPr>
            <w:tcW w:type="dxa" w:w="33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Next review due</w:t>
            </w:r>
          </w:p>
        </w:tc>
        <w:tc>
          <w:tcPr>
            <w:tcW w:type="dxa" w:w="637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01 September 2027</w:t>
            </w:r>
          </w:p>
        </w:tc>
      </w:tr>
      <w:tr>
        <w:trPr>
          <w:cantSplit/>
        </w:trPr>
        <w:tc>
          <w:tcPr>
            <w:tcW w:type="dxa" w:w="337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Employee sign-off</w:t>
            </w:r>
          </w:p>
        </w:tc>
        <w:tc>
          <w:tcPr>
            <w:tcW w:type="dxa" w:w="637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Required</w:t>
            </w:r>
          </w:p>
        </w:tc>
      </w:tr>
    </w:tbl>
    <w:bookmarkStart w:id="97" w:name="version-history-4"/>
    <w:p>
      <w:pPr>
        <w:pStyle w:val="Heading3"/>
      </w:pPr>
      <w:r>
        <w:t xml:space="preserve">Version history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177"/>
        <w:gridCol w:w="1370"/>
        <w:gridCol w:w="1009"/>
        <w:gridCol w:w="4849"/>
        <w:gridCol w:w="1345"/>
      </w:tblGrid>
      <w:tr>
        <w:trPr>
          <w:tblHeader w:val="true"/>
          <w:tblHeader w:val="true"/>
          <w:cantSplit/>
        </w:trPr>
        <w:tc>
          <w:tcPr>
            <w:tcW w:type="dxa" w:w="117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tcW w:type="dxa" w:w="137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tcW w:type="dxa" w:w="100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Author</w:t>
            </w:r>
          </w:p>
        </w:tc>
        <w:tc>
          <w:tcPr>
            <w:tcW w:type="dxa" w:w="484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Summary of change</w:t>
            </w:r>
          </w:p>
        </w:tc>
        <w:tc>
          <w:tcPr>
            <w:tcW w:type="dxa" w:w="134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7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>
            <w:tcW w:type="dxa" w:w="13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2026-09-01</w:t>
            </w:r>
          </w:p>
        </w:tc>
        <w:tc>
          <w:tcPr>
            <w:tcW w:type="dxa" w:w="100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O.S</w:t>
            </w:r>
          </w:p>
        </w:tc>
        <w:tc>
          <w:tcPr>
            <w:tcW w:type="dxa" w:w="48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Initial issue. Aligned to NIST SP 800-61 Rev. 3 and NIST CSF 2.0.</w:t>
            </w:r>
          </w:p>
        </w:tc>
        <w:tc>
          <w:tcPr>
            <w:tcW w:type="dxa" w:w="134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Jerry Olugboye</w:t>
            </w:r>
          </w:p>
        </w:tc>
      </w:tr>
    </w:tbl>
    <w:bookmarkEnd w:id="97"/>
    <w:bookmarkStart w:id="98" w:name="X75b8c4ac40a6c4a3a45245c204790f2b766df69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The single largest factor in how badly a security incident hurts a company is</w:t>
      </w:r>
      <w:r>
        <w:t xml:space="preserve"> </w:t>
      </w:r>
      <w:r>
        <w:rPr>
          <w:bCs/>
          <w:b/>
        </w:rPr>
        <w:t xml:space="preserve">how quickly it is reported</w:t>
      </w:r>
      <w:r>
        <w:t xml:space="preserve">. This policy tells every person at Cypher Group</w:t>
      </w:r>
      <w:r>
        <w:t xml:space="preserve"> </w:t>
      </w:r>
      <w:r>
        <w:t xml:space="preserve">what to report, who to tell, how fast, and what happens next — and it commits the</w:t>
      </w:r>
      <w:r>
        <w:t xml:space="preserve"> </w:t>
      </w:r>
      <w:r>
        <w:t xml:space="preserve">company to treating good-faith reporting as helpful rather than punishable.</w:t>
      </w:r>
    </w:p>
    <w:p>
      <w:pPr>
        <w:pStyle w:val="BodyText"/>
      </w:pPr>
      <w:r>
        <w:t xml:space="preserve">The incident response approach is aligned to</w:t>
      </w:r>
      <w:r>
        <w:t xml:space="preserve"> </w:t>
      </w:r>
      <w:r>
        <w:rPr>
          <w:bCs/>
          <w:b/>
        </w:rPr>
        <w:t xml:space="preserve">NIST SP 800-61 Rev. 3, Incident</w:t>
      </w:r>
      <w:r>
        <w:rPr>
          <w:bCs/>
          <w:b/>
        </w:rPr>
        <w:t xml:space="preserve"> </w:t>
      </w:r>
      <w:r>
        <w:rPr>
          <w:bCs/>
          <w:b/>
        </w:rPr>
        <w:t xml:space="preserve">Response Recommendations and Considerations for Cybersecurity Risk Management</w:t>
      </w:r>
      <w:r>
        <w:t xml:space="preserve"> </w:t>
      </w:r>
      <w:r>
        <w:t xml:space="preserve">(published April 2025), which frames incident response around the NIST</w:t>
      </w:r>
      <w:r>
        <w:t xml:space="preserve"> </w:t>
      </w:r>
      <w:r>
        <w:t xml:space="preserve">Cybersecurity Framework 2.0 functions — Govern, Identify, Protect, Detect,</w:t>
      </w:r>
      <w:r>
        <w:t xml:space="preserve"> </w:t>
      </w:r>
      <w:r>
        <w:t xml:space="preserve">Respond and Recover — rather than a standalone lifecycle.</w:t>
      </w:r>
    </w:p>
    <w:bookmarkEnd w:id="98"/>
    <w:bookmarkStart w:id="99" w:name="X4182b31ec62f7f377cbb69c02f2b3bbb8f81b3d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personnel and to all suspected or confirmed security</w:t>
      </w:r>
      <w:r>
        <w:t xml:space="preserve"> </w:t>
      </w:r>
      <w:r>
        <w:t xml:space="preserve">events affecting Cypher Group systems, information, customers or personnel,</w:t>
      </w:r>
      <w:r>
        <w:t xml:space="preserve"> </w:t>
      </w:r>
      <w:r>
        <w:t xml:space="preserve">including events originating at a third-party supplier.</w:t>
      </w:r>
    </w:p>
    <w:p>
      <w:pPr>
        <w:pStyle w:val="BodyText"/>
      </w:pPr>
      <w:r>
        <w:t xml:space="preserve">Reporting obligations under this policy apply</w:t>
      </w:r>
      <w:r>
        <w:t xml:space="preserve"> </w:t>
      </w:r>
      <w:r>
        <w:rPr>
          <w:bCs/>
          <w:b/>
        </w:rPr>
        <w:t xml:space="preserve">24 hours a day</w:t>
      </w:r>
      <w:r>
        <w:t xml:space="preserve">, including</w:t>
      </w:r>
      <w:r>
        <w:t xml:space="preserve"> </w:t>
      </w:r>
      <w:r>
        <w:t xml:space="preserve">outside working hours.</w:t>
      </w:r>
    </w:p>
    <w:bookmarkEnd w:id="99"/>
    <w:bookmarkStart w:id="100" w:name="X72b9660d679cdda7cdaf4e9add6415ba93bdf26"/>
    <w:p>
      <w:pPr>
        <w:pStyle w:val="Heading2"/>
      </w:pPr>
      <w:r>
        <w:t xml:space="preserve">3. Definitions — know the difference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075"/>
        <w:gridCol w:w="5396"/>
        <w:gridCol w:w="3279"/>
      </w:tblGrid>
      <w:tr>
        <w:trPr>
          <w:tblHeader w:val="true"/>
          <w:tblHeader w:val="true"/>
          <w:cantSplit/>
        </w:trPr>
        <w:tc>
          <w:tcPr>
            <w:tcW w:type="dxa" w:w="107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Term</w:t>
            </w:r>
          </w:p>
        </w:tc>
        <w:tc>
          <w:tcPr>
            <w:tcW w:type="dxa" w:w="539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tcW w:type="dxa" w:w="327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Example at Cypher Group</w:t>
            </w:r>
          </w:p>
        </w:tc>
      </w:tr>
      <w:tr>
        <w:trPr>
          <w:cantSplit/>
        </w:trPr>
        <w:tc>
          <w:tcPr>
            <w:tcW w:type="dxa" w:w="10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Security event</w:t>
            </w:r>
          </w:p>
        </w:tc>
        <w:tc>
          <w:tcPr>
            <w:tcW w:type="dxa" w:w="53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Any observable occurrence that may have security relevance</w:t>
            </w:r>
          </w:p>
        </w:tc>
        <w:tc>
          <w:tcPr>
            <w:tcW w:type="dxa" w:w="3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 failed login alert; an unexpected MFA prompt</w:t>
            </w:r>
          </w:p>
        </w:tc>
      </w:tr>
      <w:tr>
        <w:trPr>
          <w:cantSplit/>
        </w:trPr>
        <w:tc>
          <w:tcPr>
            <w:tcW w:type="dxa" w:w="10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Security incident</w:t>
            </w:r>
          </w:p>
        </w:tc>
        <w:tc>
          <w:tcPr>
            <w:tcW w:type="dxa" w:w="53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event that actually or potentially compromises confidentiality, integrity or availability</w:t>
            </w:r>
          </w:p>
        </w:tc>
        <w:tc>
          <w:tcPr>
            <w:tcW w:type="dxa" w:w="3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employee's Google account is accessed from an unrecognised country</w:t>
            </w:r>
          </w:p>
        </w:tc>
      </w:tr>
      <w:tr>
        <w:trPr>
          <w:cantSplit/>
        </w:trPr>
        <w:tc>
          <w:tcPr>
            <w:tcW w:type="dxa" w:w="107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Personal data breach</w:t>
            </w:r>
          </w:p>
        </w:tc>
        <w:tc>
          <w:tcPr>
            <w:tcW w:type="dxa" w:w="539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incident leading to accidental or unlawful destruction, loss, alteration, or unauthorised disclosure of, or access to, personal data</w:t>
            </w:r>
          </w:p>
        </w:tc>
        <w:tc>
          <w:tcPr>
            <w:tcW w:type="dxa" w:w="327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Customer contact export emailed to the wrong recipient</w:t>
            </w:r>
          </w:p>
        </w:tc>
      </w:tr>
      <w:tr>
        <w:trPr>
          <w:cantSplit/>
        </w:trPr>
        <w:tc>
          <w:tcPr>
            <w:tcW w:type="dxa" w:w="107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Near miss</w:t>
            </w:r>
          </w:p>
        </w:tc>
        <w:tc>
          <w:tcPr>
            <w:tcW w:type="dxa" w:w="539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event that could have become an incident but did not</w:t>
            </w:r>
          </w:p>
        </w:tc>
        <w:tc>
          <w:tcPr>
            <w:tcW w:type="dxa" w:w="327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 employee spots and reports a phishing email before clicking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Every breach is an incident. Not every incident is a breach.</w:t>
      </w:r>
      <w:r>
        <w:t xml:space="preserve"> </w:t>
      </w:r>
      <w:r>
        <w:t xml:space="preserve">Getting this</w:t>
      </w:r>
      <w:r>
        <w:t xml:space="preserve"> </w:t>
      </w:r>
      <w:r>
        <w:t xml:space="preserve">distinction right matters, because breach status triggers external legal and</w:t>
      </w:r>
      <w:r>
        <w:t xml:space="preserve"> </w:t>
      </w:r>
      <w:r>
        <w:t xml:space="preserve">contractual notification obligations that an ordinary incident does not.</w:t>
      </w:r>
    </w:p>
    <w:bookmarkEnd w:id="100"/>
    <w:bookmarkStart w:id="101" w:name="Xd988756df54e11a8e09fedd20b5e0b4141604d9"/>
    <w:p>
      <w:pPr>
        <w:pStyle w:val="Heading2"/>
      </w:pPr>
      <w:r>
        <w:t xml:space="preserve">4. Roles and responsibilities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823"/>
        <w:gridCol w:w="5927"/>
      </w:tblGrid>
      <w:tr>
        <w:trPr>
          <w:tblHeader w:val="true"/>
          <w:tblHeader w:val="true"/>
          <w:cantSplit/>
        </w:trPr>
        <w:tc>
          <w:tcPr>
            <w:tcW w:type="dxa" w:w="382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Role</w:t>
            </w:r>
          </w:p>
        </w:tc>
        <w:tc>
          <w:tcPr>
            <w:tcW w:type="dxa" w:w="592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All personnel</w:t>
            </w:r>
          </w:p>
        </w:tc>
        <w:tc>
          <w:tcPr>
            <w:tcW w:type="dxa" w:w="59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Report promptly; preserve evidence; do not investigate independently</w:t>
            </w:r>
          </w:p>
        </w:tc>
      </w:tr>
      <w:tr>
        <w:trPr>
          <w:cantSplit/>
        </w:trPr>
        <w:tc>
          <w:tcPr>
            <w:tcW w:type="dxa" w:w="38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Incident Commander (default: CTO)</w:t>
            </w:r>
          </w:p>
        </w:tc>
        <w:tc>
          <w:tcPr>
            <w:tcW w:type="dxa" w:w="59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Declares the incident and its severity; directs the response; decides on escalation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Technical Lead (IT Operations Manager)</w:t>
            </w:r>
          </w:p>
        </w:tc>
        <w:tc>
          <w:tcPr>
            <w:tcW w:type="dxa" w:w="59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Performs containment, eradication and recovery actions</w:t>
            </w:r>
          </w:p>
        </w:tc>
      </w:tr>
      <w:tr>
        <w:trPr>
          <w:cantSplit/>
        </w:trPr>
        <w:tc>
          <w:tcPr>
            <w:tcW w:type="dxa" w:w="38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Communications Lead (Head of Customer Success)</w:t>
            </w:r>
          </w:p>
        </w:tc>
        <w:tc>
          <w:tcPr>
            <w:tcW w:type="dxa" w:w="59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Owns all customer and external communication</w:t>
            </w:r>
          </w:p>
        </w:tc>
      </w:tr>
      <w:tr>
        <w:trPr>
          <w:cantSplit/>
        </w:trPr>
        <w:tc>
          <w:tcPr>
            <w:tcW w:type="dxa" w:w="38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Legal and Privacy Lead (CEO, with external counsel)</w:t>
            </w:r>
          </w:p>
        </w:tc>
        <w:tc>
          <w:tcPr>
            <w:tcW w:type="dxa" w:w="59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Determines regulatory notification obligations</w:t>
            </w:r>
          </w:p>
        </w:tc>
      </w:tr>
      <w:tr>
        <w:trPr>
          <w:cantSplit/>
        </w:trPr>
        <w:tc>
          <w:tcPr>
            <w:tcW w:type="dxa" w:w="38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Scribe (assigned at declaration)</w:t>
            </w:r>
          </w:p>
        </w:tc>
        <w:tc>
          <w:tcPr>
            <w:tcW w:type="dxa" w:w="59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Maintains the incident timeline and decision log</w:t>
            </w:r>
          </w:p>
        </w:tc>
      </w:tr>
    </w:tbl>
    <w:bookmarkEnd w:id="101"/>
    <w:bookmarkStart w:id="109" w:name="Xb5fceab99e8baaed889776b5a012b89fc03c6bc"/>
    <w:p>
      <w:pPr>
        <w:pStyle w:val="Heading2"/>
      </w:pPr>
      <w:r>
        <w:t xml:space="preserve">5. Policy statements</w:t>
      </w:r>
    </w:p>
    <w:bookmarkStart w:id="102" w:name="Xdf516ea35785335c9612fb3a57e01f013ac97e0"/>
    <w:p>
      <w:pPr>
        <w:pStyle w:val="Heading3"/>
      </w:pPr>
      <w:r>
        <w:t xml:space="preserve">5.1 What must be reported</w:t>
      </w:r>
    </w:p>
    <w:p>
      <w:pPr>
        <w:pStyle w:val="FirstParagraph"/>
      </w:pPr>
      <w:r>
        <w:t xml:space="preserve">5.1.1 Personnel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report any of the following immediately:</w:t>
      </w:r>
    </w:p>
    <w:p>
      <w:pPr>
        <w:numPr>
          <w:ilvl w:val="0"/>
          <w:numId w:val="1003"/>
        </w:numPr>
        <w:pStyle w:val="Compact"/>
      </w:pPr>
      <w:r>
        <w:t xml:space="preserve">Clicking a link, opening an attachment, or entering credentials in response to a suspected phishing message</w:t>
      </w:r>
    </w:p>
    <w:p>
      <w:pPr>
        <w:numPr>
          <w:ilvl w:val="0"/>
          <w:numId w:val="1003"/>
        </w:numPr>
        <w:pStyle w:val="Compact"/>
      </w:pPr>
      <w:r>
        <w:t xml:space="preserve">Loss or theft of any device used for Cypher Group work</w:t>
      </w:r>
    </w:p>
    <w:p>
      <w:pPr>
        <w:numPr>
          <w:ilvl w:val="0"/>
          <w:numId w:val="1003"/>
        </w:numPr>
        <w:pStyle w:val="Compact"/>
      </w:pPr>
      <w:r>
        <w:t xml:space="preserve">An MFA prompt the individual did not initiate</w:t>
      </w:r>
    </w:p>
    <w:p>
      <w:pPr>
        <w:numPr>
          <w:ilvl w:val="0"/>
          <w:numId w:val="1003"/>
        </w:numPr>
        <w:pStyle w:val="Compact"/>
      </w:pPr>
      <w:r>
        <w:t xml:space="preserve">A notification that an account has been accessed from an unfamiliar location or device</w:t>
      </w:r>
    </w:p>
    <w:p>
      <w:pPr>
        <w:numPr>
          <w:ilvl w:val="0"/>
          <w:numId w:val="1003"/>
        </w:numPr>
        <w:pStyle w:val="Compact"/>
      </w:pPr>
      <w:r>
        <w:t xml:space="preserve">Accidental disclosure of information to the wrong recipient, including a misaddressed email or a wrongly shared file</w:t>
      </w:r>
    </w:p>
    <w:p>
      <w:pPr>
        <w:numPr>
          <w:ilvl w:val="0"/>
          <w:numId w:val="1003"/>
        </w:numPr>
        <w:pStyle w:val="Compact"/>
      </w:pPr>
      <w:r>
        <w:t xml:space="preserve">Discovery of a credential, API key or secret in source code, a document or a message</w:t>
      </w:r>
    </w:p>
    <w:p>
      <w:pPr>
        <w:numPr>
          <w:ilvl w:val="0"/>
          <w:numId w:val="1003"/>
        </w:numPr>
        <w:pStyle w:val="Compact"/>
      </w:pPr>
      <w:r>
        <w:t xml:space="preserve">Unexpected system behaviour suggesting compromise, such as unexplained changes, missing data or new accounts</w:t>
      </w:r>
    </w:p>
    <w:p>
      <w:pPr>
        <w:numPr>
          <w:ilvl w:val="0"/>
          <w:numId w:val="1003"/>
        </w:numPr>
        <w:pStyle w:val="Compact"/>
      </w:pPr>
      <w:r>
        <w:t xml:space="preserve">Notification from a supplier, customer or external party of a security issue affecting Cypher Group</w:t>
      </w:r>
    </w:p>
    <w:p>
      <w:pPr>
        <w:numPr>
          <w:ilvl w:val="0"/>
          <w:numId w:val="1003"/>
        </w:numPr>
        <w:pStyle w:val="Compact"/>
      </w:pPr>
      <w:r>
        <w:t xml:space="preserve">Any suspected violation of CGI-POL-001 to CGI-POL-004</w:t>
      </w:r>
    </w:p>
    <w:p>
      <w:pPr>
        <w:numPr>
          <w:ilvl w:val="0"/>
          <w:numId w:val="1003"/>
        </w:numPr>
        <w:pStyle w:val="Compact"/>
      </w:pPr>
      <w:r>
        <w:t xml:space="preserve">Any near miss</w:t>
      </w:r>
    </w:p>
    <w:p>
      <w:pPr>
        <w:pStyle w:val="FirstParagraph"/>
      </w:pPr>
      <w:r>
        <w:t xml:space="preserve">5.1.2</w:t>
      </w:r>
      <w:r>
        <w:t xml:space="preserve"> </w:t>
      </w:r>
      <w:r>
        <w:rPr>
          <w:bCs/>
          <w:b/>
        </w:rPr>
        <w:t xml:space="preserve">If in doubt, report.</w:t>
      </w:r>
      <w:r>
        <w:t xml:space="preserve"> </w:t>
      </w:r>
      <w:r>
        <w:t xml:space="preserve">Personnel are never penalised for reporting something that turns out to be benign.</w:t>
      </w:r>
    </w:p>
    <w:bookmarkEnd w:id="102"/>
    <w:bookmarkStart w:id="103" w:name="X4ff02bc424a40a1db0f374ae16f01526eee3697"/>
    <w:p>
      <w:pPr>
        <w:pStyle w:val="Heading3"/>
      </w:pPr>
      <w:r>
        <w:t xml:space="preserve">5.2 How and when to report</w:t>
      </w:r>
    </w:p>
    <w:p>
      <w:pPr>
        <w:pStyle w:val="FirstParagraph"/>
      </w:pPr>
      <w:r>
        <w:t xml:space="preserve">5.2.1 Reports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made through one of the following channels, whichever is fastest: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390"/>
        <w:gridCol w:w="5249"/>
        <w:gridCol w:w="3111"/>
      </w:tblGrid>
      <w:tr>
        <w:trPr>
          <w:tblHeader w:val="true"/>
          <w:tblHeader w:val="true"/>
          <w:cantSplit/>
        </w:trPr>
        <w:tc>
          <w:tcPr>
            <w:tcW w:type="dxa" w:w="139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Channel</w:t>
            </w:r>
          </w:p>
        </w:tc>
        <w:tc>
          <w:tcPr>
            <w:tcW w:type="dxa" w:w="524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Detail</w:t>
            </w:r>
          </w:p>
        </w:tc>
        <w:tc>
          <w:tcPr>
            <w:tcW w:type="dxa" w:w="311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Availability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ChatCo</w:t>
            </w:r>
          </w:p>
        </w:tc>
        <w:tc>
          <w:tcPr>
            <w:tcW w:type="dxa" w:w="52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The private channel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#security-incidents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24 hours, monitored with alerting</w:t>
            </w:r>
          </w:p>
        </w:tc>
      </w:tr>
      <w:tr>
        <w:trPr>
          <w:cantSplit/>
        </w:trPr>
        <w:tc>
          <w:tcPr>
            <w:tcW w:type="dxa" w:w="139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Email</w:t>
            </w:r>
          </w:p>
        </w:tc>
        <w:tc>
          <w:tcPr>
            <w:tcW w:type="dxa" w:w="524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Style w:val="VerbatimChar"/>
                <w:sz w:val="17"/>
              </w:rPr>
              <w:t xml:space="preserve">security@cyphergroup.example</w:t>
            </w:r>
          </w:p>
        </w:tc>
        <w:tc>
          <w:tcPr>
            <w:tcW w:type="dxa" w:w="311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24 hours, alerts to the CTO</w:t>
            </w:r>
          </w:p>
        </w:tc>
      </w:tr>
      <w:tr>
        <w:trPr>
          <w:cantSplit/>
        </w:trPr>
        <w:tc>
          <w:tcPr>
            <w:tcW w:type="dxa" w:w="139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Direct</w:t>
            </w:r>
          </w:p>
        </w:tc>
        <w:tc>
          <w:tcPr>
            <w:tcW w:type="dxa" w:w="524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Priya Raman, CTO, or Tomas Whitfield, IT Operations Manager</w:t>
            </w:r>
          </w:p>
        </w:tc>
        <w:tc>
          <w:tcPr>
            <w:tcW w:type="dxa" w:w="311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24 hours for urgent matters</w:t>
            </w:r>
          </w:p>
        </w:tc>
      </w:tr>
    </w:tbl>
    <w:p>
      <w:pPr>
        <w:pStyle w:val="BodyText"/>
      </w:pPr>
      <w:r>
        <w:t xml:space="preserve">5.2.2 Reports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made</w:t>
      </w:r>
      <w:r>
        <w:t xml:space="preserve"> </w:t>
      </w:r>
      <w:r>
        <w:rPr>
          <w:bCs/>
          <w:b/>
        </w:rPr>
        <w:t xml:space="preserve">immediately on becoming aware</w:t>
      </w:r>
      <w:r>
        <w:t xml:space="preserve">, and in any case within</w:t>
      </w:r>
      <w:r>
        <w:t xml:space="preserve"> </w:t>
      </w:r>
      <w:r>
        <w:rPr>
          <w:bCs/>
          <w:b/>
        </w:rPr>
        <w:t xml:space="preserve">one hour</w:t>
      </w:r>
      <w:r>
        <w:t xml:space="preserve">.</w:t>
      </w:r>
    </w:p>
    <w:p>
      <w:pPr>
        <w:pStyle w:val="BodyText"/>
      </w:pPr>
      <w:r>
        <w:t xml:space="preserve">5.2.3 A report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include, as far as known: what happened, when it was noticed, which systems or data are involved, what the reporter has already done, and how the reporter can be contacted.</w:t>
      </w:r>
    </w:p>
    <w:p>
      <w:pPr>
        <w:pStyle w:val="BodyText"/>
      </w:pPr>
      <w:r>
        <w:t xml:space="preserve">5.2.4 An incomplete report made quickly is preferred to a complete report made slowly.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delay reporting in order to gather more detail.</w:t>
      </w:r>
    </w:p>
    <w:bookmarkEnd w:id="103"/>
    <w:bookmarkStart w:id="104" w:name="Xe04328f53f809bd2dab08c3323783dadd7b1ce0"/>
    <w:p>
      <w:pPr>
        <w:pStyle w:val="Heading3"/>
      </w:pPr>
      <w:r>
        <w:t xml:space="preserve">5.3 What personnel must not do</w:t>
      </w:r>
    </w:p>
    <w:p>
      <w:pPr>
        <w:pStyle w:val="FirstParagraph"/>
      </w:pPr>
      <w:r>
        <w:t xml:space="preserve">5.3.1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attempt to investigate, remediate or "test" a suspected incident themselves.</w:t>
      </w:r>
    </w:p>
    <w:p>
      <w:pPr>
        <w:pStyle w:val="BodyText"/>
      </w:pPr>
      <w:r>
        <w:t xml:space="preserve">5.3.2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delete emails, files, messages or logs relating to a suspected incident. Evidence preservation is essential.</w:t>
      </w:r>
    </w:p>
    <w:p>
      <w:pPr>
        <w:pStyle w:val="BodyText"/>
      </w:pPr>
      <w:r>
        <w:t xml:space="preserve">5.3.3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discuss a suspected or confirmed incident with anyone outside the response team, including customers, on social media, or in public ChatCo channels, until the Communications Lead authorises it.</w:t>
      </w:r>
    </w:p>
    <w:p>
      <w:pPr>
        <w:pStyle w:val="BodyText"/>
      </w:pPr>
      <w:r>
        <w:t xml:space="preserve">5.3.4 Personnel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contact the suspected attacker or reply to an extortion demand.</w:t>
      </w:r>
    </w:p>
    <w:bookmarkEnd w:id="104"/>
    <w:bookmarkStart w:id="105" w:name="Xebbb23a3463e5931dc53756c0be240dbff9d836"/>
    <w:p>
      <w:pPr>
        <w:pStyle w:val="Heading3"/>
      </w:pPr>
      <w:r>
        <w:t xml:space="preserve">5.4 Severity classification and response targets</w:t>
      </w:r>
    </w:p>
    <w:p>
      <w:pPr>
        <w:pStyle w:val="FirstParagraph"/>
      </w:pPr>
      <w:r>
        <w:t xml:space="preserve">5.4.1 The Incident Commander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assign a severity within</w:t>
      </w:r>
      <w:r>
        <w:t xml:space="preserve"> </w:t>
      </w:r>
      <w:r>
        <w:rPr>
          <w:bCs/>
          <w:b/>
        </w:rPr>
        <w:t xml:space="preserve">30 minutes</w:t>
      </w:r>
      <w:r>
        <w:t xml:space="preserve"> </w:t>
      </w:r>
      <w:r>
        <w:t xml:space="preserve">of an incident being declared.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159"/>
        <w:gridCol w:w="1943"/>
        <w:gridCol w:w="1926"/>
        <w:gridCol w:w="1800"/>
        <w:gridCol w:w="1520"/>
        <w:gridCol w:w="1400"/>
      </w:tblGrid>
      <w:tr>
        <w:trPr>
          <w:tblHeader w:val="true"/>
          <w:tblHeader w:val="true"/>
          <w:cantSplit/>
        </w:trPr>
        <w:tc>
          <w:tcPr>
            <w:tcW w:type="dxa" w:w="116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tcW w:type="dxa" w:w="194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tcW w:type="dxa" w:w="192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Examples</w:t>
            </w:r>
          </w:p>
        </w:tc>
        <w:tc>
          <w:tcPr>
            <w:tcW w:type="dxa" w:w="180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Target acknowledgement</w:t>
            </w:r>
          </w:p>
        </w:tc>
        <w:tc>
          <w:tcPr>
            <w:tcW w:type="dxa" w:w="152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Target containment</w:t>
            </w:r>
          </w:p>
        </w:tc>
        <w:tc>
          <w:tcPr>
            <w:tcW w:type="dxa" w:w="140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Escalation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SEV1</w:t>
            </w:r>
          </w:p>
        </w:tc>
        <w:tc>
          <w:tcPr>
            <w:tcW w:type="dxa" w:w="19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Confirmed compromise of production, customer data or Restricted information; or full service outage</w:t>
            </w:r>
          </w:p>
        </w:tc>
        <w:tc>
          <w:tcPr>
            <w:tcW w:type="dxa" w:w="19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Production database accessed by an unauthorised party; ransomware; bulk customer data exfiltration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15 minutes</w:t>
            </w:r>
          </w:p>
        </w:tc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 hours</w:t>
            </w:r>
          </w:p>
        </w:tc>
        <w:tc>
          <w:tcPr>
            <w:tcW w:type="dxa" w:w="14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CEO and Board immediately</w:t>
            </w:r>
          </w:p>
        </w:tc>
      </w:tr>
      <w:tr>
        <w:trPr>
          <w:cantSplit/>
        </w:trPr>
        <w:tc>
          <w:tcPr>
            <w:tcW w:type="dxa" w:w="11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SEV2</w:t>
            </w:r>
          </w:p>
        </w:tc>
        <w:tc>
          <w:tcPr>
            <w:tcW w:type="dxa" w:w="194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Probable compromise with contained scope; or significant service degradation</w:t>
            </w:r>
          </w:p>
        </w:tc>
        <w:tc>
          <w:tcPr>
            <w:tcW w:type="dxa" w:w="192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Single employee account confirmed compromised; customer data emailed to wrong recipient</w:t>
            </w:r>
          </w:p>
        </w:tc>
        <w:tc>
          <w:tcPr>
            <w:tcW w:type="dxa" w:w="18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30 minutes</w:t>
            </w:r>
          </w:p>
        </w:tc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8 hours</w:t>
            </w:r>
          </w:p>
        </w:tc>
        <w:tc>
          <w:tcPr>
            <w:tcW w:type="dxa" w:w="140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CEO within 1 hour</w:t>
            </w:r>
          </w:p>
        </w:tc>
      </w:tr>
      <w:tr>
        <w:trPr>
          <w:cantSplit/>
        </w:trPr>
        <w:tc>
          <w:tcPr>
            <w:tcW w:type="dxa" w:w="11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SEV3</w:t>
            </w:r>
          </w:p>
        </w:tc>
        <w:tc>
          <w:tcPr>
            <w:tcW w:type="dxa" w:w="194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Security issue with limited impact and no confirmed data exposure</w:t>
            </w:r>
          </w:p>
        </w:tc>
        <w:tc>
          <w:tcPr>
            <w:tcW w:type="dxa" w:w="192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Phishing link clicked with no credentials entered; lost device with encryption enabled</w:t>
            </w:r>
          </w:p>
        </w:tc>
        <w:tc>
          <w:tcPr>
            <w:tcW w:type="dxa" w:w="180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4 hours</w:t>
            </w:r>
          </w:p>
        </w:tc>
        <w:tc>
          <w:tcPr>
            <w:tcW w:type="dxa" w:w="152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2 business days</w:t>
            </w:r>
          </w:p>
        </w:tc>
        <w:tc>
          <w:tcPr>
            <w:tcW w:type="dxa" w:w="140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CTO</w:t>
            </w:r>
          </w:p>
        </w:tc>
      </w:tr>
      <w:tr>
        <w:trPr>
          <w:cantSplit/>
        </w:trPr>
        <w:tc>
          <w:tcPr>
            <w:tcW w:type="dxa" w:w="11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SEV4</w:t>
            </w:r>
          </w:p>
        </w:tc>
        <w:tc>
          <w:tcPr>
            <w:tcW w:type="dxa" w:w="194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Minor issue, near miss, or policy violation with no impact</w:t>
            </w:r>
          </w:p>
        </w:tc>
        <w:tc>
          <w:tcPr>
            <w:tcW w:type="dxa" w:w="192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Reported phishing email, not clicked; misconfigured ChatCo channel corrected</w:t>
            </w:r>
          </w:p>
        </w:tc>
        <w:tc>
          <w:tcPr>
            <w:tcW w:type="dxa" w:w="180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1 business day</w:t>
            </w:r>
          </w:p>
        </w:tc>
        <w:tc>
          <w:tcPr>
            <w:tcW w:type="dxa" w:w="152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 business days</w:t>
            </w:r>
          </w:p>
        </w:tc>
        <w:tc>
          <w:tcPr>
            <w:tcW w:type="dxa" w:w="140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IT Operations Manager</w:t>
            </w:r>
          </w:p>
        </w:tc>
      </w:tr>
    </w:tbl>
    <w:bookmarkEnd w:id="105"/>
    <w:bookmarkStart w:id="106" w:name="Xe755048242e9dc7f63084917627d40f53367220"/>
    <w:p>
      <w:pPr>
        <w:pStyle w:val="Heading3"/>
      </w:pPr>
      <w:r>
        <w:t xml:space="preserve">5.5 Response process</w:t>
      </w:r>
    </w:p>
    <w:p>
      <w:pPr>
        <w:pStyle w:val="FirstParagraph"/>
      </w:pPr>
      <w:r>
        <w:t xml:space="preserve">5.5.1 The response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follow this sequence, with the Scribe recording a timestamped entry at each stage: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1728"/>
        <w:gridCol w:w="6468"/>
        <w:gridCol w:w="1554"/>
      </w:tblGrid>
      <w:tr>
        <w:trPr>
          <w:tblHeader w:val="true"/>
          <w:tblHeader w:val="true"/>
          <w:cantSplit/>
        </w:trPr>
        <w:tc>
          <w:tcPr>
            <w:tcW w:type="dxa" w:w="172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Stage</w:t>
            </w:r>
          </w:p>
        </w:tc>
        <w:tc>
          <w:tcPr>
            <w:tcW w:type="dxa" w:w="646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What happens</w:t>
            </w:r>
          </w:p>
        </w:tc>
        <w:tc>
          <w:tcPr>
            <w:tcW w:type="dxa" w:w="155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CSF 2.0 function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Detect and report</w:t>
            </w:r>
          </w:p>
        </w:tc>
        <w:tc>
          <w:tcPr>
            <w:tcW w:type="dxa" w:w="64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Event observed and reported through a channel in 5.2.1</w:t>
            </w:r>
          </w:p>
        </w:tc>
        <w:tc>
          <w:tcPr>
            <w:tcW w:type="dxa" w:w="15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Detect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Triage and declare</w:t>
            </w:r>
          </w:p>
        </w:tc>
        <w:tc>
          <w:tcPr>
            <w:tcW w:type="dxa" w:w="64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Incident Commander confirms, assigns severity, assembles the team</w:t>
            </w:r>
          </w:p>
        </w:tc>
        <w:tc>
          <w:tcPr>
            <w:tcW w:type="dxa" w:w="15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Respond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Contain</w:t>
            </w:r>
          </w:p>
        </w:tc>
        <w:tc>
          <w:tcPr>
            <w:tcW w:type="dxa" w:w="64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Stop the harm spreading: disable accounts, rotate credentials, isolate systems</w:t>
            </w:r>
          </w:p>
        </w:tc>
        <w:tc>
          <w:tcPr>
            <w:tcW w:type="dxa" w:w="15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Respond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Analyse</w:t>
            </w:r>
          </w:p>
        </w:tc>
        <w:tc>
          <w:tcPr>
            <w:tcW w:type="dxa" w:w="64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Determine scope, root cause, and what data or systems were affected</w:t>
            </w:r>
          </w:p>
        </w:tc>
        <w:tc>
          <w:tcPr>
            <w:tcW w:type="dxa" w:w="15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Respond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Eradicate</w:t>
            </w:r>
          </w:p>
        </w:tc>
        <w:tc>
          <w:tcPr>
            <w:tcW w:type="dxa" w:w="64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Remove the cause: close the vulnerability, remove attacker access</w:t>
            </w:r>
          </w:p>
        </w:tc>
        <w:tc>
          <w:tcPr>
            <w:tcW w:type="dxa" w:w="15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Respond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Recover</w:t>
            </w:r>
          </w:p>
        </w:tc>
        <w:tc>
          <w:tcPr>
            <w:tcW w:type="dxa" w:w="64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Restore normal service and verify integrity</w:t>
            </w:r>
          </w:p>
        </w:tc>
        <w:tc>
          <w:tcPr>
            <w:tcW w:type="dxa" w:w="15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Recover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Notify</w:t>
            </w:r>
          </w:p>
        </w:tc>
        <w:tc>
          <w:tcPr>
            <w:tcW w:type="dxa" w:w="64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Execute customer, contractual and regulatory notifications per 5.6</w:t>
            </w:r>
          </w:p>
        </w:tc>
        <w:tc>
          <w:tcPr>
            <w:tcW w:type="dxa" w:w="155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Respond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Review</w:t>
            </w:r>
          </w:p>
        </w:tc>
        <w:tc>
          <w:tcPr>
            <w:tcW w:type="dxa" w:w="64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Blameless post-incident review and corrective actions per 5.7</w:t>
            </w:r>
          </w:p>
        </w:tc>
        <w:tc>
          <w:tcPr>
            <w:tcW w:type="dxa" w:w="155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Govern, Identify</w:t>
            </w:r>
          </w:p>
        </w:tc>
      </w:tr>
    </w:tbl>
    <w:p>
      <w:pPr>
        <w:pStyle w:val="BodyText"/>
      </w:pPr>
      <w:r>
        <w:t xml:space="preserve">5.5.2 Containment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take precedence over evidence preservation where there is an active, ongoing compromise. The Incident Commander makes that call and records the reasoning.</w:t>
      </w:r>
    </w:p>
    <w:bookmarkEnd w:id="106"/>
    <w:bookmarkStart w:id="107" w:name="X92dd3ccf7eaab76ec2459e8d31abe71b46f4be3"/>
    <w:p>
      <w:pPr>
        <w:pStyle w:val="Heading3"/>
      </w:pPr>
      <w:r>
        <w:t xml:space="preserve">5.6 External notification</w:t>
      </w:r>
    </w:p>
    <w:p>
      <w:pPr>
        <w:pStyle w:val="FirstParagraph"/>
      </w:pPr>
      <w:r>
        <w:t xml:space="preserve">5.6.1 All external communication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issued by the Communications Lead. No other person is authorised to communicate externally about an incident.</w:t>
      </w:r>
    </w:p>
    <w:p>
      <w:pPr>
        <w:pStyle w:val="BodyText"/>
      </w:pPr>
      <w:r>
        <w:t xml:space="preserve">5.6.2</w:t>
      </w:r>
      <w:r>
        <w:t xml:space="preserve"> </w:t>
      </w:r>
      <w:r>
        <w:rPr>
          <w:bCs/>
          <w:b/>
        </w:rPr>
        <w:t xml:space="preserve">Customer notification.</w:t>
      </w:r>
      <w:r>
        <w:t xml:space="preserve"> </w:t>
      </w:r>
      <w:r>
        <w:t xml:space="preserve">Where an incident affects customer data or service, affected customers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notified in accordance with their contractual terms. Where no contractual term specifies otherwise, Cypher Group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notify affected customers within</w:t>
      </w:r>
      <w:r>
        <w:t xml:space="preserve"> </w:t>
      </w:r>
      <w:r>
        <w:rPr>
          <w:bCs/>
          <w:b/>
        </w:rPr>
        <w:t xml:space="preserve">72 hours</w:t>
      </w:r>
      <w:r>
        <w:t xml:space="preserve"> </w:t>
      </w:r>
      <w:r>
        <w:t xml:space="preserve">of confirming impact.</w:t>
      </w:r>
    </w:p>
    <w:p>
      <w:pPr>
        <w:pStyle w:val="BodyText"/>
      </w:pPr>
      <w:r>
        <w:t xml:space="preserve">5.6.3</w:t>
      </w:r>
      <w:r>
        <w:t xml:space="preserve"> </w:t>
      </w:r>
      <w:r>
        <w:rPr>
          <w:bCs/>
          <w:b/>
        </w:rPr>
        <w:t xml:space="preserve">Regulatory notification.</w:t>
      </w:r>
      <w:r>
        <w:t xml:space="preserve"> </w:t>
      </w:r>
      <w:r>
        <w:t xml:space="preserve">Where the incident constitutes a personal data breach and the GDPR applies, notification to the relevant supervisory authority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made</w:t>
      </w:r>
      <w:r>
        <w:t xml:space="preserve"> </w:t>
      </w:r>
      <w:r>
        <w:rPr>
          <w:bCs/>
          <w:b/>
        </w:rPr>
        <w:t xml:space="preserve">without undue delay and where feasible within 72 hours</w:t>
      </w:r>
      <w:r>
        <w:t xml:space="preserve"> </w:t>
      </w:r>
      <w:r>
        <w:t xml:space="preserve">of becoming aware, unless the breach is unlikely to result in a risk to individuals. Where the breach is likely to result in a</w:t>
      </w:r>
      <w:r>
        <w:t xml:space="preserve"> </w:t>
      </w:r>
      <w:r>
        <w:rPr>
          <w:bCs/>
          <w:b/>
        </w:rPr>
        <w:t xml:space="preserve">high risk</w:t>
      </w:r>
      <w:r>
        <w:t xml:space="preserve"> </w:t>
      </w:r>
      <w:r>
        <w:t xml:space="preserve">to individuals, those individuals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also be notified without undue delay. The Legal and Privacy Lead, with external counsel, makes this determination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engineer who found the issue.</w:t>
      </w:r>
    </w:p>
    <w:p>
      <w:pPr>
        <w:pStyle w:val="BodyText"/>
      </w:pPr>
      <w:r>
        <w:t xml:space="preserve">5.6.4 The 72-hour clock starts at the point of</w:t>
      </w:r>
      <w:r>
        <w:t xml:space="preserve"> </w:t>
      </w:r>
      <w:r>
        <w:rPr>
          <w:bCs/>
          <w:b/>
        </w:rPr>
        <w:t xml:space="preserve">awareness</w:t>
      </w:r>
      <w:r>
        <w:t xml:space="preserve">, not at the point of full understanding. Notification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be delayed to complete the investigation; a partial notification followed by an update is the expected approach.</w:t>
      </w:r>
    </w:p>
    <w:bookmarkEnd w:id="107"/>
    <w:bookmarkStart w:id="108" w:name="Xc0dafd43e8c0dd5e64e58564e97403d64b79990"/>
    <w:p>
      <w:pPr>
        <w:pStyle w:val="Heading3"/>
      </w:pPr>
      <w:r>
        <w:t xml:space="preserve">5.7 Post-incident review</w:t>
      </w:r>
    </w:p>
    <w:p>
      <w:pPr>
        <w:pStyle w:val="FirstParagraph"/>
      </w:pPr>
      <w:r>
        <w:t xml:space="preserve">5.7.1 A post-incident review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held within</w:t>
      </w:r>
      <w:r>
        <w:t xml:space="preserve"> </w:t>
      </w:r>
      <w:r>
        <w:rPr>
          <w:bCs/>
          <w:b/>
        </w:rPr>
        <w:t xml:space="preserve">five business days</w:t>
      </w:r>
      <w:r>
        <w:t xml:space="preserve"> </w:t>
      </w:r>
      <w:r>
        <w:t xml:space="preserve">for every SEV1 and SEV2 incident, and within 15 business days for SEV3.</w:t>
      </w:r>
    </w:p>
    <w:p>
      <w:pPr>
        <w:pStyle w:val="BodyText"/>
      </w:pPr>
      <w:r>
        <w:t xml:space="preserve">5.7.2 The review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blameless</w:t>
      </w:r>
      <w:r>
        <w:t xml:space="preserve">. Its purpose is to identify the systemic conditions that allowed the incident, not to identify a person to hold responsible. A review that produces "the employee should have been more careful" as its root cause has failed.</w:t>
      </w:r>
    </w:p>
    <w:p>
      <w:pPr>
        <w:pStyle w:val="BodyText"/>
      </w:pPr>
      <w:r>
        <w:t xml:space="preserve">5.7.3 The review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produce: a timeline, a root cause analysis, a list of corrective actions with named owners and due dates, and an assessment of whether any policy in this pack requires amendment.</w:t>
      </w:r>
    </w:p>
    <w:p>
      <w:pPr>
        <w:pStyle w:val="BodyText"/>
      </w:pPr>
      <w:r>
        <w:t xml:space="preserve">5.7.4 Corrective actions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tracked to completion and verified by the CTO.</w:t>
      </w:r>
    </w:p>
    <w:p>
      <w:pPr>
        <w:pStyle w:val="BodyText"/>
      </w:pPr>
      <w:r>
        <w:t xml:space="preserve">5.7.5 An incident register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maintained recording every incident, its severity, dates, root cause and closure status, and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retained for a minimum of</w:t>
      </w:r>
      <w:r>
        <w:t xml:space="preserve"> </w:t>
      </w:r>
      <w:r>
        <w:rPr>
          <w:bCs/>
          <w:b/>
        </w:rPr>
        <w:t xml:space="preserve">three years</w:t>
      </w:r>
      <w:r>
        <w:t xml:space="preserve">.</w:t>
      </w:r>
    </w:p>
    <w:bookmarkEnd w:id="108"/>
    <w:bookmarkEnd w:id="109"/>
    <w:bookmarkStart w:id="110" w:name="X4b85cecd04355912e227d4d8bc2f6a75eb0c21a"/>
    <w:p>
      <w:pPr>
        <w:pStyle w:val="Heading2"/>
      </w:pPr>
      <w:r>
        <w:t xml:space="preserve">6. Enforcement and non-retaliation</w:t>
      </w:r>
    </w:p>
    <w:p>
      <w:pPr>
        <w:pStyle w:val="FirstParagraph"/>
      </w:pPr>
      <w:r>
        <w:t xml:space="preserve">6.1</w:t>
      </w:r>
      <w:r>
        <w:t xml:space="preserve"> </w:t>
      </w:r>
      <w:r>
        <w:rPr>
          <w:bCs/>
          <w:b/>
        </w:rPr>
        <w:t xml:space="preserve">Non-retaliation.</w:t>
      </w:r>
      <w:r>
        <w:t xml:space="preserve"> </w:t>
      </w:r>
      <w:r>
        <w:t xml:space="preserve">Cypher Group</w:t>
      </w:r>
      <w:r>
        <w:t xml:space="preserve"> </w:t>
      </w:r>
      <w:r>
        <w:rPr>
          <w:bCs/>
          <w:b/>
        </w:rPr>
        <w:t xml:space="preserve">shall not</w:t>
      </w:r>
      <w:r>
        <w:t xml:space="preserve"> </w:t>
      </w:r>
      <w:r>
        <w:t xml:space="preserve">take disciplinary action</w:t>
      </w:r>
      <w:r>
        <w:t xml:space="preserve"> </w:t>
      </w:r>
      <w:r>
        <w:t xml:space="preserve">against any individual for reporting a security incident in good faith, including</w:t>
      </w:r>
      <w:r>
        <w:t xml:space="preserve"> </w:t>
      </w:r>
      <w:r>
        <w:t xml:space="preserve">where that individual caused it. This commitment is deliberate and is more</w:t>
      </w:r>
      <w:r>
        <w:t xml:space="preserve"> </w:t>
      </w:r>
      <w:r>
        <w:t xml:space="preserve">valuable to the company than any deterrent effect discipline might have, because</w:t>
      </w:r>
      <w:r>
        <w:t xml:space="preserve"> </w:t>
      </w:r>
      <w:r>
        <w:t xml:space="preserve">concealed incidents are far more damaging than reported ones.</w:t>
      </w:r>
    </w:p>
    <w:p>
      <w:pPr>
        <w:pStyle w:val="BodyText"/>
      </w:pPr>
      <w:r>
        <w:t xml:space="preserve">6.2 Failure to report a known incident, deliberate concealment, or obstruction of</w:t>
      </w:r>
      <w:r>
        <w:t xml:space="preserve"> </w:t>
      </w:r>
      <w:r>
        <w:t xml:space="preserve">an investigation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disciplinary matter and may result in action up to and</w:t>
      </w:r>
      <w:r>
        <w:t xml:space="preserve"> </w:t>
      </w:r>
      <w:r>
        <w:t xml:space="preserve">including termination.</w:t>
      </w:r>
    </w:p>
    <w:p>
      <w:pPr>
        <w:pStyle w:val="BodyText"/>
      </w:pPr>
      <w:r>
        <w:t xml:space="preserve">6.3 The protection in 6.1 does not extend to deliberate malicious acts.</w:t>
      </w:r>
    </w:p>
    <w:bookmarkEnd w:id="110"/>
    <w:bookmarkStart w:id="111" w:name="Xeed60be797b85f609b65bcd69c7557420e28a87"/>
    <w:p>
      <w:pPr>
        <w:pStyle w:val="Heading2"/>
      </w:pPr>
      <w:r>
        <w:t xml:space="preserve">7. Review cadence</w:t>
      </w:r>
    </w:p>
    <w:p>
      <w:pPr>
        <w:pStyle w:val="FirstParagraph"/>
      </w:pPr>
      <w:r>
        <w:t xml:space="preserve">7.1 This policy</w:t>
      </w:r>
      <w:r>
        <w:t xml:space="preserve"> </w:t>
      </w:r>
      <w:r>
        <w:rPr>
          <w:bCs/>
          <w:b/>
        </w:rPr>
        <w:t xml:space="preserve">shall</w:t>
      </w:r>
      <w:r>
        <w:t xml:space="preserve"> </w:t>
      </w:r>
      <w:r>
        <w:t xml:space="preserve">be reviewed annually, and additionally after every SEV1</w:t>
      </w:r>
      <w:r>
        <w:t xml:space="preserve"> </w:t>
      </w:r>
      <w:r>
        <w:t xml:space="preserve">or SEV2 incident, and after every incident response exercise.</w:t>
      </w:r>
    </w:p>
    <w:p>
      <w:pPr>
        <w:pStyle w:val="BodyText"/>
      </w:pPr>
      <w:r>
        <w:t xml:space="preserve">7.2 A</w:t>
      </w:r>
      <w:r>
        <w:t xml:space="preserve"> </w:t>
      </w:r>
      <w:r>
        <w:rPr>
          <w:bCs/>
          <w:b/>
        </w:rPr>
        <w:t xml:space="preserve">tabletop incident response exercise shall be conducted at least</w:t>
      </w:r>
      <w:r>
        <w:rPr>
          <w:bCs/>
          <w:b/>
        </w:rPr>
        <w:t xml:space="preserve"> </w:t>
      </w:r>
      <w:r>
        <w:rPr>
          <w:bCs/>
          <w:b/>
        </w:rPr>
        <w:t xml:space="preserve">annually</w:t>
      </w:r>
      <w:r>
        <w:t xml:space="preserve">, and its findings fed into the next review of this policy.</w:t>
      </w:r>
    </w:p>
    <w:bookmarkEnd w:id="111"/>
    <w:bookmarkStart w:id="112" w:name="Xc616398cb10214b69401268e4bc6a464e0a623f"/>
    <w:p>
      <w:pPr>
        <w:pStyle w:val="Heading2"/>
      </w:pPr>
      <w:r>
        <w:t xml:space="preserve">8. Framework mapping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3859"/>
        <w:gridCol w:w="3078"/>
        <w:gridCol w:w="2813"/>
      </w:tblGrid>
      <w:tr>
        <w:trPr>
          <w:tblHeader w:val="true"/>
          <w:tblHeader w:val="true"/>
          <w:cantSplit/>
        </w:trPr>
        <w:tc>
          <w:tcPr>
            <w:tcW w:type="dxa" w:w="386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Policy section</w:t>
            </w:r>
          </w:p>
        </w:tc>
        <w:tc>
          <w:tcPr>
            <w:tcW w:type="dxa" w:w="307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ISO/IEC 27001:2022 Annex A</w:t>
            </w:r>
          </w:p>
        </w:tc>
        <w:tc>
          <w:tcPr>
            <w:tcW w:type="dxa" w:w="281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NIST CSF 2.0</w:t>
            </w:r>
          </w:p>
        </w:tc>
      </w:tr>
      <w:tr>
        <w:trPr>
          <w:cantSplit/>
        </w:trPr>
        <w:tc>
          <w:tcPr>
            <w:tcW w:type="dxa" w:w="38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5.1 What to report</w:t>
            </w:r>
          </w:p>
        </w:tc>
        <w:tc>
          <w:tcPr>
            <w:tcW w:type="dxa" w:w="30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A.6.8</w:t>
            </w:r>
          </w:p>
        </w:tc>
        <w:tc>
          <w:tcPr>
            <w:tcW w:type="dxa" w:w="28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DE.AE-02, RS.MA-01</w:t>
            </w:r>
          </w:p>
        </w:tc>
      </w:tr>
      <w:tr>
        <w:trPr>
          <w:cantSplit/>
        </w:trPr>
        <w:tc>
          <w:tcPr>
            <w:tcW w:type="dxa" w:w="38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5.2 How and when</w:t>
            </w:r>
          </w:p>
        </w:tc>
        <w:tc>
          <w:tcPr>
            <w:tcW w:type="dxa" w:w="30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A.5.24, A.6.8</w:t>
            </w:r>
          </w:p>
        </w:tc>
        <w:tc>
          <w:tcPr>
            <w:tcW w:type="dxa" w:w="28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RS.MA-01</w:t>
            </w:r>
          </w:p>
        </w:tc>
      </w:tr>
      <w:tr>
        <w:trPr>
          <w:cantSplit/>
        </w:trPr>
        <w:tc>
          <w:tcPr>
            <w:tcW w:type="dxa" w:w="38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5.3 Evidence preservation</w:t>
            </w:r>
          </w:p>
        </w:tc>
        <w:tc>
          <w:tcPr>
            <w:tcW w:type="dxa" w:w="30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A.5.28</w:t>
            </w:r>
          </w:p>
        </w:tc>
        <w:tc>
          <w:tcPr>
            <w:tcW w:type="dxa" w:w="28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RS.AN-07</w:t>
            </w:r>
          </w:p>
        </w:tc>
      </w:tr>
      <w:tr>
        <w:trPr>
          <w:cantSplit/>
        </w:trPr>
        <w:tc>
          <w:tcPr>
            <w:tcW w:type="dxa" w:w="38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5.4 Severity classification</w:t>
            </w:r>
          </w:p>
        </w:tc>
        <w:tc>
          <w:tcPr>
            <w:tcW w:type="dxa" w:w="30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A.5.25</w:t>
            </w:r>
          </w:p>
        </w:tc>
        <w:tc>
          <w:tcPr>
            <w:tcW w:type="dxa" w:w="28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RS.MA-03</w:t>
            </w:r>
          </w:p>
        </w:tc>
      </w:tr>
      <w:tr>
        <w:trPr>
          <w:cantSplit/>
        </w:trPr>
        <w:tc>
          <w:tcPr>
            <w:tcW w:type="dxa" w:w="38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5.5 Response process</w:t>
            </w:r>
          </w:p>
        </w:tc>
        <w:tc>
          <w:tcPr>
            <w:tcW w:type="dxa" w:w="30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A.5.26</w:t>
            </w:r>
          </w:p>
        </w:tc>
        <w:tc>
          <w:tcPr>
            <w:tcW w:type="dxa" w:w="28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RS.MA, RS.AN, RC.RP</w:t>
            </w:r>
          </w:p>
        </w:tc>
      </w:tr>
      <w:tr>
        <w:trPr>
          <w:cantSplit/>
        </w:trPr>
        <w:tc>
          <w:tcPr>
            <w:tcW w:type="dxa" w:w="38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5.6 External notification</w:t>
            </w:r>
          </w:p>
        </w:tc>
        <w:tc>
          <w:tcPr>
            <w:tcW w:type="dxa" w:w="30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A.5.24, A.5.34, A.6.8</w:t>
            </w:r>
          </w:p>
        </w:tc>
        <w:tc>
          <w:tcPr>
            <w:tcW w:type="dxa" w:w="28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RS.CO-02, RS.CO-03</w:t>
            </w:r>
          </w:p>
        </w:tc>
      </w:tr>
      <w:tr>
        <w:trPr>
          <w:cantSplit/>
        </w:trPr>
        <w:tc>
          <w:tcPr>
            <w:tcW w:type="dxa" w:w="386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5.7 Post-incident review</w:t>
            </w:r>
          </w:p>
        </w:tc>
        <w:tc>
          <w:tcPr>
            <w:tcW w:type="dxa" w:w="307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A.5.27</w:t>
            </w:r>
          </w:p>
        </w:tc>
        <w:tc>
          <w:tcPr>
            <w:tcW w:type="dxa" w:w="281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ID.IM-03, ID.IM-04</w:t>
            </w:r>
          </w:p>
        </w:tc>
      </w:tr>
      <w:tr>
        <w:trPr>
          <w:cantSplit/>
        </w:trPr>
        <w:tc>
          <w:tcPr>
            <w:tcW w:type="dxa" w:w="386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7.2 Tabletop exercise</w:t>
            </w:r>
          </w:p>
        </w:tc>
        <w:tc>
          <w:tcPr>
            <w:tcW w:type="dxa" w:w="307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A.5.24, A.5.30</w:t>
            </w:r>
          </w:p>
        </w:tc>
        <w:tc>
          <w:tcPr>
            <w:tcW w:type="dxa" w:w="281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ID.IM-02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X250d03fabe10cf4718684c5b09bc74e9690a124"/>
    <w:p>
      <w:pPr>
        <w:pStyle w:val="Heading1"/>
        <w:pageBreakBefore/>
      </w:pPr>
      <w:r>
        <w:t xml:space="preserve">Appendix A — Consolidated framework coverage</w:t>
      </w:r>
    </w:p>
    <w:p>
      <w:pPr>
        <w:pStyle w:val="FirstParagraph"/>
      </w:pPr>
      <w:r>
        <w:t xml:space="preserve">This pack contributes to the following control areas. This mapping is what allows</w:t>
      </w:r>
      <w:r>
        <w:t xml:space="preserve"> </w:t>
      </w:r>
      <w:r>
        <w:t xml:space="preserve">one set of policies to support multiple compliance programmes simultaneously.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2124"/>
        <w:gridCol w:w="7626"/>
      </w:tblGrid>
      <w:tr>
        <w:trPr>
          <w:tblHeader w:val="true"/>
          <w:tblHeader w:val="true"/>
          <w:cantSplit/>
        </w:trPr>
        <w:tc>
          <w:tcPr>
            <w:tcW w:type="dxa" w:w="212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Framework</w:t>
            </w:r>
          </w:p>
        </w:tc>
        <w:tc>
          <w:tcPr>
            <w:tcW w:type="dxa" w:w="762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7"/>
              </w:rPr>
              <w:t xml:space="preserve">Coverage provided by this pack</w:t>
            </w:r>
          </w:p>
        </w:tc>
      </w:tr>
      <w:tr>
        <w:trPr>
          <w:cantSplit/>
        </w:trPr>
        <w:tc>
          <w:tcPr>
            <w:tcW w:type="dxa" w:w="21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ISO/IEC 27001:2022 Annex A</w:t>
            </w:r>
          </w:p>
        </w:tc>
        <w:tc>
          <w:tcPr>
            <w:tcW w:type="dxa" w:w="76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38 controls addressed in whole or in part, principally across A.5 Organisational and A.8 Technological themes</w:t>
            </w:r>
          </w:p>
        </w:tc>
      </w:tr>
      <w:tr>
        <w:trPr>
          <w:cantSplit/>
        </w:trPr>
        <w:tc>
          <w:tcPr>
            <w:tcW w:type="dxa" w:w="21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NIST CSF 2.0</w:t>
            </w:r>
          </w:p>
        </w:tc>
        <w:tc>
          <w:tcPr>
            <w:tcW w:type="dxa" w:w="76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Contributes to GOVERN (GV.PO), PROTECT (PR.AA, PR.DS, PR.AT, PR.PS), DETECT (DE.CM, DE.AE), RESPOND (RS.MA, RS.CO, RS.AN) and RECOVER (RC.RP)</w:t>
            </w:r>
          </w:p>
        </w:tc>
      </w:tr>
      <w:tr>
        <w:trPr>
          <w:cantSplit/>
        </w:trPr>
        <w:tc>
          <w:tcPr>
            <w:tcW w:type="dxa" w:w="212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SOC 2 Trust Services Criteria</w:t>
            </w:r>
          </w:p>
        </w:tc>
        <w:tc>
          <w:tcPr>
            <w:tcW w:type="dxa" w:w="762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Supports CC1 Control Environment, CC2 Communication, CC5 Control Activities, CC6 Logical Access, CC7 System Operations, CC9 Risk Mitigation</w:t>
            </w:r>
          </w:p>
        </w:tc>
      </w:tr>
      <w:tr>
        <w:trPr>
          <w:cantSplit/>
        </w:trPr>
        <w:tc>
          <w:tcPr>
            <w:tcW w:type="dxa" w:w="212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GDPR</w:t>
            </w:r>
          </w:p>
        </w:tc>
        <w:tc>
          <w:tcPr>
            <w:tcW w:type="dxa" w:w="762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7"/>
              </w:rPr>
              <w:t xml:space="preserve">Supports Article 32 security of processing, Articles 33 and 34 breach notification, Article 5(1)(f) integrity and confidentiality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on coverage claims.</w:t>
      </w:r>
      <w:r>
        <w:t xml:space="preserve"> </w:t>
      </w:r>
      <w:r>
        <w:t xml:space="preserve">These mappings are the author's own analysis for a</w:t>
      </w:r>
      <w:r>
        <w:t xml:space="preserve"> </w:t>
      </w:r>
      <w:r>
        <w:t xml:space="preserve">simulated scenario. They have not been reviewed by a certification body or a</w:t>
      </w:r>
      <w:r>
        <w:t xml:space="preserve"> </w:t>
      </w:r>
      <w:r>
        <w:t xml:space="preserve">CPA firm, and no certification or attestation is claimed or implied.</w:t>
      </w:r>
    </w:p>
    <w:bookmarkEnd w:id="114"/>
    <w:bookmarkStart w:id="115" w:name="Xe8a313451ecc19f8fe5a40607c4e40371422350"/>
    <w:p>
      <w:pPr>
        <w:pStyle w:val="Heading1"/>
        <w:pageBreakBefore/>
      </w:pPr>
      <w:r>
        <w:t xml:space="preserve">Appendix B — Exception Register (populated example)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561"/>
        <w:gridCol w:w="558"/>
        <w:gridCol w:w="1971"/>
        <w:gridCol w:w="2167"/>
        <w:gridCol w:w="2602"/>
        <w:gridCol w:w="498"/>
        <w:gridCol w:w="508"/>
        <w:gridCol w:w="508"/>
        <w:gridCol w:w="374"/>
      </w:tblGrid>
      <w:tr>
        <w:trPr>
          <w:tblHeader w:val="true"/>
          <w:tblHeader w:val="true"/>
          <w:cantSplit/>
        </w:trPr>
        <w:tc>
          <w:tcPr>
            <w:tcW w:type="dxa" w:w="561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Exception ID</w:t>
            </w:r>
          </w:p>
        </w:tc>
        <w:tc>
          <w:tcPr>
            <w:tcW w:type="dxa" w:w="55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Policy</w:t>
            </w:r>
          </w:p>
        </w:tc>
        <w:tc>
          <w:tcPr>
            <w:tcW w:type="dxa" w:w="197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Requirement excepted</w:t>
            </w:r>
          </w:p>
        </w:tc>
        <w:tc>
          <w:tcPr>
            <w:tcW w:type="dxa" w:w="216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Business justification</w:t>
            </w:r>
          </w:p>
        </w:tc>
        <w:tc>
          <w:tcPr>
            <w:tcW w:type="dxa" w:w="260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Compensating control</w:t>
            </w:r>
          </w:p>
        </w:tc>
        <w:tc>
          <w:tcPr>
            <w:tcW w:type="dxa" w:w="499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Approved by</w:t>
            </w:r>
          </w:p>
        </w:tc>
        <w:tc>
          <w:tcPr>
            <w:tcW w:type="dxa" w:w="50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Approval date</w:t>
            </w:r>
          </w:p>
        </w:tc>
        <w:tc>
          <w:tcPr>
            <w:tcW w:type="dxa" w:w="50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Expiry date</w:t>
            </w:r>
          </w:p>
        </w:tc>
        <w:tc>
          <w:tcPr>
            <w:tcW w:type="dxa" w:w="374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6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EXC-001</w:t>
            </w:r>
          </w:p>
        </w:tc>
        <w:tc>
          <w:tcPr>
            <w:tcW w:type="dxa" w:w="5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CGI-POL-002</w:t>
            </w:r>
          </w:p>
        </w:tc>
        <w:tc>
          <w:tcPr>
            <w:tcW w:type="dxa" w:w="19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4.3.5 prohibition on SMS as an MFA factor</w:t>
            </w:r>
          </w:p>
        </w:tc>
        <w:tc>
          <w:tcPr>
            <w:tcW w:type="dxa" w:w="2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Legacy billing portal supports SMS only; migration planned Q1 2027</w:t>
            </w:r>
          </w:p>
        </w:tc>
        <w:tc>
          <w:tcPr>
            <w:tcW w:type="dxa" w:w="26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Access limited to two named finance users; login alerting enabled; monthly access review</w:t>
            </w:r>
          </w:p>
        </w:tc>
        <w:tc>
          <w:tcPr>
            <w:tcW w:type="dxa" w:w="4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Priya Raman</w:t>
            </w:r>
          </w:p>
        </w:tc>
        <w:tc>
          <w:tcPr>
            <w:tcW w:type="dxa" w:w="5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2026-09-03</w:t>
            </w:r>
          </w:p>
        </w:tc>
        <w:tc>
          <w:tcPr>
            <w:tcW w:type="dxa" w:w="5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2027-03-03</w:t>
            </w:r>
          </w:p>
        </w:tc>
        <w:tc>
          <w:tcPr>
            <w:tcW w:type="dxa" w:w="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561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EXC-002</w:t>
            </w:r>
          </w:p>
        </w:tc>
        <w:tc>
          <w:tcPr>
            <w:tcW w:type="dxa" w:w="55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CGI-POL-003</w:t>
            </w:r>
          </w:p>
        </w:tc>
        <w:tc>
          <w:tcPr>
            <w:tcW w:type="dxa" w:w="197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4.5.2 four-hour access revocation</w:t>
            </w:r>
          </w:p>
        </w:tc>
        <w:tc>
          <w:tcPr>
            <w:tcW w:type="dxa" w:w="21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Contractor engaged through an agency portal Cypher does not administer directly</w:t>
            </w:r>
          </w:p>
        </w:tc>
        <w:tc>
          <w:tcPr>
            <w:tcW w:type="dxa" w:w="260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Agency contractually required to revoke within 24 hours and confirm in writing; sponsor verifies</w:t>
            </w:r>
          </w:p>
        </w:tc>
        <w:tc>
          <w:tcPr>
            <w:tcW w:type="dxa" w:w="499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Priya Raman</w:t>
            </w:r>
          </w:p>
        </w:tc>
        <w:tc>
          <w:tcPr>
            <w:tcW w:type="dxa" w:w="50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2026-09-03</w:t>
            </w:r>
          </w:p>
        </w:tc>
        <w:tc>
          <w:tcPr>
            <w:tcW w:type="dxa" w:w="50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2027-09-03</w:t>
            </w:r>
          </w:p>
        </w:tc>
        <w:tc>
          <w:tcPr>
            <w:tcW w:type="dxa" w:w="374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561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EXC-003</w:t>
            </w:r>
          </w:p>
        </w:tc>
        <w:tc>
          <w:tcPr>
            <w:tcW w:type="dxa" w:w="55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CGI-POL-004</w:t>
            </w:r>
          </w:p>
        </w:tc>
        <w:tc>
          <w:tcPr>
            <w:tcW w:type="dxa" w:w="197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4.2 prohibition on Restricted data (payment metadata) on removable media</w:t>
            </w:r>
          </w:p>
        </w:tc>
        <w:tc>
          <w:tcPr>
            <w:tcW w:type="dxa" w:w="2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Annual financial audit requires an encrypted drive handover to external auditors</w:t>
            </w:r>
          </w:p>
        </w:tc>
        <w:tc>
          <w:tcPr>
            <w:tcW w:type="dxa" w:w="260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AES-256 encrypted drive; courier tracked; drive returned and wiped within 10 business days; logged</w:t>
            </w:r>
          </w:p>
        </w:tc>
        <w:tc>
          <w:tcPr>
            <w:tcW w:type="dxa" w:w="499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Priya Raman</w:t>
            </w:r>
          </w:p>
        </w:tc>
        <w:tc>
          <w:tcPr>
            <w:tcW w:type="dxa" w:w="5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2026-09-04</w:t>
            </w:r>
          </w:p>
        </w:tc>
        <w:tc>
          <w:tcPr>
            <w:tcW w:type="dxa" w:w="50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2026-12-31</w:t>
            </w:r>
          </w:p>
        </w:tc>
        <w:tc>
          <w:tcPr>
            <w:tcW w:type="dxa" w:w="374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Open</w:t>
            </w:r>
          </w:p>
        </w:tc>
      </w:tr>
    </w:tbl>
    <w:bookmarkEnd w:id="115"/>
    <w:bookmarkStart w:id="116" w:name="appendix-c--policy-register"/>
    <w:p>
      <w:pPr>
        <w:pStyle w:val="Heading1"/>
        <w:pageBreakBefore/>
      </w:pPr>
      <w:r>
        <w:t xml:space="preserve">Appendix C — Policy Register</w:t>
      </w:r>
    </w:p>
    <w:tbl>
      <w:tblPr>
        <w:tblStyle w:val="Table"/>
        <w:tblLook w:firstRow="1" w:lastRow="0" w:firstColumn="0" w:lastColumn="0" w:noHBand="0" w:noVBand="0" w:val="0020"/>
        <w:jc w:val="start"/>
        <w:tblLayout w:type="fixed"/>
        <w:tblBorders>
          <w:top w:val="single" w:sz="4" w:color="C9D3E0"/>
          <w:left w:val="single" w:sz="4" w:color="C9D3E0"/>
          <w:bottom w:val="single" w:sz="4" w:color="C9D3E0"/>
          <w:right w:val="single" w:sz="4" w:color="C9D3E0"/>
          <w:insideH w:val="single" w:sz="4" w:color="C9D3E0"/>
          <w:insideV w:val="single" w:sz="4" w:color="C9D3E0"/>
        </w:tblBorders>
        <w:tblCellMar>
          <w:top w:w="40" w:type="dxa"/>
          <w:bottom w:w="40" w:type="dxa"/>
          <w:left w:w="80" w:type="dxa"/>
          <w:right w:w="80" w:type="dxa"/>
        </w:tblCellMar>
        <w:tblW w:w="9751" w:type="dxa"/>
      </w:tblPr>
      <w:tblGrid>
        <w:gridCol w:w="750"/>
        <w:gridCol w:w="1837"/>
        <w:gridCol w:w="586"/>
        <w:gridCol w:w="1167"/>
        <w:gridCol w:w="669"/>
        <w:gridCol w:w="753"/>
        <w:gridCol w:w="682"/>
        <w:gridCol w:w="682"/>
        <w:gridCol w:w="669"/>
        <w:gridCol w:w="1004"/>
        <w:gridCol w:w="947"/>
      </w:tblGrid>
      <w:tr>
        <w:trPr>
          <w:tblHeader w:val="true"/>
          <w:tblHeader w:val="true"/>
          <w:cantSplit/>
        </w:trPr>
        <w:tc>
          <w:tcPr>
            <w:tcW w:type="dxa" w:w="75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Policy ID</w:t>
            </w:r>
          </w:p>
        </w:tc>
        <w:tc>
          <w:tcPr>
            <w:tcW w:type="dxa" w:w="1837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Policy name</w:t>
            </w:r>
          </w:p>
        </w:tc>
        <w:tc>
          <w:tcPr>
            <w:tcW w:type="dxa" w:w="586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Version</w:t>
            </w:r>
          </w:p>
        </w:tc>
        <w:tc>
          <w:tcPr>
            <w:tcW w:type="dxa" w:w="116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Owner</w:t>
            </w:r>
          </w:p>
        </w:tc>
        <w:tc>
          <w:tcPr>
            <w:tcW w:type="dxa" w:w="67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Approver</w:t>
            </w:r>
          </w:p>
        </w:tc>
        <w:tc>
          <w:tcPr>
            <w:tcW w:type="dxa" w:w="753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Effective</w:t>
            </w:r>
          </w:p>
        </w:tc>
        <w:tc>
          <w:tcPr>
            <w:tcW w:type="dxa" w:w="68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Last review</w:t>
            </w:r>
          </w:p>
        </w:tc>
        <w:tc>
          <w:tcPr>
            <w:tcW w:type="dxa" w:w="682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Next review</w:t>
            </w:r>
          </w:p>
        </w:tc>
        <w:tc>
          <w:tcPr>
            <w:tcW w:type="dxa" w:w="670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Sign-off required</w:t>
            </w:r>
          </w:p>
        </w:tc>
        <w:tc>
          <w:tcPr>
            <w:tcW w:type="dxa" w:w="1005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Percentage acknowledged</w:t>
            </w:r>
          </w:p>
        </w:tc>
        <w:tc>
          <w:tcPr>
            <w:tcW w:type="dxa" w:w="948"/>
            <w:shd w:val="clear" w:color="auto" w:fill="13315C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b/>
                <w:color w:val="FFFFFF"/>
                <w:sz w:val="16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CGI-POL-001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Acceptable Use Policy</w:t>
            </w:r>
          </w:p>
        </w:tc>
        <w:tc>
          <w:tcPr>
            <w:tcW w:type="dxa" w:w="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Head of People and Operations</w:t>
            </w:r>
          </w:p>
        </w:tc>
        <w:tc>
          <w:tcPr>
            <w:tcW w:type="dxa" w:w="6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7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6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6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6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0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60</w:t>
            </w:r>
          </w:p>
        </w:tc>
        <w:tc>
          <w:tcPr>
            <w:tcW w:type="dxa" w:w="9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Internal wiki, Policies</w:t>
            </w:r>
          </w:p>
        </w:tc>
      </w:tr>
      <w:tr>
        <w:trPr>
          <w:cantSplit/>
        </w:trPr>
        <w:tc>
          <w:tcPr>
            <w:tcW w:type="dxa" w:w="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CGI-POL-002</w:t>
            </w:r>
          </w:p>
        </w:tc>
        <w:tc>
          <w:tcPr>
            <w:tcW w:type="dxa" w:w="183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Password and MFA Policy</w:t>
            </w:r>
          </w:p>
        </w:tc>
        <w:tc>
          <w:tcPr>
            <w:tcW w:type="dxa" w:w="58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1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CTO</w:t>
            </w:r>
          </w:p>
        </w:tc>
        <w:tc>
          <w:tcPr>
            <w:tcW w:type="dxa" w:w="67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75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6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6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67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0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60</w:t>
            </w:r>
          </w:p>
        </w:tc>
        <w:tc>
          <w:tcPr>
            <w:tcW w:type="dxa" w:w="94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Internal wiki, Policies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CGI-POL-003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Onboarding and Offboarding Access Control Policy</w:t>
            </w:r>
          </w:p>
        </w:tc>
        <w:tc>
          <w:tcPr>
            <w:tcW w:type="dxa" w:w="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CTO</w:t>
            </w:r>
          </w:p>
        </w:tc>
        <w:tc>
          <w:tcPr>
            <w:tcW w:type="dxa" w:w="6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7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6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6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6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Managers only</w:t>
            </w:r>
          </w:p>
        </w:tc>
        <w:tc>
          <w:tcPr>
            <w:tcW w:type="dxa" w:w="100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100</w:t>
            </w:r>
          </w:p>
        </w:tc>
        <w:tc>
          <w:tcPr>
            <w:tcW w:type="dxa" w:w="9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Internal wiki, Policies</w:t>
            </w:r>
          </w:p>
        </w:tc>
      </w:tr>
      <w:tr>
        <w:trPr>
          <w:cantSplit/>
        </w:trPr>
        <w:tc>
          <w:tcPr>
            <w:tcW w:type="dxa" w:w="75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CGI-POL-004</w:t>
            </w:r>
          </w:p>
        </w:tc>
        <w:tc>
          <w:tcPr>
            <w:tcW w:type="dxa" w:w="1837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Data Classification Policy</w:t>
            </w:r>
          </w:p>
        </w:tc>
        <w:tc>
          <w:tcPr>
            <w:tcW w:type="dxa" w:w="586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16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CTO</w:t>
            </w:r>
          </w:p>
        </w:tc>
        <w:tc>
          <w:tcPr>
            <w:tcW w:type="dxa" w:w="67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753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6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682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670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05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60</w:t>
            </w:r>
          </w:p>
        </w:tc>
        <w:tc>
          <w:tcPr>
            <w:tcW w:type="dxa" w:w="948"/>
            <w:shd w:val="clear" w:color="auto" w:fill="F3F6FA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Internal wiki, Policies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CGI-POL-005</w:t>
            </w:r>
          </w:p>
        </w:tc>
        <w:tc>
          <w:tcPr>
            <w:tcW w:type="dxa" w:w="183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Incident Reporting Policy</w:t>
            </w:r>
          </w:p>
        </w:tc>
        <w:tc>
          <w:tcPr>
            <w:tcW w:type="dxa" w:w="586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type="dxa" w:w="116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CTO</w:t>
            </w:r>
          </w:p>
        </w:tc>
        <w:tc>
          <w:tcPr>
            <w:tcW w:type="dxa" w:w="6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CEO</w:t>
            </w:r>
          </w:p>
        </w:tc>
        <w:tc>
          <w:tcPr>
            <w:tcW w:type="dxa" w:w="753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2026-09-15</w:t>
            </w:r>
          </w:p>
        </w:tc>
        <w:tc>
          <w:tcPr>
            <w:tcW w:type="dxa" w:w="6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2026-09-01</w:t>
            </w:r>
          </w:p>
        </w:tc>
        <w:tc>
          <w:tcPr>
            <w:tcW w:type="dxa" w:w="682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2027-09-01</w:t>
            </w:r>
          </w:p>
        </w:tc>
        <w:tc>
          <w:tcPr>
            <w:tcW w:type="dxa" w:w="670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Yes</w:t>
            </w:r>
          </w:p>
        </w:tc>
        <w:tc>
          <w:tcPr>
            <w:tcW w:type="dxa" w:w="1005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60</w:t>
            </w:r>
          </w:p>
        </w:tc>
        <w:tc>
          <w:tcPr>
            <w:tcW w:type="dxa" w:w="948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sz w:val="16"/>
              </w:rPr>
              <w:t xml:space="preserve">Internal wiki, Policies</w:t>
            </w:r>
          </w:p>
        </w:tc>
      </w:tr>
    </w:tbl>
    <w:p>
      <w:pPr>
        <w:pStyle w:val="BodyText"/>
      </w:pPr>
      <w:r>
        <w:rPr>
          <w:iCs/>
          <w:i/>
        </w:rPr>
        <w:t xml:space="preserve">Acknowledgement percentages are taken from CGI-TRK-001 as at 05 September 2026, which records a five-person illustrative sample.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PACK — CGI-POL-001 to CGI-POL-005, version 1.0</w:t>
      </w:r>
    </w:p>
    <w:p>
      <w:pPr>
        <w:pStyle w:val="BodyText"/>
      </w:pPr>
      <w:r>
        <w:rPr>
          <w:iCs/>
          <w:i/>
        </w:rPr>
        <w:t xml:space="preserve">Simulated case study content. Prepared by O.S as portfolio project 1 of 7.</w:t>
      </w:r>
    </w:p>
    <w:bookmarkEnd w:id="116"/>
    <w:sectPr>
      <w:headerReference w:type="default" r:id="rId9"/>
      <w:footerReference w:type="default" r:id="rId10"/>
      <w:pgSz w:w="11906" w:h="16838"/>
      <w:pgMar w:left="1077" w:right="1077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280"/>
        <w:sz w:val="15"/>
      </w:rPr>
      <w:t xml:space="preserve">Simulated case study  ·  Prepared by O.S  ·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280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6B7280"/>
        <w:sz w:val="15"/>
      </w:rPr>
      <w:t>CYPHER GROUP INC. | SECURITY POLICY PACK CGI-POL-001 TO 005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styleId="BodyText" w:type="paragraph">
    <w:name w:val="Body Text"/>
    <w:basedOn w:val="Normal"/>
    <w:link w:val="BodyTextChar"/>
    <w:pPr>
      <w:spacing w:after="100" w:before="180" w:line="269" w:lineRule="auto"/>
    </w:pPr>
    <w:qFormat/>
    <w:rPr>
      <w:rFonts w:ascii="Calibri" w:hAnsi="Calibri" w:eastAsia="Calibr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00" w:line="269" w:lineRule="auto"/>
    </w:pPr>
    <w:rPr>
      <w:rFonts w:ascii="Calibri" w:hAnsi="Calibri" w:eastAsia="Calibri"/>
      <w:color w:val="1F2937"/>
      <w:sz w:val="20"/>
    </w:rPr>
  </w:style>
  <w:style w:customStyle="1" w:styleId="Compact" w:type="paragraph">
    <w:name w:val="Compact"/>
    <w:basedOn w:val="BodyText"/>
    <w:qFormat/>
    <w:pPr>
      <w:spacing w:after="20" w:before="36" w:line="269" w:lineRule="auto"/>
    </w:pPr>
    <w:rPr>
      <w:rFonts w:ascii="Calibri" w:hAnsi="Calibri" w:eastAsia="Calibri"/>
      <w:color w:val="1F2937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B254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120"/>
      <w:outlineLvl w:val="0"/>
    </w:pPr>
    <w:rPr>
      <w:rFonts w:ascii="Calibri" w:hAnsi="Calibri"/>
      <w:b/>
      <w:bCs/>
      <w:i w:val="0"/>
      <w:color w:val="0B2545"/>
      <w:sz w:val="3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="Calibri" w:hAnsi="Calibri"/>
      <w:b/>
      <w:bCs/>
      <w:i w:val="0"/>
      <w:color w:val="13315C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80"/>
      <w:outlineLvl w:val="2"/>
    </w:pPr>
    <w:rPr>
      <w:rFonts w:ascii="Calibri" w:hAnsi="Calibri"/>
      <w:b/>
      <w:bCs/>
      <w:i w:val="0"/>
      <w:color w:val="1B496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00" w:before="280"/>
      <w:outlineLvl w:val="3"/>
    </w:pPr>
    <w:rPr>
      <w:rFonts w:ascii="Calibri" w:hAnsi="Calibri"/>
      <w:i w:val="0"/>
      <w:b/>
      <w:bCs/>
      <w:color w:val="1B4965"/>
      <w:sz w:val="21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170" w:right="113"/>
      <w:pBdr>
        <w:left w:val="single" w:sz="24" w:space="6" w:color="2E86DE"/>
      </w:pBdr>
      <w:shd w:val="clear" w:color="auto" w:fill="EAF2FB"/>
    </w:pPr>
    <w:rPr>
      <w:i w:val="0"/>
      <w:color w:val="13315C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Cypher Group Inc. | Security Policy Pack CGI-POL-001 to 005</dc:title>
  <dc:creator>O.S</dc:creator>
  <cp:keywords/>
  <dcterms:created xsi:type="dcterms:W3CDTF">2026-10-13T14:23:06Z</dcterms:created>
  <dcterms:modified xsi:type="dcterms:W3CDTF">2026-10-13T14:23:06Z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