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300"/>
      </w:pPr>
      <w:r>
        <w:rPr>
          <w:rFonts w:ascii="Georgia" w:cs="Georgia" w:eastAsia="Georgia" w:hAnsi="Georgia"/>
          <w:b/>
          <w:bCs/>
          <w:sz w:val="36"/>
          <w:szCs w:val="36"/>
        </w:rPr>
        <w:t xml:space="preserve">4  Usklađivanje</w:t>
      </w:r>
    </w:p>
    <w:p>
      <w:pPr>
        <w:spacing w:after="200" w:line="320"/>
      </w:pPr>
      <w:r>
        <w:rPr>
          <w:rFonts w:ascii="Georgia" w:cs="Georgia" w:eastAsia="Georgia" w:hAnsi="Georgia"/>
          <w:sz w:val="24"/>
          <w:szCs w:val="24"/>
        </w:rPr>
        <w:t xml:space="preserve">Zamislite da ste upravo zaposlili sjajnog mladog inženjera koji je završio fakultet s najboljim ocjenama. Zna teoriju, razumije algoritme, može riješiti gotovo svaki zadatak na papiru. Ali prvog dana na poslu sjedne za računalo i počne pisati kod koji je tehnički ispravan, ali ne prati konvencije vašeg tima, ignorira sigurnosne prakse vaše organizacije i proizvodi rješenja koja nitko drugi ne može održavati. Što trebate napraviti? Trebate ga uskladiti, naučiti ga ne samo što je ispravno, nego i što je poželjno, korisno i sigurno u kontekstu stvarnog rada. Upravo to je usklađivanje (engl. </w:t>
      </w:r>
      <w:r>
        <w:rPr>
          <w:rFonts w:ascii="Georgia" w:cs="Georgia" w:eastAsia="Georgia" w:hAnsi="Georgia"/>
          <w:i/>
          <w:iCs/>
          <w:sz w:val="24"/>
          <w:szCs w:val="24"/>
        </w:rPr>
        <w:t xml:space="preserve">alignment</w:t>
      </w:r>
      <w:r>
        <w:rPr>
          <w:rFonts w:ascii="Georgia" w:cs="Georgia" w:eastAsia="Georgia" w:hAnsi="Georgia"/>
          <w:sz w:val="24"/>
          <w:szCs w:val="24"/>
        </w:rPr>
        <w:t xml:space="preserve">) u kontekstu velikih jezičnih modela za kod. To je proces prilagodbe pretreniranih LLM-ova da prate ljudske upute i učinkovito obavljaju zadatke kodiranja.</w:t>
      </w:r>
    </w:p>
    <w:p>
      <w:pPr>
        <w:spacing w:after="200" w:line="320"/>
      </w:pPr>
      <w:r>
        <w:rPr>
          <w:rFonts w:ascii="Georgia" w:cs="Georgia" w:eastAsia="Georgia" w:hAnsi="Georgia"/>
          <w:sz w:val="24"/>
          <w:szCs w:val="24"/>
        </w:rPr>
        <w:t xml:space="preserve">Usklađivanje se oslanja na dva temeljna pristupa. Prvi je nadzirano fino ugađanje (engl. </w:t>
      </w:r>
      <w:r>
        <w:rPr>
          <w:rFonts w:ascii="Georgia" w:cs="Georgia" w:eastAsia="Georgia" w:hAnsi="Georgia"/>
          <w:i/>
          <w:iCs/>
          <w:sz w:val="24"/>
          <w:szCs w:val="24"/>
        </w:rPr>
        <w:t xml:space="preserve">Supervised Fine-Tuning</w:t>
      </w:r>
      <w:r>
        <w:rPr>
          <w:rFonts w:ascii="Georgia" w:cs="Georgia" w:eastAsia="Georgia" w:hAnsi="Georgia"/>
          <w:sz w:val="24"/>
          <w:szCs w:val="24"/>
        </w:rPr>
        <w:t xml:space="preserve"> ili SFT), u kojem model uči iz označenih skupova podataka koji pokrivaju zadatke poput generiranja koda, popravljanja i prevođenja. Drugi je pojačano učenje (engl. </w:t>
      </w:r>
      <w:r>
        <w:rPr>
          <w:rFonts w:ascii="Georgia" w:cs="Georgia" w:eastAsia="Georgia" w:hAnsi="Georgia"/>
          <w:i/>
          <w:iCs/>
          <w:sz w:val="24"/>
          <w:szCs w:val="24"/>
        </w:rPr>
        <w:t xml:space="preserve">Reinforcement Learning</w:t>
      </w:r>
      <w:r>
        <w:rPr>
          <w:rFonts w:ascii="Georgia" w:cs="Georgia" w:eastAsia="Georgia" w:hAnsi="Georgia"/>
          <w:sz w:val="24"/>
          <w:szCs w:val="24"/>
        </w:rPr>
        <w:t xml:space="preserve"> ili RL), koje koristi signale nagrade za daljnje usavršavanje ponašanja modela. Posebno moćna varijanta je pojačano učenje s provjerljivim nagradama (engl. </w:t>
      </w:r>
      <w:r>
        <w:rPr>
          <w:rFonts w:ascii="Georgia" w:cs="Georgia" w:eastAsia="Georgia" w:hAnsi="Georgia"/>
          <w:i/>
          <w:iCs/>
          <w:sz w:val="24"/>
          <w:szCs w:val="24"/>
        </w:rPr>
        <w:t xml:space="preserve">Reinforcement Learning with Verifiable Rewards</w:t>
      </w:r>
      <w:r>
        <w:rPr>
          <w:rFonts w:ascii="Georgia" w:cs="Georgia" w:eastAsia="Georgia" w:hAnsi="Georgia"/>
          <w:sz w:val="24"/>
          <w:szCs w:val="24"/>
        </w:rPr>
        <w:t xml:space="preserve"> ili RLVR), gdje modeli primaju determinističke povratne informacije o prolazu ili padu od testnih slučajeva ili kompajlera, omogućujući im razvoj strukturiranog rezoniranja, samoverifikacije i sposobnosti ispravljanja grešaka. Zajedno, ove metode usklađivanja transformiraju opće pretreniranje modele u specijalizirane pomoćnike za kodiranje sposobne za razumijevanje zahtjeva, generiranje ispravnih rješenja i rukovanje složenim scenarijima razvoja softvera u stvarnom svijetu.</w:t>
      </w:r>
    </w:p>
    <w:p>
      <w:pPr>
        <w:pStyle w:val="Heading2"/>
        <w:spacing w:before="400" w:after="240"/>
      </w:pPr>
      <w:r>
        <w:rPr>
          <w:rFonts w:ascii="Georgia" w:cs="Georgia" w:eastAsia="Georgia" w:hAnsi="Georgia"/>
          <w:b/>
          <w:bCs/>
          <w:sz w:val="30"/>
          <w:szCs w:val="30"/>
        </w:rPr>
        <w:t xml:space="preserve">4.1  Nadzirano fino ugađanje (SFT)</w:t>
      </w:r>
    </w:p>
    <w:p>
      <w:pPr>
        <w:spacing w:after="200" w:line="320"/>
      </w:pPr>
      <w:r>
        <w:rPr>
          <w:rFonts w:ascii="Georgia" w:cs="Georgia" w:eastAsia="Georgia" w:hAnsi="Georgia"/>
          <w:sz w:val="24"/>
          <w:szCs w:val="24"/>
        </w:rPr>
        <w:t xml:space="preserve">Nadzirano fino ugađanje je proces treniranja pretreniranog jezičnog modela na označenom skupu podataka. Uobičajen i moćan način formatiranja tih podataka je ugađanje na uputama (engl. </w:t>
      </w:r>
      <w:r>
        <w:rPr>
          <w:rFonts w:ascii="Georgia" w:cs="Georgia" w:eastAsia="Georgia" w:hAnsi="Georgia"/>
          <w:i/>
          <w:iCs/>
          <w:sz w:val="24"/>
          <w:szCs w:val="24"/>
        </w:rPr>
        <w:t xml:space="preserve">instruction tuning</w:t>
      </w:r>
      <w:r>
        <w:rPr>
          <w:rFonts w:ascii="Georgia" w:cs="Georgia" w:eastAsia="Georgia" w:hAnsi="Georgia"/>
          <w:sz w:val="24"/>
          <w:szCs w:val="24"/>
        </w:rPr>
        <w:t xml:space="preserve">), gdje model uči pratiti naredbe na prirodnom jeziku. Opseg podataka za ugađanje kodnih uputa je širok, pokrivajući raznolik raspon programerskih zadataka uključujući, ali ne ograničavajući se na, generiranje koda, popravljanje koda i prevođenje koda. Rani podatci za ugađanje kodnih uputa izvlačeni su iz raznih programerskih zajednica i platformi, poput parova kod/komentar iz GitHub repozitorija i korisničkih pitanja i odgovora sa StackExchangea. Međutim, budući da svaki podatak dolazi od različitih korisnika iz raznolikih izvora, kvaliteta je često neujednačena i teško se filtrira. Kao alternativa, pristup samoinstrukcije (engl. </w:t>
      </w:r>
      <w:r>
        <w:rPr>
          <w:rFonts w:ascii="Georgia" w:cs="Georgia" w:eastAsia="Georgia" w:hAnsi="Georgia"/>
          <w:i/>
          <w:iCs/>
          <w:sz w:val="24"/>
          <w:szCs w:val="24"/>
        </w:rPr>
        <w:t xml:space="preserve">self-instruct</w:t>
      </w:r>
      <w:r>
        <w:rPr>
          <w:rFonts w:ascii="Georgia" w:cs="Georgia" w:eastAsia="Georgia" w:hAnsi="Georgia"/>
          <w:sz w:val="24"/>
          <w:szCs w:val="24"/>
        </w:rPr>
        <w:t xml:space="preserve">) koristi moćnije LLM-ove za generiranje kvalitetnijih i standardiziranijih podataka kroz visokokvalitetne demonstracije i učenje iz konteksta.</w:t>
      </w:r>
    </w:p>
    <w:p>
      <w:pPr>
        <w:pStyle w:val="Heading3"/>
        <w:spacing w:before="360" w:after="200"/>
      </w:pPr>
      <w:r>
        <w:rPr>
          <w:rFonts w:ascii="Georgia" w:cs="Georgia" w:eastAsia="Georgia" w:hAnsi="Georgia"/>
          <w:b/>
          <w:bCs/>
          <w:sz w:val="26"/>
          <w:szCs w:val="26"/>
        </w:rPr>
        <w:t xml:space="preserve">4.1.1  Jednokružno nadzirano fino ugađanje</w:t>
      </w:r>
    </w:p>
    <w:p>
      <w:pPr>
        <w:spacing w:after="200" w:line="320"/>
      </w:pPr>
      <w:r>
        <w:rPr>
          <w:rFonts w:ascii="Georgia" w:cs="Georgia" w:eastAsia="Georgia" w:hAnsi="Georgia"/>
          <w:sz w:val="24"/>
          <w:szCs w:val="24"/>
        </w:rPr>
        <w:t xml:space="preserve">Kod u ranim skupovima podataka uglavnom se sastojao od osnovnih operacija poput stvaranja objekata i aritmetike, bez naprednih algoritama i složene logike. Da bi se to riješilo, predložena je metoda Evol-Instruct koja vodi model da generira složenije proširene podatke na temelju izvornih podataka koristeći niz ručno izrađenih heurističkih pravila. Kako se obujam generiranih podataka povećava, raste i vjerojatnost da metoda samoinstrukcije proizvede ponavljajuće ili slične podatke, ograničavajući kvalitetu skupa podataka. Učinkovito rješenje je uvesti ljudski pisane kodne podatke tijekom procesa generiranja, koristeći njihovu bogatu raznolikost za izbjegavanje ponavljanja. Metoda Semi-Instruct koristi raznolike podatke kao temelj i primjenjuje metodu samoinstrukcije za njihovo prepisivanje, čime poboljšava standardizaciju podataka. Slično, metoda OSS-Instruct usvaja sličan proces konstrukcije, s razlikom da se sirovi podatci sastoje od isječaka koda umjesto potpunog koda, pružajući veću fleksibilnost u naknadnoj fazi prepisivanja.</w:t>
      </w:r>
    </w:p>
    <w:p>
      <w:pPr>
        <w:pStyle w:val="Heading3"/>
        <w:spacing w:before="360" w:after="200"/>
      </w:pPr>
      <w:r>
        <w:rPr>
          <w:rFonts w:ascii="Georgia" w:cs="Georgia" w:eastAsia="Georgia" w:hAnsi="Georgia"/>
          <w:b/>
          <w:bCs/>
          <w:sz w:val="26"/>
          <w:szCs w:val="26"/>
        </w:rPr>
        <w:t xml:space="preserve">4.1.2  Višekružno nadzirano fino ugađanje</w:t>
      </w:r>
    </w:p>
    <w:p>
      <w:pPr>
        <w:spacing w:after="200" w:line="320"/>
      </w:pPr>
      <w:r>
        <w:rPr>
          <w:rFonts w:ascii="Georgia" w:cs="Georgia" w:eastAsia="Georgia" w:hAnsi="Georgia"/>
          <w:sz w:val="24"/>
          <w:szCs w:val="24"/>
        </w:rPr>
        <w:t xml:space="preserve">Ključna značajka koja razlikuje kod od prirodnog jezika je njegova izvršivost. Stoga se generirani kod može verificirati korištenjem kompajlera i interpretera, pružajući jeftine i visoko učinkovite signale povratnih informacija bez ljudske intervencije za vođenje poboljšanja nakon pojave grešaka. Zamislite to kao kuhara koji ne treba čekati gosta da mu kaže je li jelo dobro, nego može sam kušati svaki korak pripreme. AIEV-Instruct postavlja agenta ispitivača i agenta programera temeljenih na istom velikom modelu. Kada kod koji generira agent programer ne prođe verifikaciju, agent ispitivač intervenira, postavljajući pitanja na temelju greške kako bi olakšao poboljšanje. Podatci konstruirani s povratnim informacijama inherentno su višekružni, dok korisnici u praktičnim primjenama općenito preferiraju jednokružne interakcije kad god je to moguće. Za premošćivanje ovog jaza između treniranja i zaključivanja, predložena je metoda samodestilacije koja dodaje sažetak poput završnog kruga na kraju višekružnih podataka.</w:t>
      </w:r>
    </w:p>
    <w:p>
      <w:pPr>
        <w:pStyle w:val="Heading3"/>
        <w:spacing w:before="360" w:after="200"/>
      </w:pPr>
      <w:r>
        <w:rPr>
          <w:rFonts w:ascii="Georgia" w:cs="Georgia" w:eastAsia="Georgia" w:hAnsi="Georgia"/>
          <w:b/>
          <w:bCs/>
          <w:sz w:val="26"/>
          <w:szCs w:val="26"/>
        </w:rPr>
        <w:t xml:space="preserve">4.1.3  SFT za zadatke na razini repozitorija</w:t>
      </w:r>
    </w:p>
    <w:p>
      <w:pPr>
        <w:spacing w:after="200" w:line="320"/>
      </w:pPr>
      <w:r>
        <w:rPr>
          <w:rFonts w:ascii="Georgia" w:cs="Georgia" w:eastAsia="Georgia" w:hAnsi="Georgia"/>
          <w:sz w:val="24"/>
          <w:szCs w:val="24"/>
        </w:rPr>
        <w:t xml:space="preserve">Dok se tradicionalno ugađanje kodnih uputa fokusiralo na izolirane funkcije ili zadatke na razini datoteka, složenost razvoja softvera u stvarnom svijetu zahtijeva modele koji mogu razumjeti i navigirati čitavim strukturama repozitorija. Skupovi podataka za SFT na razini repozitorija pojavili su se kao kritičan resurs za treniranje kodnih LLM-ova za rukovanje međudatotečnim ovisnostima, višedatotečnim uređivanjima i dugokontekstnim rezoniranjem koji karakteriziraju praktične scenarije softverskog inženjerstva. SWE-smith uvodi skalabilni cjevovod koji generira veliku kolekciju instanci zadataka iz GitHub repozitorija, predstavljajući red veličine povećanja nad prethodnim radovima. SWE-Synth nadopunjuje ovo sintetiziranjem provjerljivih podataka o popravcima grešaka kroz radne procese uklanjanja grešaka vođene LLM-ovima. SWE-Gym pruža Python instance zadataka s izvršivim okruženjima za izvršavanje, omogućujući pristupe pojačanog učenja. RepoBench evaluira automatsko dovršavanje kroz tri međusobno povezana zadatka kroz desetke tisuća Python i Java repozitorija, specifično mjereći razumijevanje međudatotečnog konteksta. Unatoč izazovima poput računalnih troškova održavanja okruženja za izvršavanje i osiguranja kvalitete podataka tijekom skaliranja, dosljedna poboljšanja kroz mjerila i jasni zakoni skaliranja podataka ukazuju da je ulaganje u veće, raznolikije skupove podataka na razini repozitorija obećavajući put za unapređenje autonomnih programerskih sustava.</w:t>
      </w:r>
    </w:p>
    <w:p>
      <w:pPr>
        <w:pStyle w:val="Heading3"/>
        <w:spacing w:before="360" w:after="200"/>
      </w:pPr>
      <w:r>
        <w:rPr>
          <w:rFonts w:ascii="Georgia" w:cs="Georgia" w:eastAsia="Georgia" w:hAnsi="Georgia"/>
          <w:b/>
          <w:bCs/>
          <w:sz w:val="26"/>
          <w:szCs w:val="26"/>
        </w:rPr>
        <w:t xml:space="preserve">4.1.4  Metode bazirane na rezoniranju</w:t>
      </w:r>
    </w:p>
    <w:p>
      <w:pPr>
        <w:spacing w:after="200" w:line="320"/>
      </w:pPr>
      <w:r>
        <w:rPr>
          <w:rFonts w:ascii="Georgia" w:cs="Georgia" w:eastAsia="Georgia" w:hAnsi="Georgia"/>
          <w:sz w:val="24"/>
          <w:szCs w:val="24"/>
        </w:rPr>
        <w:t xml:space="preserve">LLM-ovi bazirani na rezoniranju predstavljaju značajan napredak nad tradicionalnim modelima ugođenim na uputama uključivanjem eksplicitnih procesa lanca misli (engl. </w:t>
      </w:r>
      <w:r>
        <w:rPr>
          <w:rFonts w:ascii="Georgia" w:cs="Georgia" w:eastAsia="Georgia" w:hAnsi="Georgia"/>
          <w:i/>
          <w:iCs/>
          <w:sz w:val="24"/>
          <w:szCs w:val="24"/>
        </w:rPr>
        <w:t xml:space="preserve">Chain-of-Thought</w:t>
      </w:r>
      <w:r>
        <w:rPr>
          <w:rFonts w:ascii="Georgia" w:cs="Georgia" w:eastAsia="Georgia" w:hAnsi="Georgia"/>
          <w:sz w:val="24"/>
          <w:szCs w:val="24"/>
        </w:rPr>
        <w:t xml:space="preserve"> ili CoT) tijekom zaključivanja, omogućujući im da dekompoziraju složene probleme u međukorake i provode sustavniju analizu. Zamislite razliku između studenta koji pokušava odmah napisati konačni odgovor na ispitu i studenta koji prvo napiše plan, zatim korak po korak izvodi rješenje, provjerava svaki korak i tek onda zapisuje konačni rezultat. Drugi student je pouzdaniji, čak i kada je problem složen, jer je naučio proces razmišljanja, a ne samo konačne odgovore. Mehanizam iza uspjeha CoT-a vezan je za način na koji strukturira proces rješavanja problema za model. Generiranje eksplicitnog lanca rezoniranja služi kao računalna bilježnica (engl. </w:t>
      </w:r>
      <w:r>
        <w:rPr>
          <w:rFonts w:ascii="Georgia" w:cs="Georgia" w:eastAsia="Georgia" w:hAnsi="Georgia"/>
          <w:i/>
          <w:iCs/>
          <w:sz w:val="24"/>
          <w:szCs w:val="24"/>
        </w:rPr>
        <w:t xml:space="preserve">scratchpad</w:t>
      </w:r>
      <w:r>
        <w:rPr>
          <w:rFonts w:ascii="Georgia" w:cs="Georgia" w:eastAsia="Georgia" w:hAnsi="Georgia"/>
          <w:sz w:val="24"/>
          <w:szCs w:val="24"/>
        </w:rPr>
        <w:t xml:space="preserve">), omogućujući modelu da preuzme međukorake i zaključke u svoj kontekstni prozor. Zanimljivo, učinkovitost ovog procesa čini se da više ovisi o strukturi rezoniranja nego o činjeničnoj ispravnosti njegovog sadržaja. Studije su pokazale da modeli mogu naučiti učinkovita ponašanja rezoniranja čak i kada su fino ugođeni na CoT demonstracijama s pogrešnom logikom ili netočnim konačnim odgovorima, što sugerira da je primarna uloga CoT-a tijekom finog ugađanja naučiti model strukturiran, promišljen pristup rješavanju problema.</w:t>
      </w:r>
    </w:p>
    <w:p>
      <w:pPr>
        <w:pStyle w:val="Heading3"/>
        <w:spacing w:before="360" w:after="200"/>
      </w:pPr>
      <w:r>
        <w:rPr>
          <w:rFonts w:ascii="Georgia" w:cs="Georgia" w:eastAsia="Georgia" w:hAnsi="Georgia"/>
          <w:b/>
          <w:bCs/>
          <w:sz w:val="26"/>
          <w:szCs w:val="26"/>
        </w:rPr>
        <w:t xml:space="preserve">4.1.5  Strategije treniranja</w:t>
      </w:r>
    </w:p>
    <w:p>
      <w:pPr>
        <w:spacing w:after="200" w:line="320"/>
      </w:pPr>
      <w:r>
        <w:rPr>
          <w:rFonts w:ascii="Georgia" w:cs="Georgia" w:eastAsia="Georgia" w:hAnsi="Georgia"/>
          <w:sz w:val="24"/>
          <w:szCs w:val="24"/>
        </w:rPr>
        <w:t xml:space="preserve">Nakon proširenja podataka, neki radovi fokusirali su se na učinkovitije treniranje. Jedan aspekt je filtriranje kvalitete velikih skupova podataka. Pristupi uključuju grupiranje svih podataka i zadržavanje različitog broja podatkovnih točaka iz svake grupe na temelju gustoće centra grupe, čime se postiže deduplikacija podataka. Drugi pristupi najprije se fokusiraju na težinu i ispravnost podataka prije razmatranja raznolikosti, trenirajući bodovatelja složenosti za odabir najtežih podataka i generator testova za izračun stope prolaza testnih slučajeva za svaku podatkovnu točku. Osim kvalitete podataka, višezadaćna ravnoteža također je važna. Tretiranje generiranja koda i evaluacije koda kao dvofaznog zadatka treniranja značajno poboljšava performanse modela. Integracija višestrukih funkcija gubitka i predlaganje okvira za višezadaćno fino ugađanje koji može fino ugoditi zadatke paralelno pokazali su se konzistentno korisnim.</w:t>
      </w:r>
    </w:p>
    <w:p>
      <w:pPr>
        <w:pStyle w:val="Heading3"/>
        <w:spacing w:before="360" w:after="200"/>
      </w:pPr>
      <w:r>
        <w:rPr>
          <w:rFonts w:ascii="Georgia" w:cs="Georgia" w:eastAsia="Georgia" w:hAnsi="Georgia"/>
          <w:b/>
          <w:bCs/>
          <w:sz w:val="26"/>
          <w:szCs w:val="26"/>
        </w:rPr>
        <w:t xml:space="preserve">4.1.6  Izazovi</w:t>
      </w:r>
    </w:p>
    <w:p>
      <w:pPr>
        <w:spacing w:after="200" w:line="320"/>
      </w:pPr>
      <w:r>
        <w:rPr>
          <w:rFonts w:ascii="Georgia" w:cs="Georgia" w:eastAsia="Georgia" w:hAnsi="Georgia"/>
          <w:sz w:val="24"/>
          <w:szCs w:val="24"/>
        </w:rPr>
        <w:t xml:space="preserve">Unatoč brojnim metodama i skupovima podataka koji su se pojavili u ugađanju kodnih uputa, nekoliko izazova i dalje ostaje. Curenje podataka (engl. </w:t>
      </w:r>
      <w:r>
        <w:rPr>
          <w:rFonts w:ascii="Georgia" w:cs="Georgia" w:eastAsia="Georgia" w:hAnsi="Georgia"/>
          <w:i/>
          <w:iCs/>
          <w:sz w:val="24"/>
          <w:szCs w:val="24"/>
        </w:rPr>
        <w:t xml:space="preserve">data leakage</w:t>
      </w:r>
      <w:r>
        <w:rPr>
          <w:rFonts w:ascii="Georgia" w:cs="Georgia" w:eastAsia="Georgia" w:hAnsi="Georgia"/>
          <w:sz w:val="24"/>
          <w:szCs w:val="24"/>
        </w:rPr>
        <w:t xml:space="preserve">) znači da trenirni podatci mogu sadržavati informacije iz testnih ili evaluacijskih skupova, što ne samo da dovodi do napuhanih performansi nego može prikriti nedostatke modela u scenarijima iz stvarnog svijeta. Pristranost podataka (engl. </w:t>
      </w:r>
      <w:r>
        <w:rPr>
          <w:rFonts w:ascii="Georgia" w:cs="Georgia" w:eastAsia="Georgia" w:hAnsi="Georgia"/>
          <w:i/>
          <w:iCs/>
          <w:sz w:val="24"/>
          <w:szCs w:val="24"/>
        </w:rPr>
        <w:t xml:space="preserve">data bias</w:t>
      </w:r>
      <w:r>
        <w:rPr>
          <w:rFonts w:ascii="Georgia" w:cs="Georgia" w:eastAsia="Georgia" w:hAnsi="Georgia"/>
          <w:sz w:val="24"/>
          <w:szCs w:val="24"/>
        </w:rPr>
        <w:t xml:space="preserve">) očituje se u pretjeranom fokusu na jednostavne programerske zadatke, što dovodi do loših performansi modela na složenim zadacima. Nedovoljna višejezična podrška znači da su trenutni skupovi podataka pretežno bazirani na uskom skupu popularnih programskih jezika poput Pythona ili JavaScripta, ograničavajući primjenjivost modela za programere koji rade u drugim kritičnim jezicima poput C++, Rusta, Goa ili Swifta. Jezici se fundamentalno razlikuju ne samo u površinskoj sintaksi, nego i u dubljim semantičkim aspektima poput idioma, standardnih biblioteka, upravljanja memorijom i dizajnerskih obrazaca.</w:t>
      </w:r>
    </w:p>
    <w:p>
      <w:r>
        <w:br w:type="page"/>
      </w:r>
    </w:p>
    <w:p>
      <w:pPr>
        <w:pStyle w:val="Heading2"/>
        <w:spacing w:before="400" w:after="240"/>
      </w:pPr>
      <w:r>
        <w:rPr>
          <w:rFonts w:ascii="Georgia" w:cs="Georgia" w:eastAsia="Georgia" w:hAnsi="Georgia"/>
          <w:b/>
          <w:bCs/>
          <w:sz w:val="30"/>
          <w:szCs w:val="30"/>
        </w:rPr>
        <w:t xml:space="preserve">4.2  Hladni start i destilacija podataka rezoniranja za kodne LLM-ove</w:t>
      </w:r>
    </w:p>
    <w:p>
      <w:pPr>
        <w:spacing w:after="200" w:line="320"/>
      </w:pPr>
      <w:r>
        <w:rPr>
          <w:rFonts w:ascii="Georgia" w:cs="Georgia" w:eastAsia="Georgia" w:hAnsi="Georgia"/>
          <w:sz w:val="24"/>
          <w:szCs w:val="24"/>
        </w:rPr>
        <w:t xml:space="preserve">Ovaj odjeljak bavi se pitanjem kako od nule konstruirati visokokvalitetne podatke za fino ugađanje rezoniranja. Zamislite da trenirate mladu šahistkinju. Ne dajete joj tisuće nasumičnih partija, nego pažljivo birate partije velikih majstora koje demonstriraju ključne strategije. Upravo to rade istraživači kada konstruiraju skupove podataka za destilaciju rezoniranja. Proces se odvija u šest koraka. Prvo, prikupljanje izvora, nabavka sirovih problema i materijala koji čine temeljni sloj skupa podataka, iz akademskih natjecanja, online foruma i sintetičkih ili destiliranih skupova podataka. Drugo, čišćenje i dekontaminacija podataka za poboljšanje integriteta i pouzdanosti trenirnih podataka, uključujući semantičke usporedbe putem LLM-sudca za identificiranje ne samo točnih duplikata nego i parafraziranih problema. Treće, filtriranje pitanja i procjena kvalitete i težine za odabir podskupa problema visoke poluge iz većeg bazena. Četvrto, generiranje lanaca rezoniranja, stvaranje detaljnih rješenja korak po korak za svaki problem. Peto, filtriranje i usavršavanje rješenja za osiguranje da generirana rješenja nisu samo ispravna nego i visokokvalitetna. Šesto, konačna konstrukcija skupa podataka, kompilacija svih obrađenih problema i njihovih usavršenih rješenja u koherentan format spreman za fino ugađanje modela.</w:t>
      </w:r>
    </w:p>
    <w:p>
      <w:pPr>
        <w:spacing w:after="200" w:line="320"/>
      </w:pPr>
      <w:r>
        <w:rPr>
          <w:rFonts w:ascii="Georgia" w:cs="Georgia" w:eastAsia="Georgia" w:hAnsi="Georgia"/>
          <w:sz w:val="24"/>
          <w:szCs w:val="24"/>
        </w:rPr>
        <w:t xml:space="preserve">Pristupi konstruiranju konačnog skupa podataka variraju primarno u svom razmjeru i strateškom obrazloženju. Neki projekti poput LIMO-a sa samo 800 primjera i s1 sa samo 1.000 uzoraka prioritiziraju stvaranje izuzetno malih ali visokokvalitetnih skupova podataka, dokazujući da opsežni podatci nisu uvijek nužni za postizanje snažnih sposobnosti rezoniranja. Drugi projekti, ciljajući na vrhunske performanse, konstruiraju znatno veće skupove, poput OpenThoughts3 s 1,2 milijuna uzoraka ili OpenMathReasoning s preko 500.000 jedinstvenih problema. Optimalni pristup odražava jezgrenu hipotezu istraživačkog projekta, s nekim istraživačima koji prioritiziraju podatkovnu učinkovitost i drugima koji se fokusiraju na maksimiziranje performansi i svestranosti.</w:t>
      </w:r>
    </w:p>
    <w:p>
      <w:pPr>
        <w:pStyle w:val="Heading2"/>
        <w:spacing w:before="400" w:after="240"/>
      </w:pPr>
      <w:r>
        <w:rPr>
          <w:rFonts w:ascii="Georgia" w:cs="Georgia" w:eastAsia="Georgia" w:hAnsi="Georgia"/>
          <w:b/>
          <w:bCs/>
          <w:sz w:val="30"/>
          <w:szCs w:val="30"/>
        </w:rPr>
        <w:t xml:space="preserve">4.3  Višejezično razumijevanje i generiranje koda</w:t>
      </w:r>
    </w:p>
    <w:p>
      <w:pPr>
        <w:spacing w:after="200" w:line="320"/>
      </w:pPr>
      <w:r>
        <w:rPr>
          <w:rFonts w:ascii="Georgia" w:cs="Georgia" w:eastAsia="Georgia" w:hAnsi="Georgia"/>
          <w:sz w:val="24"/>
          <w:szCs w:val="24"/>
        </w:rPr>
        <w:t xml:space="preserve">Zamislite prevoditelja koji savršeno prevodi s engleskog na francuski, ali potpuno zakazuje kada mu date tekst na japanskom. Upravo to je situacija s mnogim kodnim LLM-ovima koji briljiraju u Pythonu ali jedva funkcioniraju u Rustu ili Fortranu. Razvoj višejezičnih kodnih LLM-ova može se podijeliti u faze. Rani modeli (2020. do 2021.) poput JavaBERTa i C-BERTa primarno su se fokusirali na pojedinačne programske jezike s relativno malim skalama parametara od 125 do 350 milijuna. Srednje razdoblje (2022. do 2023.) svjedočilo je probojnom napretku, s višejezičnim modelima poput Codexa i AlphaCodea koji su se proširili na 12 do 41 milijardu parametara i podržavali 6 do 12 glavnih programskih jezika. Najnovija generacija modela (2024. do 2025.) postigla je skok. DeepSeek-Coder-V2 dosegnuo je 236 milijardi parametara s podrškom za 338 jezika, dok StarCoder2 podržava više od 600 jezika treniranih na više od 4 terabajta podataka, označavajući ulazak kodne inteligencije u eru ultra-velikog višejezičja.</w:t>
      </w:r>
    </w:p>
    <w:p>
      <w:pPr>
        <w:spacing w:after="200" w:line="320"/>
      </w:pPr>
      <w:r>
        <w:rPr>
          <w:rFonts w:ascii="Georgia" w:cs="Georgia" w:eastAsia="Georgia" w:hAnsi="Georgia"/>
          <w:sz w:val="24"/>
          <w:szCs w:val="24"/>
        </w:rPr>
        <w:t xml:space="preserve">Trenirni korpusi evoluirali su od pojedinačnih GitHub repozitorija do ultra-velikog fuziranja iz višestrukih izvora, uključujući GitHub, Stack Overflow, CodeSearchNet, seriju The Stack, The Pile, sintetičke udžbeničke podatke, tragove izvršavanja i paralelne prevodilačke korpuse. Arhitektonski, područje pokazuje raznolikost od BERT enkoder modela, preko T5 enkoder-dekoder modela, do GPT dekoder modela i pristupa grafičkih neuronskih mreža koji integriraju strukturu koda. Najnoviji trendovi uključuju male učinkovite modele koji traže ravnotežu između performansi i troška, međujezično prevođenje koda koje se pojavljuje kao neovisni istraživački smjer, multimodalnu fuziju i specijaliziranu optimizaciju za niskoresursne i naslijeđene jezike.</w:t>
      </w:r>
    </w:p>
    <w:p>
      <w:r>
        <w:br w:type="page"/>
      </w:r>
    </w:p>
    <w:p>
      <w:pPr>
        <w:pStyle w:val="Heading2"/>
        <w:spacing w:before="400" w:after="240"/>
      </w:pPr>
      <w:r>
        <w:rPr>
          <w:rFonts w:ascii="Georgia" w:cs="Georgia" w:eastAsia="Georgia" w:hAnsi="Georgia"/>
          <w:b/>
          <w:bCs/>
          <w:sz w:val="30"/>
          <w:szCs w:val="30"/>
        </w:rPr>
        <w:t xml:space="preserve">4.4  Multimodalno razumijevanje i generiranje koda</w:t>
      </w:r>
    </w:p>
    <w:p>
      <w:pPr>
        <w:spacing w:after="200" w:line="320"/>
      </w:pPr>
      <w:r>
        <w:rPr>
          <w:rFonts w:ascii="Georgia" w:cs="Georgia" w:eastAsia="Georgia" w:hAnsi="Georgia"/>
          <w:sz w:val="24"/>
          <w:szCs w:val="24"/>
        </w:rPr>
        <w:t xml:space="preserve">S brzim razvojem vizualno-jezičnih multimodalnih velikih jezičnih modela, istraživanje generiranja koda proširuje se od čisto tekstualnog ulaza prema novoj paradigmi koja uključuje više modaliteta poput slika, skica i interaktivnih signala. Multimodalno generiranje koda (engl. </w:t>
      </w:r>
      <w:r>
        <w:rPr>
          <w:rFonts w:ascii="Georgia" w:cs="Georgia" w:eastAsia="Georgia" w:hAnsi="Georgia"/>
          <w:i/>
          <w:iCs/>
          <w:sz w:val="24"/>
          <w:szCs w:val="24"/>
        </w:rPr>
        <w:t xml:space="preserve">Multimodal Code Generation</w:t>
      </w:r>
      <w:r>
        <w:rPr>
          <w:rFonts w:ascii="Georgia" w:cs="Georgia" w:eastAsia="Georgia" w:hAnsi="Georgia"/>
          <w:sz w:val="24"/>
          <w:szCs w:val="24"/>
        </w:rPr>
        <w:t xml:space="preserve"> ili MCG) cilja omogućiti modelima da razumiju vizualne dizajnerske namjere i generiraju izvršivi, renderirajući visokokvalitetan kod, čime premošćuje jaz između apstraktnog razmišljanja visoke razine i implementacije koda niske razine. Na temelju scenarija primjene i tehničkog fokusa, ovo područje dijeli se u tri osnovna podpolja.</w:t>
      </w:r>
    </w:p>
    <w:p>
      <w:pPr>
        <w:spacing w:after="200" w:line="320"/>
      </w:pPr>
      <w:r>
        <w:rPr>
          <w:rFonts w:ascii="Georgia" w:cs="Georgia" w:eastAsia="Georgia" w:hAnsi="Georgia"/>
          <w:b/>
          <w:bCs/>
          <w:sz w:val="24"/>
          <w:szCs w:val="24"/>
        </w:rPr>
        <w:t xml:space="preserve">Generiranje korisničkog sučelja. </w:t>
      </w:r>
      <w:r>
        <w:rPr>
          <w:rFonts w:ascii="Georgia" w:cs="Georgia" w:eastAsia="Georgia" w:hAnsi="Georgia"/>
          <w:sz w:val="24"/>
          <w:szCs w:val="24"/>
        </w:rPr>
        <w:t xml:space="preserve">Evolucija je tekla od jednog modaliteta prema višemodalnosti i od statičnog prema dinamičnom. Rani sustavi poput pix2codea demonstrirali su izvedivost mapiranja snimaka zaslona grafičkog sučelja u platformski specifičan kod. Potom su uslijedili pristupi slika u kod, dizajn u kod, skica u kod i interakcija u kod. Design2Code je izgradio opsežno mjerilo koje sadrži 43.000 parova snimka zaslona/HTML, sustavno evaluirajući 9 multimodalnih velikih jezičnih modela i predlažući hijerarhijske metrike evaluacije. Sketch2Code je objavio prvo mjerilo s 731 visokokvalitetnom rukom nacrtanom skicom. Interaction2Code je definirao novu paradigmu zadataka za dinamičnu razinu, objavljujući mjerilo sa 127 web stranica, 374 interakcije i 31 vrstu događaja.</w:t>
      </w:r>
    </w:p>
    <w:p>
      <w:pPr>
        <w:spacing w:after="200" w:line="320"/>
      </w:pPr>
      <w:r>
        <w:rPr>
          <w:rFonts w:ascii="Georgia" w:cs="Georgia" w:eastAsia="Georgia" w:hAnsi="Georgia"/>
          <w:b/>
          <w:bCs/>
          <w:sz w:val="24"/>
          <w:szCs w:val="24"/>
        </w:rPr>
        <w:t xml:space="preserve">Web utjelovljena inteligencija. </w:t>
      </w:r>
      <w:r>
        <w:rPr>
          <w:rFonts w:ascii="Georgia" w:cs="Georgia" w:eastAsia="Georgia" w:hAnsi="Georgia"/>
          <w:sz w:val="24"/>
          <w:szCs w:val="24"/>
        </w:rPr>
        <w:t xml:space="preserve">Ovo područje nadilazi opseg statičnog generiranja koda, zahtijevajući od AI agenata da dovršavaju složene zadatke u stvarnim web okruženjima kroz petlje promatranja, rezoniranja i djelovanja. WebArena pruža realistične i složene otvorene platforme s funkcionalnim okruženjima repliciranim sa stvarnih web stranica i više od 800 zadataka dugoročnog planiranja. WebVoyager je prekretnica u ovom području, prvi put ostvarujući cjelovite multimodalne web agente koji izravno koriste snimke zaslona kao ulaz za simulaciju ljudskog ponašanja pregledavanja. Agent-E predlaže hijerarhijske arhitekture agenata, dekomponirajući složene web zadatke u planera i navigatora preglednika.</w:t>
      </w:r>
    </w:p>
    <w:p>
      <w:pPr>
        <w:spacing w:after="200" w:line="320"/>
      </w:pPr>
      <w:r>
        <w:rPr>
          <w:rFonts w:ascii="Georgia" w:cs="Georgia" w:eastAsia="Georgia" w:hAnsi="Georgia"/>
          <w:b/>
          <w:bCs/>
          <w:sz w:val="24"/>
          <w:szCs w:val="24"/>
        </w:rPr>
        <w:t xml:space="preserve">Generiranje artefakata softverskog inženjerstva. </w:t>
      </w:r>
      <w:r>
        <w:rPr>
          <w:rFonts w:ascii="Georgia" w:cs="Georgia" w:eastAsia="Georgia" w:hAnsi="Georgia"/>
          <w:sz w:val="24"/>
          <w:szCs w:val="24"/>
        </w:rPr>
        <w:t xml:space="preserve">Ovo podpolje cilja stvaranje pratećih artefakata za kod, uključujući UML dijagrame, dijagrame podataka, dijagrame toka, dijagrame arhitekture i druge vizualne dokumente softverskog inženjerstva. nvAgent predlaže višeagentski suradnički sustav za generiranje vizualizacija iz prirodnog jezika. Plot2Code uspostavlja sveobuhvatno mjerilo za evaluaciju multimodalnih LLM-ova u generiranju koda iz znanstvenih grafova. Flow2Code evaluira sposobnosti mapiranja dijagrama toka u kod, pokrivajući 15 programskih jezika. ArtifactsBench predlaže probojnu automatiziranu multimodalnu paradigmu evaluacije, rješavajući bolnu točku tradicionalne evaluacije koja ignorira vizualnu vjernost i potpunost interakcije.</w:t>
      </w:r>
    </w:p>
    <w:p>
      <w:r>
        <w:br w:type="page"/>
      </w:r>
    </w:p>
    <w:p>
      <w:pPr>
        <w:pStyle w:val="Heading2"/>
        <w:spacing w:before="400" w:after="240"/>
      </w:pPr>
      <w:r>
        <w:rPr>
          <w:rFonts w:ascii="Georgia" w:cs="Georgia" w:eastAsia="Georgia" w:hAnsi="Georgia"/>
          <w:b/>
          <w:bCs/>
          <w:sz w:val="30"/>
          <w:szCs w:val="30"/>
        </w:rPr>
        <w:t xml:space="preserve">4.5  Pojačano učenje u kodnoj inteligenciji</w:t>
      </w:r>
    </w:p>
    <w:p>
      <w:pPr>
        <w:spacing w:after="200" w:line="320"/>
      </w:pPr>
      <w:r>
        <w:rPr>
          <w:rFonts w:ascii="Georgia" w:cs="Georgia" w:eastAsia="Georgia" w:hAnsi="Georgia"/>
          <w:sz w:val="24"/>
          <w:szCs w:val="24"/>
        </w:rPr>
        <w:t xml:space="preserve">Pojačano učenje transformiralo je pristup treniranju modela za kodiranje na način koji je teško podcijeniti. Zamislite da učite dijete igrati šah. Nadzirano fino ugađanje je kao kad mu pokazujete partije velemajstora i govorite ovo je dobar potez, ovo je loš potez. Pojačano učenje je kao kad dijete samo igra partije, dobiva nagradu kad pobijedi i kaže mu se samo rezultat, ne i koji su potezi bili dobri. Kroz tisuće partija, dijete razvija intuiciju koju nikada ne bi moglo steći samo gledajući tuđe partije. Upravo to rade algoritmi pojačanog učenja za kodne LLM-ove, koriste provjerljive nagrade poput prolaza jediničnih testova, grešaka kompajlera i povratnih informacija statičke analize za zatvaranje petlje između generiranja i vanjskih alata.</w:t>
      </w:r>
    </w:p>
    <w:p>
      <w:pPr>
        <w:pStyle w:val="Heading3"/>
        <w:spacing w:before="360" w:after="200"/>
      </w:pPr>
      <w:r>
        <w:rPr>
          <w:rFonts w:ascii="Georgia" w:cs="Georgia" w:eastAsia="Georgia" w:hAnsi="Georgia"/>
          <w:b/>
          <w:bCs/>
          <w:sz w:val="26"/>
          <w:szCs w:val="26"/>
        </w:rPr>
        <w:t xml:space="preserve">4.5.1  Algoritmi pojačanog učenja</w:t>
      </w:r>
    </w:p>
    <w:p>
      <w:pPr>
        <w:spacing w:after="200" w:line="320"/>
      </w:pPr>
      <w:r>
        <w:rPr>
          <w:rFonts w:ascii="Georgia" w:cs="Georgia" w:eastAsia="Georgia" w:hAnsi="Georgia"/>
          <w:sz w:val="24"/>
          <w:szCs w:val="24"/>
        </w:rPr>
        <w:t xml:space="preserve">Metode proksimalne optimizacije politike (PPO) omogućuju online istraživanje s KL-regulariziranim ažuriranjima politike koja balansiraju raznolikost nasuprot vjernosti nadziranom prioru, često kombinirane s nagradama vođenim izvršavanjem i petljama popravaka za pojačanje stope prolaza i smanjenje halucinacija. Izravna optimizacija preferencija (DPO) zaobilazi potrebu za online uzorkovanjem učeći iz parova preferencija destiliranih iz uzoraka ocijenjenih izvršavanjem (uspjeh nasuprot neuspjehu), dajući stabilno usklađivanje za stil koda i korak po korak rezoniranje bez varijance procjena gradijenata politike. Pojačano učenje iz povratnih informacija umjetne inteligencije (RLAIF) dodatno koristi jače modele verifikatora i kritičara za pružanje gustih, strukturiranih signala, omogućujući samoverifikaciju i iterativno usavršavanje. Grupna relativna optimizacija politike (GRPO) izbjegava učenje vrijednosti uzorkujući G izlaza za upit i izračunavajući relativne prednosti, dajući stabilna ažuriranja bez kritičara i smanjene memorijske zahtjeve. DAPO poboljšava PPO/GRPO s inženjerskim usavršavanjima uključujući Clip-Higher za održavanje entropije, dinamičko uzorkovanje, gubitak na razini tokena i oblikovanje nagrade za preduge izlaze.</w:t>
      </w:r>
    </w:p>
    <w:p>
      <w:pPr>
        <w:pStyle w:val="Heading3"/>
        <w:spacing w:before="360" w:after="200"/>
      </w:pPr>
      <w:r>
        <w:rPr>
          <w:rFonts w:ascii="Georgia" w:cs="Georgia" w:eastAsia="Georgia" w:hAnsi="Georgia"/>
          <w:b/>
          <w:bCs/>
          <w:sz w:val="26"/>
          <w:szCs w:val="26"/>
        </w:rPr>
        <w:t xml:space="preserve">4.5.2  RL za generiranje koda</w:t>
      </w:r>
    </w:p>
    <w:p>
      <w:pPr>
        <w:spacing w:after="200" w:line="320"/>
      </w:pPr>
      <w:r>
        <w:rPr>
          <w:rFonts w:ascii="Georgia" w:cs="Georgia" w:eastAsia="Georgia" w:hAnsi="Georgia"/>
          <w:sz w:val="24"/>
          <w:szCs w:val="24"/>
        </w:rPr>
        <w:t xml:space="preserve">CodeRL je bio pionir u primjeni PPO pristupa tretirajući LM koji generira kod kao mrežu aktera s mrežom kritičara koja pruža guste signale povratnih informacija. Područje se potom pomaknulo prema metodama izravne optimizacije preferencija. CodeDPO uvodi mehanizam samogeneriranja i validacije s algoritmima inspiriranim PageRankom za stvaranje skupova podataka preferencija koji optimiziraju ispravnost i učinkovitost. Najnovije, RLVR je nastao kao probojni pristup koji znatno pojačava sposobnosti generiranja koda. DeepCoder pokazuje učinkovitost ovih metoda, postižući izvanredne performanse na LiveCodeBenchu s distribuiranim RL treningom i dostižući razinu o3-mini s samo 14 milijardi parametara. Za dovršavanje koda, RLCoder uvodi RL okvir za dovršavanje na razini repozitorija koji uči dohvatiti koristan sadržaj bez označenih podataka. Za prevođenje koda, CoTran je pionir pojačanog učenja s povratnim informacijama kompajlera i simboličkog izvršavanja za Java-Python prevođenje.</w:t>
      </w:r>
    </w:p>
    <w:p>
      <w:pPr>
        <w:pStyle w:val="Heading3"/>
        <w:spacing w:before="360" w:after="200"/>
      </w:pPr>
      <w:r>
        <w:rPr>
          <w:rFonts w:ascii="Georgia" w:cs="Georgia" w:eastAsia="Georgia" w:hAnsi="Georgia"/>
          <w:b/>
          <w:bCs/>
          <w:sz w:val="26"/>
          <w:szCs w:val="26"/>
        </w:rPr>
        <w:t xml:space="preserve">4.5.3  RL za razumijevanje koda</w:t>
      </w:r>
    </w:p>
    <w:p>
      <w:pPr>
        <w:spacing w:after="200" w:line="320"/>
      </w:pPr>
      <w:r>
        <w:rPr>
          <w:rFonts w:ascii="Georgia" w:cs="Georgia" w:eastAsia="Georgia" w:hAnsi="Georgia"/>
          <w:sz w:val="24"/>
          <w:szCs w:val="24"/>
        </w:rPr>
        <w:t xml:space="preserve">Sažimanje koda profitira od pojačanog učenja za rješavanje problema pristranosti izlaganja inherentnog tradicionalnim okvirima enkodera i dekodera. HAN proširuje ovaj pristup hijerarhijskim mehanizmima pažnje koji integriraju više značajki koda uključujući tipom obogaćena apstraktna sintaksna stabla i tokove kontrole. Za generiranje komentara, TAG uvodi okvir vođenja pomoćnim tipovima koji tretira izvorni kod kao N-arno stablo s informacijama o tipovima, koristeći hijerarhijsko pojačano učenje. Za pretraživanje koda, CoaCor usvaja novu perspektivu treniranjem modela anotacije koda za generiranje opisa koji poboljšavaju performanse dohvata koda.</w:t>
      </w:r>
    </w:p>
    <w:p>
      <w:pPr>
        <w:pStyle w:val="Heading3"/>
        <w:spacing w:before="360" w:after="200"/>
      </w:pPr>
      <w:r>
        <w:rPr>
          <w:rFonts w:ascii="Georgia" w:cs="Georgia" w:eastAsia="Georgia" w:hAnsi="Georgia"/>
          <w:b/>
          <w:bCs/>
          <w:sz w:val="26"/>
          <w:szCs w:val="26"/>
        </w:rPr>
        <w:t xml:space="preserve">4.5.4  RL za softversko inženjerstvo</w:t>
      </w:r>
    </w:p>
    <w:p>
      <w:pPr>
        <w:spacing w:after="200" w:line="320"/>
      </w:pPr>
      <w:r>
        <w:rPr>
          <w:rFonts w:ascii="Georgia" w:cs="Georgia" w:eastAsia="Georgia" w:hAnsi="Georgia"/>
          <w:sz w:val="24"/>
          <w:szCs w:val="24"/>
        </w:rPr>
        <w:t xml:space="preserve">Rješavanje problema u softverskim repozitorijima složen je izazov u kojem je RL pokazao izvanredan uspjeh. SWE-RL unapređuje rezoniranje LLM-ova kroz pojačano učenje na repozitorijima otvorenog koda. DeepSWE skalira RL treniranje za stvaranje potpuno otvorenog agenta za kodiranje koji postiže vrhunske performanse na SWE-benchu. Za refaktoriranje koda, Refactor-RL fino ugađa modele sekvenca u sekvencu i usklađuje ih korištenjem PPO-a, koristeći uspjeh kompilacije koda i prisutnost refaktoriranja kao signale nagrade. Za pregled koda, PPO-bazirani pristupi formaliziraju predikciju ishoda zahtjeva za spajanje kao Markovljeve procese odlučivanja sa specijaliziranim funkcijama nagrade. Za optimizaciju koda, Pearl uvodi okvir dubokog RL-a koji trenira agente za odabir optimalnih sekvenci poliedarskih transformacija.</w:t>
      </w:r>
    </w:p>
    <w:p>
      <w:pPr>
        <w:pStyle w:val="Heading3"/>
        <w:spacing w:before="360" w:after="200"/>
      </w:pPr>
      <w:r>
        <w:rPr>
          <w:rFonts w:ascii="Georgia" w:cs="Georgia" w:eastAsia="Georgia" w:hAnsi="Georgia"/>
          <w:b/>
          <w:bCs/>
          <w:sz w:val="26"/>
          <w:szCs w:val="26"/>
        </w:rPr>
        <w:t xml:space="preserve">4.5.5  RL za sigurnost koda</w:t>
      </w:r>
    </w:p>
    <w:p>
      <w:pPr>
        <w:spacing w:after="200" w:line="320"/>
      </w:pPr>
      <w:r>
        <w:rPr>
          <w:rFonts w:ascii="Georgia" w:cs="Georgia" w:eastAsia="Georgia" w:hAnsi="Georgia"/>
          <w:sz w:val="24"/>
          <w:szCs w:val="24"/>
        </w:rPr>
        <w:t xml:space="preserve">Otkrivanje grešaka u kompajlerima i softverskim sustavima predstavlja značajne izazove. RecBi je pionir pojačanog učenja za izolaciju grešaka kompajlera proširenjem tradicionalnih operatora mutacije strukturnim operatorima. Za automatski popravak programa, RePair uvodi nadzor baziran na procesu, koristeći model nagrađivanja kao kritičara za iterativnu optimizaciju politika popravaka. Za generiranje testova, CURE predlaže okvir ko-evolucije u kojem se sposobnosti kodiranja i generiranja jediničnih testova poboljšavaju kroz njihove ishode interakcije bez nadzora temeljne istine. Za fuzziranje (engl. </w:t>
      </w:r>
      <w:r>
        <w:rPr>
          <w:rFonts w:ascii="Georgia" w:cs="Georgia" w:eastAsia="Georgia" w:hAnsi="Georgia"/>
          <w:i/>
          <w:iCs/>
          <w:sz w:val="24"/>
          <w:szCs w:val="24"/>
        </w:rPr>
        <w:t xml:space="preserve">fuzzing</w:t>
      </w:r>
      <w:r>
        <w:rPr>
          <w:rFonts w:ascii="Georgia" w:cs="Georgia" w:eastAsia="Georgia" w:hAnsi="Georgia"/>
          <w:sz w:val="24"/>
          <w:szCs w:val="24"/>
        </w:rPr>
        <w:t xml:space="preserve">), CovRL-Fuzz kombinira LLM-ove s pojačanim učenjem vođenim pokrivanjem za testiranje JavaScript interpretera, uspješno identificirajući 58 sigurnosnih grešaka iz stvarnog svijeta uključujući 50 prethodno nepoznatih.</w:t>
      </w:r>
    </w:p>
    <w:p>
      <w:r>
        <w:br w:type="page"/>
      </w:r>
    </w:p>
    <w:p>
      <w:pPr>
        <w:pStyle w:val="Heading2"/>
        <w:spacing w:before="400" w:after="240"/>
      </w:pPr>
      <w:r>
        <w:rPr>
          <w:rFonts w:ascii="Georgia" w:cs="Georgia" w:eastAsia="Georgia" w:hAnsi="Georgia"/>
          <w:b/>
          <w:bCs/>
          <w:sz w:val="30"/>
          <w:szCs w:val="30"/>
        </w:rPr>
        <w:t xml:space="preserve">4.6  Primjena pojačanog učenja s provjerljivim nagradama</w:t>
      </w:r>
    </w:p>
    <w:p>
      <w:pPr>
        <w:spacing w:after="200" w:line="320"/>
      </w:pPr>
      <w:r>
        <w:rPr>
          <w:rFonts w:ascii="Georgia" w:cs="Georgia" w:eastAsia="Georgia" w:hAnsi="Georgia"/>
          <w:sz w:val="24"/>
          <w:szCs w:val="24"/>
        </w:rPr>
        <w:t xml:space="preserve">Pojačano učenje s provjerljivim nagradama (RLVR) nova je paradigma dizajnirana za pojačavanje sposobnosti rezoniranja u LLM-ovima, posebno za domene poput matematike i sinteze programa. Zamislite to ovako. U klasičnom pojačanom učenju, nagrada dolazi od ljudskog evaluatora koji kaže ovaj odgovor mi se sviđa ili ne sviđa, što je neizbježno subjektivno i skupo. U RLVR-u, nagrada dolazi od determinističkog verifikatora koji kaže kod prolazi sve testove ili kod ne prolazi testove. Nema subjektivnosti, nema ambigviteta, nema troška ljudske evaluacije. Umjesto oslanjanja na naučene modele nagrađivanja ili heurističke ocjene preferencija, funkcija provjerljive nagrade izravno mjeri ispravnost zadatka, primjerice, prolazi li generirani matematički dokaz do ispravnog odgovora ili prolazi li dio koda sve jedinične testove. Nagrada je tipično binarna (prolaz/pad), pružajući jasan i pouzdan signal koji se precizno usklađuje s ciljevima zadatka.</w:t>
      </w:r>
    </w:p>
    <w:p>
      <w:pPr>
        <w:spacing w:after="200" w:line="320"/>
      </w:pPr>
      <w:r>
        <w:rPr>
          <w:rFonts w:ascii="Georgia" w:cs="Georgia" w:eastAsia="Georgia" w:hAnsi="Georgia"/>
          <w:sz w:val="24"/>
          <w:szCs w:val="24"/>
        </w:rPr>
        <w:t xml:space="preserve">Nedavno uvođenje GRPO algoritma i njegova primjena velikog razmjera u DeepSeek-R1 doveli su RLVR u prvi plan istraživanja rezonantnih LLM-ova. GRPO modificira standardni PPO okvir izračunavanjem procjena prednosti unutar grupe generiranih uzoraka umjesto treniranja zasebnog modela vrijednosti. Ovaj pristup grupne normalizacije eliminira potrebu za naučenom mrežom kritičara, značajno poboljšavajući učinkovitost i stabilnost treniranja uz održavanje usklađenosti s provjerljivom nagradom. Ova svojstva čine RLVR posebno prikladnim za domene intenzivnog rezoniranja poput algoritmičkog rješavanja problema i sinteze koda, gdje se ispravnost može eksplicitno provjeriti računalnim proročištem.</w:t>
      </w:r>
    </w:p>
    <w:p>
      <w:pPr>
        <w:pStyle w:val="Heading3"/>
        <w:spacing w:before="360" w:after="200"/>
      </w:pPr>
      <w:r>
        <w:rPr>
          <w:rFonts w:ascii="Georgia" w:cs="Georgia" w:eastAsia="Georgia" w:hAnsi="Georgia"/>
          <w:b/>
          <w:bCs/>
          <w:sz w:val="26"/>
          <w:szCs w:val="26"/>
        </w:rPr>
        <w:t xml:space="preserve">4.6.1  Skupovi podataka prikladni za RLVR u kodnim zadacima</w:t>
      </w:r>
    </w:p>
    <w:p>
      <w:pPr>
        <w:spacing w:after="200" w:line="320"/>
      </w:pPr>
      <w:r>
        <w:rPr>
          <w:rFonts w:ascii="Georgia" w:cs="Georgia" w:eastAsia="Georgia" w:hAnsi="Georgia"/>
          <w:sz w:val="24"/>
          <w:szCs w:val="24"/>
        </w:rPr>
        <w:t xml:space="preserve">Razvijena je raznolikost specijaliziranih kodnih skupova podataka za olakšavanje RLVR treniranja. Ovi skupovi podataka konstruiraju programerske probleme zajedno s determinističkim verifikatorima poput ulazno-izlaznih testnih slučajeva ili jediničnih testova, osiguravajući da se izlazi modela mogu automatski provjeriti za ispravnost. CodeContests je velik skup natjecateljskog programiranja s približno 13.300 problema za treniranje AlphaCode modela. TACO agregira zadatke s natjecateljskih platformi pokrivajući uobičajene teme poput sortiranja, dinamičkog programiranja i algoritama na grafovima. Eurus-2-RL je mješoviti skup za RL treniranje s 27.000 kodnih problema svi opremljeni verifikatorima. ACECode-87K je sintetički skup od otprilike 87.000 problema kreiranih putem automatiziranog generiranja testnih slučajeva. SYNTHETIC-1 je masivni skup s preko 1,4 milijuna zadataka koji obuhvaćaju matematiku, programiranje i softversko inženjerstvo. KodCode je najveći potpuno sintetički skup kodnih problema do danas s oko 48.400 trojki pitanje/rješenje/test. HardTests je skup natjecateljskog programiranja obogaćen visokokvalitetnim sintetiziranim testnim slučajevima za smanjenje lažno pozitivnih rezultata. Code-R1-12K je kurirani skup od 12.000 instanci kodnih problema sklopljen kao dio otvorenog Code-R1 projekta.</w:t>
      </w:r>
    </w:p>
    <w:p>
      <w:pPr>
        <w:spacing w:after="200" w:line="320"/>
      </w:pPr>
      <w:r>
        <w:rPr>
          <w:rFonts w:ascii="Georgia" w:cs="Georgia" w:eastAsia="Georgia" w:hAnsi="Georgia"/>
          <w:sz w:val="24"/>
          <w:szCs w:val="24"/>
        </w:rPr>
        <w:t xml:space="preserve">Za vašu profesionalnu praksu, razumijevanje RLVR-a i ovih skupova podataka važno je iz jednog ključnog razloga. Ova paradigma fundamentalno mijenja način na koji modeli uče kodirati. Umjesto da memoriraju obrasce iz trenirnih podataka, modeli razvijaju sposobnost rezoniranja, samoverifikacije i ispravljanja grešaka, sposobnosti koje se prenose na nove, neviđene probleme. Kada evaluirate model za kod, pitajte je li treniran samo sa SFT-om ili i s RLVR-om. Odgovor vam može reći koliko duboko model zaista razumije programiranje nasuprot tome koliko dobro reproducira obrasce koje je vidio tijekom treniranja. To je razlika između učenika koji je zapamtio odgovore i učenika koji je naučio razmišljati.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3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400" w:after="240"/>
      <w:outlineLvl w:val="1"/>
    </w:pPr>
    <w:rPr>
      <w:rFonts w:ascii="Georgia" w:cs="Georgia" w:eastAsia="Georgia" w:hAnsi="Georgia"/>
      <w:b/>
      <w:bCs/>
      <w:color w:val="2a2a2a"/>
      <w:sz w:val="30"/>
      <w:szCs w:val="30"/>
    </w:rPr>
  </w:style>
  <w:style w:type="paragraph" w:styleId="Heading3">
    <w:name w:val="Heading 3"/>
    <w:basedOn w:val="Normal"/>
    <w:next w:val="Normal"/>
    <w:qFormat/>
    <w:pPr>
      <w:spacing w:before="360" w:after="200"/>
      <w:outlineLvl w:val="2"/>
    </w:pPr>
    <w:rPr>
      <w:rFonts w:ascii="Georgia" w:cs="Georgia" w:eastAsia="Georgia" w:hAnsi="Georgia"/>
      <w:b/>
      <w:bCs/>
      <w:color w:val="3a3a3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2026-03-23T06:27:06.468Z</dcterms:created>
  <dcterms:modified xsi:type="dcterms:W3CDTF">2026-03-23T06:27:06.469Z</dcterms:modified>
</cp:coreProperties>
</file>

<file path=docProps/custom.xml><?xml version="1.0" encoding="utf-8"?>
<Properties xmlns="http://schemas.openxmlformats.org/officeDocument/2006/custom-properties" xmlns:vt="http://schemas.openxmlformats.org/officeDocument/2006/docPropsVTypes"/>
</file>