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6  Kod za generalističke agente</w:t>
      </w:r>
    </w:p>
    <w:p>
      <w:pPr>
        <w:spacing w:after="200" w:line="320"/>
      </w:pPr>
      <w:r>
        <w:rPr>
          <w:rFonts w:ascii="Georgia" w:cs="Georgia" w:eastAsia="Georgia" w:hAnsi="Georgia"/>
          <w:sz w:val="24"/>
          <w:szCs w:val="24"/>
        </w:rPr>
        <w:t xml:space="preserve">U prethodnom poglavlju govorili smo o agentima specijaliziranim za softversko inženjerstvo, sustavima koji pišu, testiraju i popravljaju kod unutar jasno definiranih razvojnih procesa. Sada podižemo pogled na širu sliku. Zamislite razliku između kirurga koji operira u operacijskoj sali i planinara koji se snalazi u divljini bez mape, bez staze, bez jasnog cilja osim preživjeti i napredovati. Generalistički agenti su ti planinari. Oni koriste kod ne samo za pisanje softvera, nego kao univerzalni medij koji im omogućuje razmišljanje o problemima i izvršavanje akcija kroz mnogo različitih zadataka i okruženja, umjesto da budu ograničeni na jednu specijaliziranu funkciju.</w:t>
      </w:r>
    </w:p>
    <w:p>
      <w:pPr>
        <w:spacing w:after="200" w:line="320"/>
      </w:pPr>
      <w:r>
        <w:rPr>
          <w:rFonts w:ascii="Georgia" w:cs="Georgia" w:eastAsia="Georgia" w:hAnsi="Georgia"/>
          <w:sz w:val="24"/>
          <w:szCs w:val="24"/>
        </w:rPr>
        <w:t xml:space="preserve">Integracija koda postala je ključna paradigma u razvoju generalističkih agenata, omogućujući kombinaciju kognitivnog rezoniranja s izvršivim akcijama kroz raznolike sredine. Ovaj odjeljak sintetizira nedavni napredak u korištenju koda izvan njegove konvencionalne uloge, naglašavajući tri ključne dimenzije u arhitekturi agenata. Prva su protokoli interakcije, gdje kod uspostavlja strukturirane komunikacijske okvire uključujući obrasce korištenja alata, protokol konteksta modela (engl. </w:t>
      </w:r>
      <w:r>
        <w:rPr>
          <w:rFonts w:ascii="Georgia" w:cs="Georgia" w:eastAsia="Georgia" w:hAnsi="Georgia"/>
          <w:i/>
          <w:iCs/>
          <w:sz w:val="24"/>
          <w:szCs w:val="24"/>
        </w:rPr>
        <w:t xml:space="preserve">Model Context Protocol</w:t>
      </w:r>
      <w:r>
        <w:rPr>
          <w:rFonts w:ascii="Georgia" w:cs="Georgia" w:eastAsia="Georgia" w:hAnsi="Georgia"/>
          <w:sz w:val="24"/>
          <w:szCs w:val="24"/>
        </w:rPr>
        <w:t xml:space="preserve"> ili MCP) i sheme koordinacije više agenata (engl. </w:t>
      </w:r>
      <w:r>
        <w:rPr>
          <w:rFonts w:ascii="Georgia" w:cs="Georgia" w:eastAsia="Georgia" w:hAnsi="Georgia"/>
          <w:i/>
          <w:iCs/>
          <w:sz w:val="24"/>
          <w:szCs w:val="24"/>
        </w:rPr>
        <w:t xml:space="preserve">Agent-to-Agent</w:t>
      </w:r>
      <w:r>
        <w:rPr>
          <w:rFonts w:ascii="Georgia" w:cs="Georgia" w:eastAsia="Georgia" w:hAnsi="Georgia"/>
          <w:sz w:val="24"/>
          <w:szCs w:val="24"/>
        </w:rPr>
        <w:t xml:space="preserve"> ili A2A). Druga su agentske sposobnosti, gdje pristupi vođeni kodom omogućuju agentima generiranje i izvršavanje koda za složenu logiku, manipulaciju podatcima i zadatke softverskog inženjerstva. Treća su sučelja okruženja, gdje kod podupire i simulirana okruženja i sučelja prema stvarnom svijetu, nudeći skalabilne i provjerljive platforme za treniranje, evaluaciju i postavljanje agenata.</w:t>
      </w:r>
    </w:p>
    <w:p>
      <w:pPr>
        <w:pStyle w:val="Heading2"/>
        <w:spacing w:before="400" w:after="240"/>
      </w:pPr>
      <w:r>
        <w:rPr>
          <w:rFonts w:ascii="Georgia" w:cs="Georgia" w:eastAsia="Georgia" w:hAnsi="Georgia"/>
          <w:b/>
          <w:bCs/>
          <w:sz w:val="30"/>
          <w:szCs w:val="30"/>
        </w:rPr>
        <w:t xml:space="preserve">6.1  Kod kao protokoli interakcije</w:t>
      </w:r>
    </w:p>
    <w:p>
      <w:pPr>
        <w:pStyle w:val="Heading3"/>
        <w:spacing w:before="360" w:after="200"/>
      </w:pPr>
      <w:r>
        <w:rPr>
          <w:rFonts w:ascii="Georgia" w:cs="Georgia" w:eastAsia="Georgia" w:hAnsi="Georgia"/>
          <w:b/>
          <w:bCs/>
          <w:sz w:val="26"/>
          <w:szCs w:val="26"/>
        </w:rPr>
        <w:t xml:space="preserve">6.1.1  Korištenje alata</w:t>
      </w:r>
    </w:p>
    <w:p>
      <w:pPr>
        <w:spacing w:after="200" w:line="320"/>
      </w:pPr>
      <w:r>
        <w:rPr>
          <w:rFonts w:ascii="Georgia" w:cs="Georgia" w:eastAsia="Georgia" w:hAnsi="Georgia"/>
          <w:sz w:val="24"/>
          <w:szCs w:val="24"/>
        </w:rPr>
        <w:t xml:space="preserve">Zamislite majstora u radionici. Oko njega su stotine alata, od čekića i pile do sofisticiranih elektroničkih instrumenata. Ono što ga čini majstorom nije samo znanje o svakom alatu, nego sposobnost da u pravom trenutku odabere pravi alat, pravilno ga uporabi i interpretira rezultat. Upravo tu analogiju možemo primijeniti na LLM agente koji koriste alate. U radnim procesima agenata baziranih na LLM-ovima, svaki alat je u osnovi utjelovljen u kodu koji služi kao formalni supstrat definirajući i sintaksno sučelje i semantičku logiku funkcionalnosti alata. Pozivanje funkcija (engl. </w:t>
      </w:r>
      <w:r>
        <w:rPr>
          <w:rFonts w:ascii="Georgia" w:cs="Georgia" w:eastAsia="Georgia" w:hAnsi="Georgia"/>
          <w:i/>
          <w:iCs/>
          <w:sz w:val="24"/>
          <w:szCs w:val="24"/>
        </w:rPr>
        <w:t xml:space="preserve">function calling</w:t>
      </w:r>
      <w:r>
        <w:rPr>
          <w:rFonts w:ascii="Georgia" w:cs="Georgia" w:eastAsia="Georgia" w:hAnsi="Georgia"/>
          <w:sz w:val="24"/>
          <w:szCs w:val="24"/>
        </w:rPr>
        <w:t xml:space="preserve">) djeluje kao središnji mehanizam, pružajući LLM-ovima strukturirano sučelje za interakciju s izvršivim kodom ili vanjskim uslugama.</w:t>
      </w:r>
    </w:p>
    <w:p>
      <w:pPr>
        <w:spacing w:after="200" w:line="320"/>
      </w:pPr>
      <w:r>
        <w:rPr>
          <w:rFonts w:ascii="Georgia" w:cs="Georgia" w:eastAsia="Georgia" w:hAnsi="Georgia"/>
          <w:sz w:val="24"/>
          <w:szCs w:val="24"/>
        </w:rPr>
        <w:t xml:space="preserve">Metode pozivanja funkcija mogu se široko kategorizirati u pristupe bez ugađanja i pristupe s ugađanjem. Pristupi bez ugađanja koriste sposobnosti učenja iz konteksta kod LLM-ova, tipično koristeći demonstracije s malo uzoraka ili usavršavanja bazirana na pravilima. Reverse Chain primjerice usvaja strategiju obrnutog rezoniranja koja najprije identificira odgovarajući ciljni alat za dani zadatak, a zatim popunjava relevantne parametre. EasyTool pojačava razumijevanje funkcija alata i zahtjeva parametara poticanjem ChatGPT-a da prepiše dugačke opise alata u sažete smjernice orijentirane na funkcije. Pristupi s ugađanjem poboljšavaju pozivanje funkcija kroz fino ugađanje parametara s namjenskim skupovima podataka za učenje alata. GPT4Tools integrira sposobnosti korištenja alata u LLM-ove otvorenog koda putem LoRA finog ugađanja, koristeći skupove podataka o upotrebi alata automatski generirane od strane ChatGPT-a. ToolkenGPT uvodi specijalizirane tokene, nazvane toolkeni, koji djeluju kao okidači za pozivanje alata.</w:t>
      </w:r>
    </w:p>
    <w:p>
      <w:pPr>
        <w:spacing w:after="200" w:line="320"/>
      </w:pPr>
      <w:r>
        <w:rPr>
          <w:rFonts w:ascii="Georgia" w:cs="Georgia" w:eastAsia="Georgia" w:hAnsi="Georgia"/>
          <w:sz w:val="24"/>
          <w:szCs w:val="24"/>
        </w:rPr>
        <w:t xml:space="preserve">Pozivanje funkcija služi kao temeljni mehanizam u raznim paradigmama agenata obogaćenih alatima. Okvir ReAct implementira pozive funkcija tijekom faze akcije, gdje model eksplicitno ispisuje naziv alata i parametre za pokretanje poziva, nakon čega slijedi faza promatranja u kojoj se odgovori alata integriraju za vođenje naknadnog rezoniranja. ReWOO nasuprot tome ima dvostupanjsku strukturu s fazom planiranja koja sastavlja strukturiranu listu potrebnih poziva funkcija i fazom izvršavanja u kojoj agenti radnici pozivaju funkcije, izvršavaju zadatke i vraćaju rezultate. Za rukovanje nesigurnošću i neuspjelim pozivima, DERA uvodi ciklički protokol interakcije. Kada se suoči s dvosmislenim uputama, model suspendira izvršavanje, ulazi u pojašnjavajući dijalog s korisnikom i nastavlja pozive funkcija nakon što stekne dovoljno informacija.</w:t>
      </w:r>
    </w:p>
    <w:p>
      <w:pPr>
        <w:pStyle w:val="Heading3"/>
        <w:spacing w:before="360" w:after="200"/>
      </w:pPr>
      <w:r>
        <w:rPr>
          <w:rFonts w:ascii="Georgia" w:cs="Georgia" w:eastAsia="Georgia" w:hAnsi="Georgia"/>
          <w:b/>
          <w:bCs/>
          <w:sz w:val="26"/>
          <w:szCs w:val="26"/>
        </w:rPr>
        <w:t xml:space="preserve">6.1.2  Protokol konteksta modela (MCP)</w:t>
      </w:r>
    </w:p>
    <w:p>
      <w:pPr>
        <w:spacing w:after="200" w:line="320"/>
      </w:pPr>
      <w:r>
        <w:rPr>
          <w:rFonts w:ascii="Georgia" w:cs="Georgia" w:eastAsia="Georgia" w:hAnsi="Georgia"/>
          <w:sz w:val="24"/>
          <w:szCs w:val="24"/>
        </w:rPr>
        <w:t xml:space="preserve">Protokol konteksta modela je standardizirani komunikacijski okvir dizajniran za koordinaciju interakcija između modela i vanjskih alata. Za razliku od autonomnog korištenja alata koje u potpunosti ovisi o internom rezoniranju, MCP uvodi strukturirane formate poruka, eksplicitnu semantiku pozivanja i dobro definirane mehanizme za upravljanje stanjima konteksta. Zamislite to kao standardizirani jezik kojim govore svi alati i svi modeli, poput engleskog jezika u međunarodnoj diplomaciji. Bez zajedničkog protokola, svaki par model/alat morao bi imati vlastiti prilagođeni način komunikacije, što bi bilo neodrživb pri skaliranju. Operativni ciklus MCP-a sastoji se od četiri faze, zahtjev, odgovor, ažuriranje stanja i ponovni poziv. Zajedno, ove faze tvore proces zatvorene petlje koji povezuje izvršavanje alata s kontinuiranim upravljanjem kontekstom, čime poboljšavaju pouzdanost, interpretabilnost i skalabilnost dovršavanja zadataka kroz više krugova.</w:t>
      </w:r>
    </w:p>
    <w:p>
      <w:pPr>
        <w:pStyle w:val="Heading3"/>
        <w:spacing w:before="360" w:after="200"/>
      </w:pPr>
      <w:r>
        <w:rPr>
          <w:rFonts w:ascii="Georgia" w:cs="Georgia" w:eastAsia="Georgia" w:hAnsi="Georgia"/>
          <w:b/>
          <w:bCs/>
          <w:sz w:val="26"/>
          <w:szCs w:val="26"/>
        </w:rPr>
        <w:t xml:space="preserve">6.1.3  Koordinacija više agenata</w:t>
      </w:r>
    </w:p>
    <w:p>
      <w:pPr>
        <w:spacing w:after="200" w:line="320"/>
      </w:pPr>
      <w:r>
        <w:rPr>
          <w:rFonts w:ascii="Georgia" w:cs="Georgia" w:eastAsia="Georgia" w:hAnsi="Georgia"/>
          <w:sz w:val="24"/>
          <w:szCs w:val="24"/>
        </w:rPr>
        <w:t xml:space="preserve">Agent-to-Agent ili A2A je suradnički obrazac u kojem agenti komuniciraju izravno jedni s drugima za ostvarivanje složenih zadataka. Umjesto da se oslanjaju na autonomno rezoniranje jednog agenta, A2A dekompozira zadatke među specijaliziranim agentima koji koordiniraju pozivanje alata i obradu informacija kroz prosljeđivanje poruka i dijeljeni kontekst. Zamislite tim specijalista u bolnici. Svaki liječnik ima svoju ekspertizu, ali zajedno donose odluke o liječenju pacijenta kroz konzilij, dijeleći nalaze i raspravljajući o opcijama. Upravo tako funkcionira A2A, agenti u ovoj paradigmi mogu pozivati vanjske alate i interagirati s kolegama agentima za popunjavanje praznina u znanju ili kompenziranje ograničenja, čime poboljšavaju i učinkovitost i točnost rješavanja problema.</w:t>
      </w:r>
    </w:p>
    <w:p>
      <w:r>
        <w:br w:type="page"/>
      </w:r>
    </w:p>
    <w:p>
      <w:pPr>
        <w:pStyle w:val="Heading2"/>
        <w:spacing w:before="400" w:after="240"/>
      </w:pPr>
      <w:r>
        <w:rPr>
          <w:rFonts w:ascii="Georgia" w:cs="Georgia" w:eastAsia="Georgia" w:hAnsi="Georgia"/>
          <w:b/>
          <w:bCs/>
          <w:sz w:val="30"/>
          <w:szCs w:val="30"/>
        </w:rPr>
        <w:t xml:space="preserve">6.2  Kod kao agentske sposobnosti</w:t>
      </w:r>
    </w:p>
    <w:p>
      <w:pPr>
        <w:spacing w:after="200" w:line="320"/>
      </w:pPr>
      <w:r>
        <w:rPr>
          <w:rFonts w:ascii="Georgia" w:cs="Georgia" w:eastAsia="Georgia" w:hAnsi="Georgia"/>
          <w:sz w:val="24"/>
          <w:szCs w:val="24"/>
        </w:rPr>
        <w:t xml:space="preserve">AI agenti stekli su znatan istraživački interes, popraćen rastućim naporima za karakterizaciju njihovih temeljnih sposobnosti. ReAct paradigma strukturira ponašanje agenta u tri faze, misao (rezoniranje, planiranje i donošenje odluka), akcija (izvršavanje odluka) i promatranje (primanje povratnih informacija iz okruženja za naknadne odluke). Ovaj odjeljak analizira ulogu LLM-ova baziranih na kodu unutar arhitekture agenata iz tri perspektive, razmišljanje, djelovanje i pamćenje.</w:t>
      </w:r>
    </w:p>
    <w:p>
      <w:pPr>
        <w:pStyle w:val="Heading3"/>
        <w:spacing w:before="360" w:after="200"/>
      </w:pPr>
      <w:r>
        <w:rPr>
          <w:rFonts w:ascii="Georgia" w:cs="Georgia" w:eastAsia="Georgia" w:hAnsi="Georgia"/>
          <w:b/>
          <w:bCs/>
          <w:sz w:val="26"/>
          <w:szCs w:val="26"/>
        </w:rPr>
        <w:t xml:space="preserve">6.2.1  Razmišljanje u kodu</w:t>
      </w:r>
    </w:p>
    <w:p>
      <w:pPr>
        <w:spacing w:after="200" w:line="320"/>
      </w:pPr>
      <w:r>
        <w:rPr>
          <w:rFonts w:ascii="Georgia" w:cs="Georgia" w:eastAsia="Georgia" w:hAnsi="Georgia"/>
          <w:sz w:val="24"/>
          <w:szCs w:val="24"/>
        </w:rPr>
        <w:t xml:space="preserve">Kada se suočavaju sa složenim zadacima rezoniranja, LLM-ovi značajno profitiraju od tehnika generiranja koda koje poboljšavaju i preciznost i učinkovitost. Zamislite razliku između studenta koji pokušava izračunati složen integral u glavi i studenta koji napiše program koji ga izračunava. Drugi student ne mora držati sve međukorake u radnoj memoriji, jer ih je eksternalizirao u kod koji se može izvršiti i provjeriti. Koncept rezoniranja pomoću koda inicijalno je nastao u domeni matematičkog rješavanja problema. Programski potpomognuti jezični modeli (engl. </w:t>
      </w:r>
      <w:r>
        <w:rPr>
          <w:rFonts w:ascii="Georgia" w:cs="Georgia" w:eastAsia="Georgia" w:hAnsi="Georgia"/>
          <w:i/>
          <w:iCs/>
          <w:sz w:val="24"/>
          <w:szCs w:val="24"/>
        </w:rPr>
        <w:t xml:space="preserve">Program-Aided Language Models</w:t>
      </w:r>
      <w:r>
        <w:rPr>
          <w:rFonts w:ascii="Georgia" w:cs="Georgia" w:eastAsia="Georgia" w:hAnsi="Georgia"/>
          <w:sz w:val="24"/>
          <w:szCs w:val="24"/>
        </w:rPr>
        <w:t xml:space="preserve"> ili PAL) koriste učenje iz malo uzoraka i poticanje lanca misli za generiranje Python koda koji izvršava međukorake rezoniranja uključujući matematičke operacije, simboličku manipulaciju i algoritmičku logiku. Ovaj pristup omogućuje točnije ishode kroz verifikaciju baziranu na izvršavanju.</w:t>
      </w:r>
    </w:p>
    <w:p>
      <w:pPr>
        <w:spacing w:after="200" w:line="320"/>
      </w:pPr>
      <w:r>
        <w:rPr>
          <w:rFonts w:ascii="Georgia" w:cs="Georgia" w:eastAsia="Georgia" w:hAnsi="Georgia"/>
          <w:sz w:val="24"/>
          <w:szCs w:val="24"/>
        </w:rPr>
        <w:t xml:space="preserve">Izvan matematičkog rješavanja problema, lanac koda (engl. </w:t>
      </w:r>
      <w:r>
        <w:rPr>
          <w:rFonts w:ascii="Georgia" w:cs="Georgia" w:eastAsia="Georgia" w:hAnsi="Georgia"/>
          <w:i/>
          <w:iCs/>
          <w:sz w:val="24"/>
          <w:szCs w:val="24"/>
        </w:rPr>
        <w:t xml:space="preserve">Chain of Code</w:t>
      </w:r>
      <w:r>
        <w:rPr>
          <w:rFonts w:ascii="Georgia" w:cs="Georgia" w:eastAsia="Georgia" w:hAnsi="Georgia"/>
          <w:sz w:val="24"/>
          <w:szCs w:val="24"/>
        </w:rPr>
        <w:t xml:space="preserve"> ili CoC) okvir rezoniranja proširuje kodovno bazirano rezoniranje na numeričke i opće semantičke zadatke. LLM-ovi generiraju i izvršavaju isječke koda pod vodstvom upita, olakšavajući strukturirano rješavanje problema. Za numeričke zadatke, CoC omogućuje precizno računanje kroz izvršivi kod. Za semantičko rezoniranje koristi pseudokod sastavljen od struktura podataka, uvjeta i petlji za modeliranje apstraktnih procesa rezoniranja. Osim podržavanja rezoniranja za jedan zadatak, tehnike generiranja koda igraju ključnu ulogu u planiranju za više zadataka. CodePlan formulira planiranje zadataka eksplicitno u kodu, čime smanjuje dvosmislenost iz uputa na prirodnom jeziku i poboljšava performanse u složenim zadacima višekoraknog rezoniranja. Za višeagentske scenarije, namjenski planer generira planove pseudokoda u stilu Pythona koji obuhvaćaju inicijalizaciju varijabli, uvjetnu logiku i iterativne strukture, transformirajući ih u izvršive CodeAct instrukcije.</w:t>
      </w:r>
    </w:p>
    <w:p>
      <w:pPr>
        <w:pStyle w:val="Heading3"/>
        <w:spacing w:before="360" w:after="200"/>
      </w:pPr>
      <w:r>
        <w:rPr>
          <w:rFonts w:ascii="Georgia" w:cs="Georgia" w:eastAsia="Georgia" w:hAnsi="Georgia"/>
          <w:b/>
          <w:bCs/>
          <w:sz w:val="26"/>
          <w:szCs w:val="26"/>
        </w:rPr>
        <w:t xml:space="preserve">6.2.2  Djelovanje u kodu</w:t>
      </w:r>
    </w:p>
    <w:p>
      <w:pPr>
        <w:spacing w:after="200" w:line="320"/>
      </w:pPr>
      <w:r>
        <w:rPr>
          <w:rFonts w:ascii="Georgia" w:cs="Georgia" w:eastAsia="Georgia" w:hAnsi="Georgia"/>
          <w:sz w:val="24"/>
          <w:szCs w:val="24"/>
        </w:rPr>
        <w:t xml:space="preserve">Kada se koristi unutar izvršnog modula agenta, kod se mora povezati s alatima na razini sustava putem standardiziranih agentskih protokola. GPT-4 Code Interpreter omogućuje modelima izvršavanje koda za napredne zadatke rezoniranja. Open Interpreter predstavlja okvir otvorenog koda koji omogućuje jezičnim modelima lokalno izvršavanje koda kroz više jezika, uključujući Python, JavaScript i Shell. CodeAct uvodi koncept koji omogućuje interaktivne operacije generiranjem izvršivog Python koda, eliminirajući potrebu za prilagođenim omotačima alata izravnom integracijom izvršavanja koda s Python interpretatorom. Ovaj pristup nudi bogatiju podršku za tok kontrole i upravljanje podatcima, omogućujući pohranjivanje međurezultata kao varijabli i njihovo ponovno korištenje kroz korake.</w:t>
      </w:r>
    </w:p>
    <w:p>
      <w:pPr>
        <w:spacing w:after="200" w:line="320"/>
      </w:pPr>
      <w:r>
        <w:rPr>
          <w:rFonts w:ascii="Georgia" w:cs="Georgia" w:eastAsia="Georgia" w:hAnsi="Georgia"/>
          <w:sz w:val="24"/>
          <w:szCs w:val="24"/>
        </w:rPr>
        <w:t xml:space="preserve">Zanimljiv je nalaz o tome kako LLM-ovi s različitim sposobnostima rezoniranja odlučuju hoće li pozvati Code Interpreter. Eksperimenti na zadacima matematičkog rezoniranja otkrivaju kontraintuitivan trend. Manje sposobni modeli poput GPT-3.5 skloniji su korištenju Code Interpretera i posljedično postižu višu točnost. Nasuprot tome, sposobniji modeli poput GPT-4o teže se osloniti na vlastite interne sposobnosti rezoniranja i preferiraju tekstualno rezoniranje, često pokazujući pretjerano samopouzdanje koje vodi do povećanih grešaka na umjereno teškim problemima, fenomen nazvan efekt inverznog skaliranja. Za praktične primjene, nekoliko studija ispituje konkretne slučajeve uporabe. U zdravstvenom sektoru, EHRAgent omogućuje medicinskom osoblju izravno generiranje izvršivog koda putem LLM-ova za višetablično rezoniranje nad elektroničkim zdravstvenim zapisima. U domeni utjelovljene inteligencije, LLM generirani kod koristi se za upravljanje robotskim sustavima, omogućujući agentima pretvaranje uputa visoke razine u precizne izvršive akcije.</w:t>
      </w:r>
    </w:p>
    <w:p>
      <w:pPr>
        <w:pStyle w:val="Heading3"/>
        <w:spacing w:before="360" w:after="200"/>
      </w:pPr>
      <w:r>
        <w:rPr>
          <w:rFonts w:ascii="Georgia" w:cs="Georgia" w:eastAsia="Georgia" w:hAnsi="Georgia"/>
          <w:b/>
          <w:bCs/>
          <w:sz w:val="26"/>
          <w:szCs w:val="26"/>
        </w:rPr>
        <w:t xml:space="preserve">6.2.3  Pamćenje kodom</w:t>
      </w:r>
    </w:p>
    <w:p>
      <w:pPr>
        <w:spacing w:after="200" w:line="320"/>
      </w:pPr>
      <w:r>
        <w:rPr>
          <w:rFonts w:ascii="Georgia" w:cs="Georgia" w:eastAsia="Georgia" w:hAnsi="Georgia"/>
          <w:sz w:val="24"/>
          <w:szCs w:val="24"/>
        </w:rPr>
        <w:t xml:space="preserve">Kao odgovor na ograničenja duljine konteksta kod LLM-ova, istraživači su istražili razne strategije pohrane, među kojima je pohrana bazirana na kodu pokazala zapaženu učinkovitost. Zamislite programera koji svaki put kada nauči nešto novo zapisuje rješenje u vlastitu biblioteku funkcija. Sljedeći put kada naiđe na sličan problem, ne mora razmišljati od nule, samo pozove gotovu funkciju iz svoje biblioteke. Upravo tako funkcionira pamćenje kodom. Voyager primjerice implementira okvir u kojem agenti autonomno stječu vještine generiranjem i iterativnim usavršavanjem koda kroz interakcije s okruženjem u Minecraftu. Validirane vještine pohranjuju se kao izvršivi kod u namjenskoj biblioteci i kasnije se izravno dohvaćaju za ponovnu uporabu, čime se eliminira potreba za ponovljenim zaključivanjem modela. MemGPT predlaže okvir upravljanja kontekstom inspiriran virtualnom memorijom koji proširuje efektivnu memoriju LLM-ova dizajniranjem specijaliziranih poziva funkcija za čitanje i pisanje radi dinamičkog upravljanja i internim i vanjskim kontekstom.</w:t>
      </w:r>
    </w:p>
    <w:p>
      <w:r>
        <w:br w:type="page"/>
      </w:r>
    </w:p>
    <w:p>
      <w:pPr>
        <w:pStyle w:val="Heading2"/>
        <w:spacing w:before="400" w:after="240"/>
      </w:pPr>
      <w:r>
        <w:rPr>
          <w:rFonts w:ascii="Georgia" w:cs="Georgia" w:eastAsia="Georgia" w:hAnsi="Georgia"/>
          <w:b/>
          <w:bCs/>
          <w:sz w:val="30"/>
          <w:szCs w:val="30"/>
        </w:rPr>
        <w:t xml:space="preserve">6.3  Kod kao sučelja okruženja</w:t>
      </w:r>
    </w:p>
    <w:p>
      <w:pPr>
        <w:pStyle w:val="Heading3"/>
        <w:spacing w:before="360" w:after="200"/>
      </w:pPr>
      <w:r>
        <w:rPr>
          <w:rFonts w:ascii="Georgia" w:cs="Georgia" w:eastAsia="Georgia" w:hAnsi="Georgia"/>
          <w:b/>
          <w:bCs/>
          <w:sz w:val="26"/>
          <w:szCs w:val="26"/>
        </w:rPr>
        <w:t xml:space="preserve">6.3.1  Kod kao simulacijski poligon</w:t>
      </w:r>
    </w:p>
    <w:p>
      <w:pPr>
        <w:spacing w:after="200" w:line="320"/>
      </w:pPr>
      <w:r>
        <w:rPr>
          <w:rFonts w:ascii="Georgia" w:cs="Georgia" w:eastAsia="Georgia" w:hAnsi="Georgia"/>
          <w:sz w:val="24"/>
          <w:szCs w:val="24"/>
        </w:rPr>
        <w:t xml:space="preserve">S napretkom sposobnosti rezoniranja LLM-ova i rastućom raznolikošću zadataka rezoniranja, evaluacija i kultiviranje vještina dugoročnog planiranja postala je kritičan izazov. Tradicionalna jednokružna mjerila rezoniranja nedovoljna su za procjenu ili treniranje takvih sposobnosti. Da bi se riješilo ovo ograničenje, predložen je koncept koda kao simulacijskog poligona (engl. </w:t>
      </w:r>
      <w:r>
        <w:rPr>
          <w:rFonts w:ascii="Georgia" w:cs="Georgia" w:eastAsia="Georgia" w:hAnsi="Georgia"/>
          <w:i/>
          <w:iCs/>
          <w:sz w:val="24"/>
          <w:szCs w:val="24"/>
        </w:rPr>
        <w:t xml:space="preserve">Code as Simulation Gym</w:t>
      </w:r>
      <w:r>
        <w:rPr>
          <w:rFonts w:ascii="Georgia" w:cs="Georgia" w:eastAsia="Georgia" w:hAnsi="Georgia"/>
          <w:sz w:val="24"/>
          <w:szCs w:val="24"/>
        </w:rPr>
        <w:t xml:space="preserve"> ili CodeGYM), izgrađen na Gymnasium platformi za pojačano učenje. CodeGYM konstruira raznovrsna složena okruženja zadataka koja omogućuju modelima kontinuiranu interakciju, održavanje i ažuriranje stanja te primanje povratnih informacija ili nagrada.</w:t>
      </w:r>
    </w:p>
    <w:p>
      <w:pPr>
        <w:spacing w:after="200" w:line="320"/>
      </w:pPr>
      <w:r>
        <w:rPr>
          <w:rFonts w:ascii="Georgia" w:cs="Georgia" w:eastAsia="Georgia" w:hAnsi="Georgia"/>
          <w:b/>
          <w:bCs/>
          <w:sz w:val="24"/>
          <w:szCs w:val="24"/>
        </w:rPr>
        <w:t xml:space="preserve">Dinamički poligon za zagonetke. </w:t>
      </w:r>
      <w:r>
        <w:rPr>
          <w:rFonts w:ascii="Georgia" w:cs="Georgia" w:eastAsia="Georgia" w:hAnsi="Georgia"/>
          <w:sz w:val="24"/>
          <w:szCs w:val="24"/>
        </w:rPr>
        <w:t xml:space="preserve">Ova obitelj sustava za generiranje zagonetki baziranih na pravilima dizajnirana je za automatsku konstrukciju skupova podataka za rezoniranje velikog razmjera i provjerljive ispravnosti. Rani sustavi poput LogicGamea i KORBencha prezentiraju raznolike logičke zagonetke koje zahtijevaju od modela interpretaciju početnih stanja i primjenu specificiranih pravila. Napredniji sustavi koriste strategije transformacije i mehanizme ograničenja za proizvodnju složenih kombinatoričkih zadataka rezoniranja.</w:t>
      </w:r>
    </w:p>
    <w:p>
      <w:pPr>
        <w:spacing w:after="200" w:line="320"/>
      </w:pPr>
      <w:r>
        <w:rPr>
          <w:rFonts w:ascii="Georgia" w:cs="Georgia" w:eastAsia="Georgia" w:hAnsi="Georgia"/>
          <w:b/>
          <w:bCs/>
          <w:sz w:val="24"/>
          <w:szCs w:val="24"/>
        </w:rPr>
        <w:t xml:space="preserve">Sintetički prostorni poligon. </w:t>
      </w:r>
      <w:r>
        <w:rPr>
          <w:rFonts w:ascii="Georgia" w:cs="Georgia" w:eastAsia="Georgia" w:hAnsi="Georgia"/>
          <w:sz w:val="24"/>
          <w:szCs w:val="24"/>
        </w:rPr>
        <w:t xml:space="preserve">Ovo je okvir za sintetičko generiranje podataka dizajniran za stvaranje prilagođenih skupova podataka za treniranje i evaluaciju LLM-ova na zadacima prostornog rezoniranja, čime se eliminiraju visoki troškovi povezani s prikupljanjem slika iz stvarnog svijeta. Rani primjeri uključuju mjerila za robotsko učenje, scenarije manipulacije iz stvarnog svijeta i višezadaćna okruženja. S napretkom LLM-ova pojavile su se specijalizirane platforme za podršku prostornom rezoniranju.</w:t>
      </w:r>
    </w:p>
    <w:p>
      <w:pPr>
        <w:spacing w:after="200" w:line="320"/>
      </w:pPr>
      <w:r>
        <w:rPr>
          <w:rFonts w:ascii="Georgia" w:cs="Georgia" w:eastAsia="Georgia" w:hAnsi="Georgia"/>
          <w:b/>
          <w:bCs/>
          <w:sz w:val="24"/>
          <w:szCs w:val="24"/>
        </w:rPr>
        <w:t xml:space="preserve">Igračka arena. </w:t>
      </w:r>
      <w:r>
        <w:rPr>
          <w:rFonts w:ascii="Georgia" w:cs="Georgia" w:eastAsia="Georgia" w:hAnsi="Georgia"/>
          <w:sz w:val="24"/>
          <w:szCs w:val="24"/>
        </w:rPr>
        <w:t xml:space="preserve">GameArena je klasa CodeGYM platformi dizajniranih za evaluaciju i treniranje sposobnosti dugoročnog planiranja i strateškog rezoniranja velikih jezičnih modela kroz interaktivna okruženja bazirana na igrama. Rani sustavi izgrađeni su na postojećim komercijalnim igrama uključujući StarCraft II, Minecraft i Black Myth Wukong. Naknadni rad proširio je paradigmu na igre socijalne dedukcije poput Avalona i Vukodlaka te narativne postavke igranja uloga, naglašavajući sposobnosti modela u strateškoj interakciji i socijalnom zaključivanju.</w:t>
      </w:r>
    </w:p>
    <w:p>
      <w:pPr>
        <w:pStyle w:val="Heading3"/>
        <w:spacing w:before="360" w:after="200"/>
      </w:pPr>
      <w:r>
        <w:rPr>
          <w:rFonts w:ascii="Georgia" w:cs="Georgia" w:eastAsia="Georgia" w:hAnsi="Georgia"/>
          <w:b/>
          <w:bCs/>
          <w:sz w:val="26"/>
          <w:szCs w:val="26"/>
        </w:rPr>
        <w:t xml:space="preserve">6.3.2  Agenti za korištenje računala</w:t>
      </w:r>
    </w:p>
    <w:p>
      <w:pPr>
        <w:spacing w:after="200" w:line="320"/>
      </w:pPr>
      <w:r>
        <w:rPr>
          <w:rFonts w:ascii="Georgia" w:cs="Georgia" w:eastAsia="Georgia" w:hAnsi="Georgia"/>
          <w:sz w:val="24"/>
          <w:szCs w:val="24"/>
        </w:rPr>
        <w:t xml:space="preserve">Kako LLM-ovi i vizualno-jezični modeli stječu jače sposobnosti rezoniranja, agenti sve više mogu autonomno djelovati u digitalnim okruženjima. Ovaj napredak doveo je do pojave agenata za korištenje računala, tipično kategoriziranih u tri vrste.</w:t>
      </w:r>
    </w:p>
    <w:p>
      <w:pPr>
        <w:spacing w:after="200" w:line="320"/>
      </w:pPr>
      <w:r>
        <w:rPr>
          <w:rFonts w:ascii="Georgia" w:cs="Georgia" w:eastAsia="Georgia" w:hAnsi="Georgia"/>
          <w:b/>
          <w:bCs/>
          <w:sz w:val="24"/>
          <w:szCs w:val="24"/>
        </w:rPr>
        <w:t xml:space="preserve">Agenti grafičkog sučelja (GUI agenti). </w:t>
      </w:r>
      <w:r>
        <w:rPr>
          <w:rFonts w:ascii="Georgia" w:cs="Georgia" w:eastAsia="Georgia" w:hAnsi="Georgia"/>
          <w:sz w:val="24"/>
          <w:szCs w:val="24"/>
        </w:rPr>
        <w:t xml:space="preserve">GUI agenti interagiraju sa svojim okruženjima analizom sadržaja zaslona i generiranjem strukturiranih naredbi akcija u JSON formatu ili izvršivog koda za automatizaciju zadataka. Modul percepcije igra kritičnu ulogu obradom trenutnog stanja zaslona i povijesnog konteksta za omogućavanje korak po korak rezoniranja. Strategije percepcije uključuju tekstualne pristupe koji se oslanjaju na HTML strukture ili stabla pristupačnosti, slikovne pristupe koji se fokusiraju na interpretaciju vizualnog sadržaja izravno i multimodalne pristupe koji kombiniraju prednosti obaju modaliteta. Modul interakcije određuje prostor akcija agenta, prihvaća valjane naredbe i izvršava ih. Dvije glavne strategije su simulacija ljudskih akcija koja oponaša korisničke operacije uključujući klikove mišem i unos tipkovnice te interakcija bazirana na alatima koja izravno poziva programska sučelja ili izvršava skripte za postizanje veće učinkovitosti.</w:t>
      </w:r>
    </w:p>
    <w:p>
      <w:pPr>
        <w:spacing w:after="200" w:line="320"/>
      </w:pPr>
      <w:r>
        <w:rPr>
          <w:rFonts w:ascii="Georgia" w:cs="Georgia" w:eastAsia="Georgia" w:hAnsi="Georgia"/>
          <w:b/>
          <w:bCs/>
          <w:sz w:val="24"/>
          <w:szCs w:val="24"/>
        </w:rPr>
        <w:t xml:space="preserve">Agenti terminala. </w:t>
      </w:r>
      <w:r>
        <w:rPr>
          <w:rFonts w:ascii="Georgia" w:cs="Georgia" w:eastAsia="Georgia" w:hAnsi="Georgia"/>
          <w:sz w:val="24"/>
          <w:szCs w:val="24"/>
        </w:rPr>
        <w:t xml:space="preserve">Agenti terminala interagiraju s okruženjima putem sučelja terminala ili ljuske, gdje prevode korisničke upute u kod naredbenog retka i izvršavaju ga. OB-1 gradi ansambl agenata opremljen dijeljenom memorijom, mehanizmima povratnih informacija i poticaja. Koristi trajne memorijske blokove za pohranu zadataka, bilješki i stavki za obaviti kroz dulja razdoblja, podržavajući uredive povijesti za ažuriranje prethodnog rezoniranja. Warp održava uredivu listu zadataka koja se dinamički ažurira s napretkom zadataka ili kada nastanu odstupanja.</w:t>
      </w:r>
    </w:p>
    <w:p>
      <w:pPr>
        <w:spacing w:after="200" w:line="320"/>
      </w:pPr>
      <w:r>
        <w:rPr>
          <w:rFonts w:ascii="Georgia" w:cs="Georgia" w:eastAsia="Georgia" w:hAnsi="Georgia"/>
          <w:b/>
          <w:bCs/>
          <w:sz w:val="24"/>
          <w:szCs w:val="24"/>
        </w:rPr>
        <w:t xml:space="preserve">Agenti za više okruženja. </w:t>
      </w:r>
      <w:r>
        <w:rPr>
          <w:rFonts w:ascii="Georgia" w:cs="Georgia" w:eastAsia="Georgia" w:hAnsi="Georgia"/>
          <w:sz w:val="24"/>
          <w:szCs w:val="24"/>
        </w:rPr>
        <w:t xml:space="preserve">Agenti za više okruženja integriraju se s raznim sustavima putem mehanizma kodnih akcija, omogućujući interakciju kroz preglednike, terminale, izvršitelje koda i sustave datoteka. Manus koristi okvir preglednika i programska sučelja za dohvat podataka s interneta, izvršavajući kod u izoliranom virtualnom stroju za generiranje odgovora baziranih na HTML-u. OpenAI Deep Research pretražuje i interpretira sadržaj weba velikog razmjera, uključujući tekst, slike i PDF dokumente, za generiranje sveobuhvatnih izvješća. OpenManus kombinira planiranje vođeno LLM-om s izvršavanjem alata u višeagentskom sustavu, dok OWL gradi okvir višestrukih agenata baziran na ulogama koji integrira specijalizirane agente i podržava više pretraživača i formata datoteka.</w:t>
      </w:r>
    </w:p>
    <w:p>
      <w:pPr>
        <w:spacing w:after="200" w:line="320"/>
      </w:pPr>
      <w:r>
        <w:rPr>
          <w:rFonts w:ascii="Georgia" w:cs="Georgia" w:eastAsia="Georgia" w:hAnsi="Georgia"/>
          <w:sz w:val="24"/>
          <w:szCs w:val="24"/>
        </w:rPr>
        <w:t xml:space="preserve">Za vašu profesionalnu praksu, ovo poglavlje otkriva jednu fundamentalnu istinu. Kod prestaje biti samo proizvod i postaje medij mišljenja, djelovanja i pamćenja za umjetnu inteligenciju. Kada agent razmišlja u kodu, djeluje u kodu i pamti u kodu, granice između programiranja i inteligencije postaju nejasne. Razumijevanje ove promjene ključno je jer određuje kakve će alate koristiti sljedeća generacija programera i kakve će sposobnosti od njih zahtijevati. Tko razumije kako agenti koriste kod kao univerzalni medij, razumjet će i zašto budućnost softverskog inženjerstva izgleda fundamentalno drugačije od sadašnjosti.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2026-03-23T06:38:42.392Z</dcterms:created>
  <dcterms:modified xsi:type="dcterms:W3CDTF">2026-03-23T06:38:42.392Z</dcterms:modified>
</cp:coreProperties>
</file>

<file path=docProps/custom.xml><?xml version="1.0" encoding="utf-8"?>
<Properties xmlns="http://schemas.openxmlformats.org/officeDocument/2006/custom-properties" xmlns:vt="http://schemas.openxmlformats.org/officeDocument/2006/docPropsVTypes"/>
</file>