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8  Recepti za treniranje velikih jezičnih modela za kod</w:t>
      </w:r>
    </w:p>
    <w:p>
      <w:pPr>
        <w:spacing w:after="200" w:line="320"/>
      </w:pPr>
      <w:r>
        <w:rPr>
          <w:rFonts w:ascii="Georgia" w:cs="Georgia" w:eastAsia="Georgia" w:hAnsi="Georgia"/>
          <w:sz w:val="24"/>
          <w:szCs w:val="24"/>
        </w:rPr>
        <w:t xml:space="preserve">Zamislite da želite ispeći savršeni kruh. Ne bilo kakav kruh, nego onakav kakav peče majstor pekar koji je proveo trideset godina usavršavajući svoj zanat. Trebat će vam recept, ali ne samo popis sastojaka, nego i precizne temperature, vremena miješanja, opis teksture tijesta u svakoj fazi i, možda najvažnije, objašnjenje zašto svaki korak postoji i što se dogodi ako ga preskočite ili promijenite. Upravo to ovaj odjeljak nastoji pružiti za treniranje kodnih LLM-ova. Treniranje vrhunskog kodnog LLM-a sofisticiran je i višefazni cjevovod u kojem svaka faza služi zasebnim svrhama. Za razliku od LLM-ova opće namjene, kodni LLM-ovi moraju savladati strogu sintaksu, složenu logiku i dugodometne algoritmičke ovisnosti, istovremeno generirajući izlaze koji su provjerljivo ispravni.</w:t>
      </w:r>
    </w:p>
    <w:p>
      <w:pPr>
        <w:spacing w:after="200" w:line="320"/>
      </w:pPr>
      <w:r>
        <w:rPr>
          <w:rFonts w:ascii="Georgia" w:cs="Georgia" w:eastAsia="Georgia" w:hAnsi="Georgia"/>
          <w:sz w:val="24"/>
          <w:szCs w:val="24"/>
        </w:rPr>
        <w:t xml:space="preserve">Proces tipično počinje pretreniranjem, gdje LLM uči temeljne statističke obrasce programskih jezika iz golemih baza koda. Ovaj temeljni korak zahtijeva sofisticirane distribuirane okvire detaljno opisane u nastavku. Nakon pretreniranja, model prolazi nadzirano fino ugađanje (SFT) za prilagodbu općih sposobnosti, usklađujući se s ljudskim uputama i rješavajući probleme orijentirane na zadatke. Na kraju, za optimizaciju objektivne ispravnosti umjesto pukog oponašanja, model se može dodatno usavršiti korištenjem pojačanog učenja (RL), gdje je jedna od uobičajenih postavki nagrađivanje modela za generiranje rješenja koja prolaze provjerljive jedinične testove.</w:t>
      </w:r>
    </w:p>
    <w:p>
      <w:pPr>
        <w:pStyle w:val="Heading2"/>
        <w:spacing w:before="400" w:after="240"/>
      </w:pPr>
      <w:r>
        <w:rPr>
          <w:rFonts w:ascii="Georgia" w:cs="Georgia" w:eastAsia="Georgia" w:hAnsi="Georgia"/>
          <w:b/>
          <w:bCs/>
          <w:sz w:val="30"/>
          <w:szCs w:val="30"/>
        </w:rPr>
        <w:t xml:space="preserve">8.1  Uvod u distribuirane okvire za treniranje</w:t>
      </w:r>
    </w:p>
    <w:p>
      <w:pPr>
        <w:spacing w:after="200" w:line="320"/>
      </w:pPr>
      <w:r>
        <w:rPr>
          <w:rFonts w:ascii="Georgia" w:cs="Georgia" w:eastAsia="Georgia" w:hAnsi="Georgia"/>
          <w:sz w:val="24"/>
          <w:szCs w:val="24"/>
        </w:rPr>
        <w:t xml:space="preserve">Zamislite da gradite piramidu. Jedan radnik može nositi jedan kamen odjednom i za završetak mu trebaju stoljeća. Sto radnika može nositi sto kamenova odjednom, ali samo ako su savršeno koordinirani, inače će se sudarati na istim stazama i gubiti vrijeme čekajući jedni na druge. Upravo taj izazov koordinacije stoji iza distribuiranih okvira za treniranje. Pretreniranje velikih jezičnih modela posebno zahtijeva sofisticirane distribuirane okvire sposobne za učinkovito orkestriranje računanja kroz tisuće akceleratora.</w:t>
      </w:r>
    </w:p>
    <w:p>
      <w:pPr>
        <w:spacing w:after="200" w:line="320"/>
      </w:pPr>
      <w:r>
        <w:rPr>
          <w:rFonts w:ascii="Georgia" w:cs="Georgia" w:eastAsia="Georgia" w:hAnsi="Georgia"/>
          <w:b/>
          <w:bCs/>
          <w:sz w:val="24"/>
          <w:szCs w:val="24"/>
        </w:rPr>
        <w:t xml:space="preserve">Megatron-LM </w:t>
      </w:r>
      <w:r>
        <w:rPr>
          <w:rFonts w:ascii="Georgia" w:cs="Georgia" w:eastAsia="Georgia" w:hAnsi="Georgia"/>
          <w:sz w:val="24"/>
          <w:szCs w:val="24"/>
        </w:rPr>
        <w:t xml:space="preserve">uvodi učinkovit pristup paralelizmu modela unutar slojeva koji particionira pojedinačne transformerske slojeve kroz više uređaja. Temeljna inovacija leži u strategiji tenzorskog paralelizma koja izvodi particioniranje matrica težina po stupcima i redcima u višeslojnim perceptronima i mehanizmima pažnje. Ovaj dizajn zahtijeva samo minimalne operacije all-reduce komunikacije koje se mogu preklapati s računanjem, postižući 76% učinkovitosti skaliranja pri treniranju modela od 8.3 milijarde parametara na 512 GPU-ova. Okvir implementira tri komplementarne tehnike paralelizacije, tenzorski paralelizam za finogranuliranu particiju modela unutar transformerskih blokova, cjevovodni paralelizam s mikrobatch izvršavanjem i isprepletenim raspoređivanjem, te sekvencijski paralelizam koji particionira aktivacijske tenzore duž dimenzije sekvence za treniranje s dugim kontekstom.</w:t>
      </w:r>
    </w:p>
    <w:p>
      <w:pPr>
        <w:spacing w:after="200" w:line="320"/>
      </w:pPr>
      <w:r>
        <w:rPr>
          <w:rFonts w:ascii="Georgia" w:cs="Georgia" w:eastAsia="Georgia" w:hAnsi="Georgia"/>
          <w:b/>
          <w:bCs/>
          <w:sz w:val="24"/>
          <w:szCs w:val="24"/>
        </w:rPr>
        <w:t xml:space="preserve">DeepSpeed </w:t>
      </w:r>
      <w:r>
        <w:rPr>
          <w:rFonts w:ascii="Georgia" w:cs="Georgia" w:eastAsia="Georgia" w:hAnsi="Georgia"/>
          <w:sz w:val="24"/>
          <w:szCs w:val="24"/>
        </w:rPr>
        <w:t xml:space="preserve">se temelji na optimizatoru bez redundancije (engl. </w:t>
      </w:r>
      <w:r>
        <w:rPr>
          <w:rFonts w:ascii="Georgia" w:cs="Georgia" w:eastAsia="Georgia" w:hAnsi="Georgia"/>
          <w:i/>
          <w:iCs/>
          <w:sz w:val="24"/>
          <w:szCs w:val="24"/>
        </w:rPr>
        <w:t xml:space="preserve">Zero Redundancy Optimizer</w:t>
      </w:r>
      <w:r>
        <w:rPr>
          <w:rFonts w:ascii="Georgia" w:cs="Georgia" w:eastAsia="Georgia" w:hAnsi="Georgia"/>
          <w:sz w:val="24"/>
          <w:szCs w:val="24"/>
        </w:rPr>
        <w:t xml:space="preserve"> ili ZeRO) koji eliminira memorijske redundancije u podatkovnom paralelnom treniranju kroz progresivno particioniranje stanja treniranja. Za razliku od pristupa paralelizma modela koji particioniraju sam model, ZeRO particionira stanja optimizatora, gradijente i parametre kroz podatkovne paralelne procese zadržavajući računalne prednosti podatkovnog paralelizma. Okvir pruža tri progresivna stupnja optimizacije. ZeRO-1 particionira stanja optimizatora za 4 puta smanjenje memorije. ZeRO-2 proširuje particioniranje na gradijente postižući 8 puta smanjenje. ZeRO-3 particionira parametre modela omogućujući linearno skaliranje s brojem uređaja. DeepSpeed postiže do 10 puta ubrzanje nad polaznim implementacijama za modele s više od 100 milijardi parametara.</w:t>
      </w:r>
    </w:p>
    <w:p>
      <w:pPr>
        <w:spacing w:after="200" w:line="320"/>
      </w:pPr>
      <w:r>
        <w:rPr>
          <w:rFonts w:ascii="Georgia" w:cs="Georgia" w:eastAsia="Georgia" w:hAnsi="Georgia"/>
          <w:b/>
          <w:bCs/>
          <w:sz w:val="24"/>
          <w:szCs w:val="24"/>
        </w:rPr>
        <w:t xml:space="preserve">PyTorch FSDP </w:t>
      </w:r>
      <w:r>
        <w:rPr>
          <w:rFonts w:ascii="Georgia" w:cs="Georgia" w:eastAsia="Georgia" w:hAnsi="Georgia"/>
          <w:sz w:val="24"/>
          <w:szCs w:val="24"/>
        </w:rPr>
        <w:t xml:space="preserve">implementira ZeRO-3 optimizaciju kao izvornu PyTorch komponentu. Nedavno uvedeni FSDP2 redizajnira implementaciju koristeći DTensor apstrakcije, predstavljajući particionirane parametre kao distribuirane tenzore s poboljšanim upravljanjem memorijom. </w:t>
      </w:r>
      <w:r>
        <w:rPr>
          <w:rFonts w:ascii="Georgia" w:cs="Georgia" w:eastAsia="Georgia" w:hAnsi="Georgia"/>
          <w:b/>
          <w:bCs/>
          <w:sz w:val="24"/>
          <w:szCs w:val="24"/>
        </w:rPr>
        <w:t xml:space="preserve">TorchTitan </w:t>
      </w:r>
      <w:r>
        <w:rPr>
          <w:rFonts w:ascii="Georgia" w:cs="Georgia" w:eastAsia="Georgia" w:hAnsi="Georgia"/>
          <w:sz w:val="24"/>
          <w:szCs w:val="24"/>
        </w:rPr>
        <w:t xml:space="preserve">pruža proizvodnu referentnu implementaciju 4D paralelizma za pretreniranje LLM-ova, demonstrirajući najnovije distribuirane mogućnosti PyTorcha, postižući 65% ubrzanje na Llama 3.1 8B sa 128 GPU-ova. </w:t>
      </w:r>
      <w:r>
        <w:rPr>
          <w:rFonts w:ascii="Georgia" w:cs="Georgia" w:eastAsia="Georgia" w:hAnsi="Georgia"/>
          <w:b/>
          <w:bCs/>
          <w:sz w:val="24"/>
          <w:szCs w:val="24"/>
        </w:rPr>
        <w:t xml:space="preserve">Colossal-AI </w:t>
      </w:r>
      <w:r>
        <w:rPr>
          <w:rFonts w:ascii="Georgia" w:cs="Georgia" w:eastAsia="Georgia" w:hAnsi="Georgia"/>
          <w:sz w:val="24"/>
          <w:szCs w:val="24"/>
        </w:rPr>
        <w:t xml:space="preserve">pruža raznolike strategije paralelizacije s naglaskom na višedimenzionalnom tenzorskom paralelizmu, implementirajući 1D, 2D, 2.5D i 3D strategije dekompozicije tenzora. Odabir odgovarajućeg okvira ovisi o hardverskoj infrastrukturi, razmjeru modela i organizacijskim zahtjevima.</w:t>
      </w:r>
    </w:p>
    <w:p>
      <w:r>
        <w:br w:type="page"/>
      </w:r>
    </w:p>
    <w:p>
      <w:pPr>
        <w:pStyle w:val="Heading2"/>
        <w:spacing w:before="400" w:after="240"/>
      </w:pPr>
      <w:r>
        <w:rPr>
          <w:rFonts w:ascii="Georgia" w:cs="Georgia" w:eastAsia="Georgia" w:hAnsi="Georgia"/>
          <w:b/>
          <w:bCs/>
          <w:sz w:val="30"/>
          <w:szCs w:val="30"/>
        </w:rPr>
        <w:t xml:space="preserve">8.2  Smjernice za pretreniranje</w:t>
      </w:r>
    </w:p>
    <w:p>
      <w:pPr>
        <w:spacing w:after="200" w:line="320"/>
      </w:pPr>
      <w:r>
        <w:rPr>
          <w:rFonts w:ascii="Georgia" w:cs="Georgia" w:eastAsia="Georgia" w:hAnsi="Georgia"/>
          <w:sz w:val="24"/>
          <w:szCs w:val="24"/>
        </w:rPr>
        <w:t xml:space="preserve">Pretreniranje predstavlja temeljnu fazu razvoja kodnog LLM-a, gdje modeli stječu fundamentalno programersko znanje iz golemih repozitorija koda. No golemi računalni trošak čini iscrpno istraživanje hiperparametara neizvedivim na velikoj skali. Stoga su zakoni skaliranja izvedeni iz opsežnih višejezičnih eksperimenata neprocjenjiv alat za pružanje smjernica temeljenih na podatcima za računalno učinkovito pretreniranje.</w:t>
      </w:r>
    </w:p>
    <w:p>
      <w:pPr>
        <w:spacing w:after="200" w:line="320"/>
      </w:pPr>
      <w:r>
        <w:rPr>
          <w:rFonts w:ascii="Georgia" w:cs="Georgia" w:eastAsia="Georgia" w:hAnsi="Georgia"/>
          <w:b/>
          <w:bCs/>
          <w:sz w:val="24"/>
          <w:szCs w:val="24"/>
        </w:rPr>
        <w:t xml:space="preserve">Jezično specifični zakoni skaliranja. </w:t>
      </w:r>
      <w:r>
        <w:rPr>
          <w:rFonts w:ascii="Georgia" w:cs="Georgia" w:eastAsia="Georgia" w:hAnsi="Georgia"/>
          <w:sz w:val="24"/>
          <w:szCs w:val="24"/>
        </w:rPr>
        <w:t xml:space="preserve">Programski jezici pokazuju fundamentalno različita ponašanja skaliranja koja moraju informirati strategije pretreniranja. Kroz sustavne empirijske studije koje obuhvaćaju sedam glavnih programskih jezika (Python, Java, JavaScript, TypeScript, C#, Go, Rust), uspostavljen je odnos skaliranja u stilu Chinchille za svaki jezik. Rezultati otkrivaju jasan obrazac. Interpretirani jezici pokazuju veće eksponente skaliranja od kompiliranih jezika. Python demonstrira najviše vrijednosti eksponenata, ukazujući na agresivne koristi i od povećanog kapaciteta modela i od podataka za treniranje. To odražava dinamičko tipiziranje, fleksibilnu sintaksu i raznolike idiome Pythona, koji stvaraju složeniji statistički krajolik. Nasuprot tome, statički tipizirani kompilirani jezici poput Rusta i Goa pokazuju zamjetno manje eksponente, njihove krute sintaksne strukture i eksplicitne anotacije tipova nose više informacija po tokenu, čineći ih inherentno lakše učivima s manje parametara i manje podataka. Nereducibilni gubitak otkriva intrinzičnu složenost jezika, rangirajući ih od C# (najniži) do Pythona (najviši). Ovo rangiranje izravno informira alokaciju računalnih resursa jer jezici s nižim nereducibilnim gubitkom saturiraju brže i zahtijevaju proporcionalno manji budžet za treniranje.</w:t>
      </w:r>
    </w:p>
    <w:p>
      <w:pPr>
        <w:spacing w:after="200" w:line="320"/>
      </w:pPr>
      <w:r>
        <w:rPr>
          <w:rFonts w:ascii="Georgia" w:cs="Georgia" w:eastAsia="Georgia" w:hAnsi="Georgia"/>
          <w:b/>
          <w:bCs/>
          <w:sz w:val="24"/>
          <w:szCs w:val="24"/>
        </w:rPr>
        <w:t xml:space="preserve">Učinci višejezičnog miješanja. </w:t>
      </w:r>
      <w:r>
        <w:rPr>
          <w:rFonts w:ascii="Georgia" w:cs="Georgia" w:eastAsia="Georgia" w:hAnsi="Georgia"/>
          <w:sz w:val="24"/>
          <w:szCs w:val="24"/>
        </w:rPr>
        <w:t xml:space="preserve">Sustavni eksperimenti na dvojezičnim mješavinama za pretreniranje otkrivaju da višejezično treniranje pruža značajne prednosti nad jednojezičnim polaznim modelima. Jezici koji dijele sličnu sintaksu i semantiku pokazuju snažnu pozitivnu sinergiju. Primjerice, mješavine Java/C# postižu preko 20% smanjenja gubitka u usporedbi s treningom samo na Javi, dok parovi JavaScript/TypeScript pokazuju dosljedna obostrana poboljšanja. Međutim, Python predstavlja asimetričnu iznimku. Miješanje Pythona s većinom statički tipiziranih jezika proizvodi male negativne učinke kada je Python ciljni jezik, iako korištenje Pythona kao pomoćnog jezika koristi drugim ciljevima. Učinci međujezičnog prijenosa proteže se izvan eksplicitno uparenih jezika. Modeli pretrenirani na višejezičnim korpusima demonstriraju sposobnosti nultog učinka na neviđenim jezičnim parovima, sugerirajući da uče apstraktnu algoritmičku ekvivalenciju koja nadilazi specifičnu sintaksu.</w:t>
      </w:r>
    </w:p>
    <w:p>
      <w:pPr>
        <w:spacing w:after="200" w:line="320"/>
      </w:pPr>
      <w:r>
        <w:rPr>
          <w:rFonts w:ascii="Georgia" w:cs="Georgia" w:eastAsia="Georgia" w:hAnsi="Georgia"/>
          <w:b/>
          <w:bCs/>
          <w:sz w:val="24"/>
          <w:szCs w:val="24"/>
        </w:rPr>
        <w:t xml:space="preserve">Preporučene strategije pretreniranja. </w:t>
      </w:r>
      <w:r>
        <w:rPr>
          <w:rFonts w:ascii="Georgia" w:cs="Georgia" w:eastAsia="Georgia" w:hAnsi="Georgia"/>
          <w:sz w:val="24"/>
          <w:szCs w:val="24"/>
        </w:rPr>
        <w:t xml:space="preserve">Na temelju sveobuhvatne empirijske analize proizlaze četiri ključne smjernice. Prvo, alociranje budžeta tokena proporcionalno eksponentima skaliranja umjesto uniformno. Jezici s visokim eksponentima poput Pythona, C# i TypeScripta značajno profitiraju od povećanih podataka. Drugo, prioritiziranje sintaksno sličnih jezičnih parova u mješavinama za pretreniranje. Treće, usmjeravanje produljenog treniranja na jezike s visokim nereducibilnim gubitkom poput Pythona i JavaScripta, gdje marginalni prinosi ostaju značajni čak i na velikim skalama. Četvrto, osim ako nije ograničen na jedan ciljni jezik, višejezično pretreniranje trebalo bi biti zadani pristup jer većina jezika pokazuje dosljednu pozitivnu sinergiju.</w:t>
      </w:r>
    </w:p>
    <w:p>
      <w:r>
        <w:br w:type="page"/>
      </w:r>
    </w:p>
    <w:p>
      <w:pPr>
        <w:pStyle w:val="Heading2"/>
        <w:spacing w:before="400" w:after="240"/>
      </w:pPr>
      <w:r>
        <w:rPr>
          <w:rFonts w:ascii="Georgia" w:cs="Georgia" w:eastAsia="Georgia" w:hAnsi="Georgia"/>
          <w:b/>
          <w:bCs/>
          <w:sz w:val="30"/>
          <w:szCs w:val="30"/>
        </w:rPr>
        <w:t xml:space="preserve">8.3  Smjernice za nadzirano fino ugađanje</w:t>
      </w:r>
    </w:p>
    <w:p>
      <w:pPr>
        <w:spacing w:after="200" w:line="320"/>
      </w:pPr>
      <w:r>
        <w:rPr>
          <w:rFonts w:ascii="Georgia" w:cs="Georgia" w:eastAsia="Georgia" w:hAnsi="Georgia"/>
          <w:sz w:val="24"/>
          <w:szCs w:val="24"/>
        </w:rPr>
        <w:t xml:space="preserve">Uspostavivši temeljne okvire za pretreniranje velikog razmjera, fokus se sada pomiče na sljedeću kritičnu fazu, nadzirano fino ugađanje. Dok pretreniranje gradi opće sposobnosti modela, SFT je ključan za prilagodbu ovog temeljnog modela specifičnim, visoko vrijednim zadacima poput praćenja uputa ili složenog rezoniranja. Ova faza prilagodbe uvodi vlastiti skup izazova i kompromisa, posebno u izboru okvira, osjetljivosti hiperparametara i kuriranju podataka.</w:t>
      </w:r>
    </w:p>
    <w:p>
      <w:pPr>
        <w:spacing w:after="200" w:line="320"/>
      </w:pPr>
      <w:r>
        <w:rPr>
          <w:rFonts w:ascii="Georgia" w:cs="Georgia" w:eastAsia="Georgia" w:hAnsi="Georgia"/>
          <w:b/>
          <w:bCs/>
          <w:sz w:val="24"/>
          <w:szCs w:val="24"/>
        </w:rPr>
        <w:t xml:space="preserve">Smjernice za okvire treniranja. </w:t>
      </w:r>
      <w:r>
        <w:rPr>
          <w:rFonts w:ascii="Georgia" w:cs="Georgia" w:eastAsia="Georgia" w:hAnsi="Georgia"/>
          <w:sz w:val="24"/>
          <w:szCs w:val="24"/>
        </w:rPr>
        <w:t xml:space="preserve">Učinkovito SFT kodnih LLM-ova zahtijeva okvire za treniranje koji balansiraju učinkovitost treniranja i performanse modela. Eksperimentalna usporedba četiri reprezentativna okvira na Qwen2.5-Coder-14B otkriva jasan krajolik kompromisa. QwenCoder-SFT služi kao polazna točka minimalne složenosti s klasičnim podatkovnim paralelizmom. LLaMA-Factory s DeepSpeed ZeRO-3 koristi particioniranje za značajno smanjenje potrošnje memorije po uređaju. MS-Swift s Megatronom integrira hibridnu tenzorsku i cjevovodnu paralelnu dekompoziciju transformerskih blokova, optimiziranu za visoku propusnost. VERL s FSDP v2 implementira potpuno particionirani podatkovni paralelizam kroz DTensor apstrakciju. Za SFT velikog razmjera s više epoha, okviri koji kombiniraju particioniranu memoriju s tenzorskim paralelizmom unutar sloja postižu najbolju ravnotežu između stabilnosti konvergencije i učinkovitosti sustava.</w:t>
      </w:r>
    </w:p>
    <w:p>
      <w:pPr>
        <w:spacing w:after="200" w:line="320"/>
      </w:pPr>
      <w:r>
        <w:rPr>
          <w:rFonts w:ascii="Georgia" w:cs="Georgia" w:eastAsia="Georgia" w:hAnsi="Georgia"/>
          <w:b/>
          <w:bCs/>
          <w:sz w:val="24"/>
          <w:szCs w:val="24"/>
        </w:rPr>
        <w:t xml:space="preserve">Smjernice za parametre treniranja. </w:t>
      </w:r>
      <w:r>
        <w:rPr>
          <w:rFonts w:ascii="Georgia" w:cs="Georgia" w:eastAsia="Georgia" w:hAnsi="Georgia"/>
          <w:sz w:val="24"/>
          <w:szCs w:val="24"/>
        </w:rPr>
        <w:t xml:space="preserve">Opsežna analiza osjetljivosti otkriva da je globalna veličina serije (engl. </w:t>
      </w:r>
      <w:r>
        <w:rPr>
          <w:rFonts w:ascii="Georgia" w:cs="Georgia" w:eastAsia="Georgia" w:hAnsi="Georgia"/>
          <w:i/>
          <w:iCs/>
          <w:sz w:val="24"/>
          <w:szCs w:val="24"/>
        </w:rPr>
        <w:t xml:space="preserve">global batch size</w:t>
      </w:r>
      <w:r>
        <w:rPr>
          <w:rFonts w:ascii="Georgia" w:cs="Georgia" w:eastAsia="Georgia" w:hAnsi="Georgia"/>
          <w:sz w:val="24"/>
          <w:szCs w:val="24"/>
        </w:rPr>
        <w:t xml:space="preserve">) dominantan čimbenik osjetljivosti za nadzirani SFT koda. Za oba testirana modela, točnost degradira kada globalna serija premašuje otprilike 256. Optimalne stope učenja ovise o modelu. Gusti 14B model preferira raspon od 2 do 5 puta 10 na minus šestu, dok MoE 30B model nedovoljno uči pri 1 puta 10 na minus šestu i profitira od većih stopa. Duljina treniranja interagira sa skalama. 14B model pokazuje opadajuće prinose nakon 3 do 5 epoha, dok 30B model zahtijeva više epoha za stabilizaciju. Raspored učenja i zagrijavanje sekundarni su za 14B ali važniji za 30B, gdje je konstantni raspored sa skromnim zagrijavanjem sigurniji.</w:t>
      </w:r>
    </w:p>
    <w:p>
      <w:pPr>
        <w:spacing w:after="200" w:line="320"/>
      </w:pPr>
      <w:r>
        <w:rPr>
          <w:rFonts w:ascii="Georgia" w:cs="Georgia" w:eastAsia="Georgia" w:hAnsi="Georgia"/>
          <w:b/>
          <w:bCs/>
          <w:sz w:val="24"/>
          <w:szCs w:val="24"/>
        </w:rPr>
        <w:t xml:space="preserve">Usporedba arhitektura modela. </w:t>
      </w:r>
      <w:r>
        <w:rPr>
          <w:rFonts w:ascii="Georgia" w:cs="Georgia" w:eastAsia="Georgia" w:hAnsi="Georgia"/>
          <w:sz w:val="24"/>
          <w:szCs w:val="24"/>
        </w:rPr>
        <w:t xml:space="preserve">Gusta 14B arhitektura pokazuje veću robusnost na varijacije hiperparametara, s postojanim poboljšanjima kako duljina treniranja raste i stabilnim performansama kroz raspone veličina serija. Ovo ukazuje da gusti transformeri održavaju dosljednu kvalitetu gradijentnog signala čak i pod agresivnim skaliranjem. Nasuprot tome, MoE 30B arhitektura demonstrira višu varijancu i oštriju osjetljivost na izbore optimizacije. Iako postiže usporedivu vršnu izvedbu pod povoljnim uvjetima, njezina margina stabilnosti znatno je uža. Performanse naglo opadaju kada veličina serije premašuje 512 ili stopa učenja padne ispod praga, odražavajući ovisnost o uravnoteženom usmjeravanju stručnjaka i normalizaciji opterećenja.</w:t>
      </w:r>
    </w:p>
    <w:p>
      <w:pPr>
        <w:spacing w:after="200" w:line="320"/>
      </w:pPr>
      <w:r>
        <w:rPr>
          <w:rFonts w:ascii="Georgia" w:cs="Georgia" w:eastAsia="Georgia" w:hAnsi="Georgia"/>
          <w:b/>
          <w:bCs/>
          <w:sz w:val="24"/>
          <w:szCs w:val="24"/>
        </w:rPr>
        <w:t xml:space="preserve">Smjernice za izbor skupova podataka. </w:t>
      </w:r>
      <w:r>
        <w:rPr>
          <w:rFonts w:ascii="Georgia" w:cs="Georgia" w:eastAsia="Georgia" w:hAnsi="Georgia"/>
          <w:sz w:val="24"/>
          <w:szCs w:val="24"/>
        </w:rPr>
        <w:t xml:space="preserve">Sveobuhvatna usporedba 27 javno dostupnih SFT skupova podataka otkriva značajne razlike u performansama kroz modele. Za gusti 14B model, najviše performanse ostvaruju skupovi koji kombiniraju strukturirane programerske zadatke s raznolikim izvorima koda, dok za MoE 30B model postoje izraženije varijacije, reflektirajući veću osjetljivost na distribuciju podataka. Ovo naglašava da izbor skupa podataka nije univerzalan, nego ovisi o specifičnoj arhitekturi modela i ciljanom zadatku.</w:t>
      </w:r>
    </w:p>
    <w:p>
      <w:r>
        <w:br w:type="page"/>
      </w:r>
    </w:p>
    <w:p>
      <w:pPr>
        <w:pStyle w:val="Heading2"/>
        <w:spacing w:before="400" w:after="240"/>
      </w:pPr>
      <w:r>
        <w:rPr>
          <w:rFonts w:ascii="Georgia" w:cs="Georgia" w:eastAsia="Georgia" w:hAnsi="Georgia"/>
          <w:b/>
          <w:bCs/>
          <w:sz w:val="30"/>
          <w:szCs w:val="30"/>
        </w:rPr>
        <w:t xml:space="preserve">8.4  Smjernice za treniranje pojačanim učenjem</w:t>
      </w:r>
    </w:p>
    <w:p>
      <w:pPr>
        <w:spacing w:after="200" w:line="320"/>
      </w:pPr>
      <w:r>
        <w:rPr>
          <w:rFonts w:ascii="Georgia" w:cs="Georgia" w:eastAsia="Georgia" w:hAnsi="Georgia"/>
          <w:sz w:val="24"/>
          <w:szCs w:val="24"/>
        </w:rPr>
        <w:t xml:space="preserve">Nadzirano fino ugađanje visoko je učinkovito za podučavanje modela da oponaša distribuciju danog skupa podataka. Međutim, za zadatke poput generiranja koda, ispravnost se ne odnosi samo na stilove ili izraze kao u mnogim općim zadacima praćenja uputa, nego na objektivne i provjerljive ishode poput prolaska jediničnih testova. Za optimizaciju modela izravno za ovu provjerljivu ispravnost, umjesto pukog oponašanja referentnih rješenja, okrećemo se pojačanom učenju. No najbolje prakse za primjenu RL-a na domenu generiranja koda za LLM-ove ostaju manje utvrđene. Zamislite to kao razliku između učenja kuhanja iz kuharice (SFT) i učenja kuhanja tako da kušate svaki pokušaj i prilagođavate recept na temelju okusa (RL). Oba pristupa imaju vrijednost, ali drugi vodi do dublih uvida o tome zašto nešto radi, ne samo kako.</w:t>
      </w:r>
    </w:p>
    <w:p>
      <w:pPr>
        <w:spacing w:after="200" w:line="320"/>
      </w:pPr>
      <w:r>
        <w:rPr>
          <w:rFonts w:ascii="Georgia" w:cs="Georgia" w:eastAsia="Georgia" w:hAnsi="Georgia"/>
          <w:b/>
          <w:bCs/>
          <w:sz w:val="24"/>
          <w:szCs w:val="24"/>
        </w:rPr>
        <w:t xml:space="preserve">Grupa 1. Validacija estimatora prednosti. </w:t>
      </w:r>
      <w:r>
        <w:rPr>
          <w:rFonts w:ascii="Georgia" w:cs="Georgia" w:eastAsia="Georgia" w:hAnsi="Georgia"/>
          <w:sz w:val="24"/>
          <w:szCs w:val="24"/>
        </w:rPr>
        <w:t xml:space="preserve">Izbor estimatora prednosti fundamentalan je za stabilnost i učinkovitost uzorkovanja algoritama gradijenata politike. Eksperimenti na četiri estimatora (GRPO, RLOO, REINFORCE++ baseline i GRPO_passk) otkrivaju da RLOO postiže najbolju Pass@5 izvedbu, demonstrirajući superiornu učinkovitost uzorkovanja. Međutim, REINFORCE++ baseline konvergira otprilike 30% brže uz održavanje konkurentne izvedbe na oba mjerila, pokazujući stabilniju i monotoniju dinamiku treniranja. Na temelju ovih rezultata, REINFORCE++ baseline preporučuje se kao zadani estimator za naknadne eksperimente zbog povoljnog balansa stabilnosti, brzine konvergencije i konkurentne izvedbe.</w:t>
      </w:r>
    </w:p>
    <w:p>
      <w:pPr>
        <w:spacing w:after="200" w:line="320"/>
      </w:pPr>
      <w:r>
        <w:rPr>
          <w:rFonts w:ascii="Georgia" w:cs="Georgia" w:eastAsia="Georgia" w:hAnsi="Georgia"/>
          <w:b/>
          <w:bCs/>
          <w:sz w:val="24"/>
          <w:szCs w:val="24"/>
        </w:rPr>
        <w:t xml:space="preserve">Grupa 2. Skaliranje maksimalne duljine odgovora. </w:t>
      </w:r>
      <w:r>
        <w:rPr>
          <w:rFonts w:ascii="Georgia" w:cs="Georgia" w:eastAsia="Georgia" w:hAnsi="Georgia"/>
          <w:sz w:val="24"/>
          <w:szCs w:val="24"/>
        </w:rPr>
        <w:t xml:space="preserve">Zadaci generiranja koda mogu zahtijevati znatno različite duljine konteksta. Eksperimenti otkrivaju složen nemonoton odnos između duljine odgovora i izvedbe. Konfiguracija od 16K tokena postiže najvišu Pass@1 ocjenu, sugerirajući da prošireni kapacitet konteksta omogućuje modelu generiranje potpunijih i ispravnijih rješenja za složene probleme. Zanimljivo, postavka od 2K tokena postiže najbolju Pass@5 izvedbu, ukazujući da kraći konteksti mogu promovirati raznolikije istraživanje tijekom treniranja, možda potičući model da uči kompaktnije strategije rješavanja. Preporuka je 2K tokena za ciljeve teškog istraživanja usmjerene na Pass@5 izvedbu, 16K tokena kada se maksimizira jednoprolazna ispravnost (Pass@1) i 4K tokena kao uravnotežena zadana vrijednost.</w:t>
      </w:r>
    </w:p>
    <w:p>
      <w:pPr>
        <w:spacing w:after="200" w:line="320"/>
      </w:pPr>
      <w:r>
        <w:rPr>
          <w:rFonts w:ascii="Georgia" w:cs="Georgia" w:eastAsia="Georgia" w:hAnsi="Georgia"/>
          <w:b/>
          <w:bCs/>
          <w:sz w:val="24"/>
          <w:szCs w:val="24"/>
        </w:rPr>
        <w:t xml:space="preserve">Grupa 3. Skaliranje broja uzorkovanja po upitu. </w:t>
      </w:r>
      <w:r>
        <w:rPr>
          <w:rFonts w:ascii="Georgia" w:cs="Georgia" w:eastAsia="Georgia" w:hAnsi="Georgia"/>
          <w:sz w:val="24"/>
          <w:szCs w:val="24"/>
        </w:rPr>
        <w:t xml:space="preserve">Broj odgovora uzorkovanih po upitu izravno utječe na širinu istraživanja i kvalitetu procjene prednosti. Rezultati otkrivaju nijansiran kompromis između širine istraživanja i učinkovitosti treniranja. Konfiguracija N=512 postiže najvišu Pass@5 ocjenu, ali uz prohibitivno sporu konvergenciju i, iznenađujuće, uzrokuje kolaps treniranja, sugerirajući nedostajući komad slagalice za nacrte skaliranja uzorkovanja. Među praktičnijim konfiguracijama, N=8 isporučuje najbolju Pass@5 izvedbu. Za Pass@1, rezultati pokazuju izvanrednu stabilnost, sve konfiguracije od N=4 do N=64 padaju unutar uskog raspona od 0.004. N=16 preporučuje se kao zadana konfiguracija jer nudi izvrstan balans između brzine konvergencije, računalne učinkovitosti i konkurentne izvedbe na oba mjerila.</w:t>
      </w:r>
    </w:p>
    <w:p>
      <w:pPr>
        <w:spacing w:after="200" w:line="320"/>
      </w:pPr>
      <w:r>
        <w:rPr>
          <w:rFonts w:ascii="Georgia" w:cs="Georgia" w:eastAsia="Georgia" w:hAnsi="Georgia"/>
          <w:b/>
          <w:bCs/>
          <w:sz w:val="24"/>
          <w:szCs w:val="24"/>
        </w:rPr>
        <w:t xml:space="preserve">Sažetak najboljih praksi. </w:t>
      </w:r>
      <w:r>
        <w:rPr>
          <w:rFonts w:ascii="Georgia" w:cs="Georgia" w:eastAsia="Georgia" w:hAnsi="Georgia"/>
          <w:sz w:val="24"/>
          <w:szCs w:val="24"/>
        </w:rPr>
        <w:t xml:space="preserve">Ova sveobuhvatna eksperimentalna suita pruža konkretne, podatcima vođene najbolje prakse za primjenu RL-a na kodne LLM-ove. Za estimator prednosti, REINFORCE++ baseline preporučuje se za praktične scenarije velikog razmjera. Za maksimalnu duljinu odgovora, 4K tokena je uravnotežena zadana vrijednost s mogućnošću prilagodbe ovisno o cilju. Za broj uzorkovanja po upitu, 16 je optimalna zadana vrijednost. Ove smjernice sintetiziraju opsežne eksperimente skaliranja u djelotvorna načela, omogućujući praktičarima dizajniranje učinkovitih RL cjevovoda koji maksimiziraju izvedbu generiranja koda pod realističnim proračunskim ograničenjima.</w:t>
      </w:r>
    </w:p>
    <w:p>
      <w:pPr>
        <w:spacing w:after="200" w:line="320"/>
      </w:pPr>
      <w:r>
        <w:rPr>
          <w:rFonts w:ascii="Georgia" w:cs="Georgia" w:eastAsia="Georgia" w:hAnsi="Georgia"/>
          <w:sz w:val="24"/>
          <w:szCs w:val="24"/>
        </w:rPr>
        <w:t xml:space="preserve">Za vašu profesionalnu praksu, ovo poglavlje nudi nešto što rijetko pronalazite u akademskoj literaturi, konkretne recepte. Kada vaš tim odluči trenirati ili fino ugoditi kodni LLM, više nećete morati pogađati hiperparametre ili naslijepo kopirati postavke iz tuđih radova. Imat ćete podatcima potkrijepljene smjernice za izbor distribuiranog okvira, alokaciju računalnih resursa po programskim jezicima, postavljanje veličine serije i stope učenja, i odabir strategije pojačanog učenja. To je razlika između kuhara koji otvara knjigu na pravoj stranici i kuhara koji eksperimentira naslijepo trošeći sastojke koje si ne može priuštiti dvaput.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2026-03-23T06:48:19.191Z</dcterms:created>
  <dcterms:modified xsi:type="dcterms:W3CDTF">2026-03-23T06:48:19.191Z</dcterms:modified>
</cp:coreProperties>
</file>

<file path=docProps/custom.xml><?xml version="1.0" encoding="utf-8"?>
<Properties xmlns="http://schemas.openxmlformats.org/officeDocument/2006/custom-properties" xmlns:vt="http://schemas.openxmlformats.org/officeDocument/2006/docPropsVTypes"/>
</file>