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10: UX, UI i pristupačan dizajn za web</w:t>
      </w:r>
    </w:p>
    <w:p>
      <w:pPr>
        <w:pStyle w:val="Subtitle"/>
      </w:pPr>
      <w:r>
        <w:t xml:space="preserve">Korisničko iskustvo, persuazivni obrasci i standardi pristupačnosti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pokriva principe dizajna korisničkog iskustva, korisničkog sučelja, responzivnih rasporeda, persuazivnih dizajnerskih obrazaca, arhitekture povjerenja te standarde web pristupačnosti (WCAG).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10: UX, UI i pristupačan dizajn za web</dc:title>
  <dc:creator>doc. dr. sc. Luka Šikić</dc:creator>
  <cp:keywords/>
  <dcterms:created xsi:type="dcterms:W3CDTF">2026-02-24T08:50:44Z</dcterms:created>
  <dcterms:modified xsi:type="dcterms:W3CDTF">2026-02-24T08:50:44Z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pokriva principe dizajna korisničkog iskustva, korisničkog sučelja, responzivnih rasporeda, persuazivnih dizajnerskih obrazaca, arhitekture povjerenja te standarde web pristupačnosti (WCAG).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Korisničko iskustvo, persuazivni obrasci i standardi pristupačnosti</vt:lpwstr>
  </property>
  <property fmtid="{D5CDD505-2E9C-101B-9397-08002B2CF9AE}" pid="13" name="toc-title">
    <vt:lpwstr>Table of contents</vt:lpwstr>
  </property>
</Properties>
</file>