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11: Generativna AI i web tehnologije</w:t>
      </w:r>
    </w:p>
    <w:p>
      <w:pPr>
        <w:pStyle w:val="Subtitle"/>
      </w:pPr>
      <w:r>
        <w:t xml:space="preserve">Veliki jezični modeli, generatori slika i transformacija digitalnih radnih tokova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pruža sveobuhvatan pregled načina na koji generativna AI transformira stvaranje web sadržaja, web dizajn, personalizaciju i digitalne komunikacijske radne tokove.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11: Generativna AI i web tehnologije</dc:title>
  <dc:creator>doc. dr. sc. Luka Šikić</dc:creator>
  <cp:keywords/>
  <dcterms:created xsi:type="dcterms:W3CDTF">2026-02-24T08:50:49Z</dcterms:created>
  <dcterms:modified xsi:type="dcterms:W3CDTF">2026-02-24T08:50:49Z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pruža sveobuhvatan pregled načina na koji generativna AI transformira stvaranje web sadržaja, web dizajn, personalizaciju i digitalne komunikacijske radne tokove.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Veliki jezični modeli, generatori slika i transformacija digitalnih radnih tokova</vt:lpwstr>
  </property>
  <property fmtid="{D5CDD505-2E9C-101B-9397-08002B2CF9AE}" pid="13" name="toc-title">
    <vt:lpwstr>Table of contents</vt:lpwstr>
  </property>
</Properties>
</file>