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7: Strategija sadržaja i digitalne uredničke operacije</w:t>
      </w:r>
    </w:p>
    <w:p>
      <w:pPr>
        <w:pStyle w:val="Subtitle"/>
      </w:pPr>
      <w:r>
        <w:t xml:space="preserve">Od uredničkog planiranja do konverzije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uvodi strategiju sadržaja kao disciplinu, pokrivajući uredničko planiranje, upravljanje sadržajem, višekanalno objavljivanje, kalendare sadržaja, mapiranje korisničkog putovanja i usklađivanje web sadržaja s organizacijskim ciljevima.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7: Strategija sadržaja i digitalne uredničke operacije</dc:title>
  <dc:creator>doc. dr. sc. Luka Šikić</dc:creator>
  <cp:keywords/>
  <dcterms:created xsi:type="dcterms:W3CDTF">2026-03-02T10:39:22Z</dcterms:created>
  <dcterms:modified xsi:type="dcterms:W3CDTF">2026-03-02T10:39:22Z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uvodi strategiju sadržaja kao disciplinu, pokrivajući uredničko planiranje, upravljanje sadržajem, višekanalno objavljivanje, kalendare sadržaja, mapiranje korisničkog putovanja i usklađivanje web sadržaja s organizacijskim ciljevima.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uredničkog planiranja do konverzije</vt:lpwstr>
  </property>
  <property fmtid="{D5CDD505-2E9C-101B-9397-08002B2CF9AE}" pid="13" name="toc-title">
    <vt:lpwstr>Table of contents</vt:lpwstr>
  </property>
</Properties>
</file>