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2: Kako funkcionira pretraživanje i zašto je pronalažljivost važna</w:t>
      </w:r>
    </w:p>
    <w:p>
      <w:pPr>
        <w:pStyle w:val="Subtitle"/>
      </w:pPr>
      <w:r>
        <w:t xml:space="preserve">Tražilice, SEO i putovanje od upita do klika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objašnjava kako tražilice indeksiraju i rangiraju web sadržaj, pokrivajući moderne SEO principe poput namjere pretraživanja, E-E-A-T, strukturiranih podataka, bogatih rezultata i Core Web Vitals.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2: Kako funkcionira pretraživanje i zašto je pronalažljivost važna</dc:title>
  <dc:creator>doc. dr. sc. Luka Šikić</dc:creator>
  <cp:keywords/>
  <dcterms:created xsi:type="dcterms:W3CDTF">2026-03-02T07:38:33Z</dcterms:created>
  <dcterms:modified xsi:type="dcterms:W3CDTF">2026-03-02T07:38:33Z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objašnjava kako tražilice indeksiraju i rangiraju web sadržaj, pokrivajući moderne SEO principe poput namjere pretraživanja, E-E-A-T, strukturiranih podataka, bogatih rezultata i Core Web Vitals.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Tražilice, SEO i putovanje od upita do klika</vt:lpwstr>
  </property>
  <property fmtid="{D5CDD505-2E9C-101B-9397-08002B2CF9AE}" pid="13" name="toc-title">
    <vt:lpwstr>Table of contents</vt:lpwstr>
  </property>
</Properties>
</file>