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10: UX, UI i pristupačan dizajn za web</w:t>
      </w:r>
    </w:p>
    <w:p>
      <w:pPr>
        <w:pStyle w:val="Subtitle"/>
      </w:pPr>
      <w:r>
        <w:t xml:space="preserve">Korisničko iskustvo, persuazivni obrasci i standardi pristupačnosti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pokriva principe dizajna korisničkog iskustva, korisničkog sučelja, responzivnih rasporeda, persuazivnih dizajnerskih obrazaca, arhitekture povjerenja te standarde web pristupačnosti (WCAG).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10: UX, UI i pristupačan dizajn za web</dc:title>
  <dc:creator>doc. dr. sc. Luka Šikić</dc:creator>
  <cp:keywords/>
  <dcterms:created xsi:type="dcterms:W3CDTF">2026-03-02T07:38:29Z</dcterms:created>
  <dcterms:modified xsi:type="dcterms:W3CDTF">2026-03-02T07:38:29Z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pokriva principe dizajna korisničkog iskustva, korisničkog sučelja, responzivnih rasporeda, persuazivnih dizajnerskih obrazaca, arhitekture povjerenja te standarde web pristupačnosti (WCAG).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Korisničko iskustvo, persuazivni obrasci i standardi pristupačnosti</vt:lpwstr>
  </property>
  <property fmtid="{D5CDD505-2E9C-101B-9397-08002B2CF9AE}" pid="13" name="toc-title">
    <vt:lpwstr>Table of contents</vt:lpwstr>
  </property>
</Properties>
</file>