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13: Digitalna regulativa i pravni okvir</w:t>
      </w:r>
    </w:p>
    <w:p>
      <w:pPr>
        <w:pStyle w:val="Subtitle"/>
      </w:pPr>
      <w:r>
        <w:t xml:space="preserve">GDPR, EU Akt o AI-ju, Akt o digitalnim uslugama i tržištima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daje pregled regulatornih okvira koji oblikuju web tehnologije i digitalnu komunikaciju u Europi i globalno, uključujući GDPR, EU Akt o AI-ju, Akt o digitalnim uslugama i Akt o digitalnim tržištima.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13: Digitalna regulativa i pravni okvir</dc:title>
  <dc:creator>doc. dr. sc. Luka Šikić</dc:creator>
  <cp:keywords/>
  <dcterms:created xsi:type="dcterms:W3CDTF">2026-03-02T09:11:55Z</dcterms:created>
  <dcterms:modified xsi:type="dcterms:W3CDTF">2026-03-02T09:11:55Z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daje pregled regulatornih okvira koji oblikuju web tehnologije i digitalnu komunikaciju u Europi i globalno, uključujući GDPR, EU Akt o AI-ju, Akt o digitalnim uslugama i Akt o digitalnim tržištima.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GDPR, EU Akt o AI-ju, Akt o digitalnim uslugama i tržištima</vt:lpwstr>
  </property>
  <property fmtid="{D5CDD505-2E9C-101B-9397-08002B2CF9AE}" pid="13" name="toc-title">
    <vt:lpwstr>Table of contents</vt:lpwstr>
  </property>
</Properties>
</file>