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4: Sustavi za upravljanje sadržajem i moderni web stack</w:t>
      </w:r>
    </w:p>
    <w:p>
      <w:pPr>
        <w:pStyle w:val="Subtitle"/>
      </w:pPr>
      <w:r>
        <w:t xml:space="preserve">Od WordPressa do headless CMS-a i web graditelja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daje pregled načina na koji se danas grade i upravljaju web stranice, od tradicionalnih CMS platformi poput WordPressa do headless sustava, platformi s podrškom za trgovinu i modernih web graditelja.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4: Sustavi za upravljanje sadržajem i moderni web stack</dc:title>
  <dc:creator>doc. dr. sc. Luka Šikić</dc:creator>
  <cp:keywords/>
  <dcterms:created xsi:type="dcterms:W3CDTF">2026-02-24T07:58:08Z</dcterms:created>
  <dcterms:modified xsi:type="dcterms:W3CDTF">2026-02-24T07:58:08Z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daje pregled načina na koji se danas grade i upravljaju web stranice, od tradicionalnih CMS platformi poput WordPressa do headless sustava, platformi s podrškom za trgovinu i modernih web graditelja.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WordPressa do headless CMS-a i web graditelja</vt:lpwstr>
  </property>
  <property fmtid="{D5CDD505-2E9C-101B-9397-08002B2CF9AE}" pid="13" name="toc-title">
    <vt:lpwstr>Table of contents</vt:lpwstr>
  </property>
</Properties>
</file>