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7: Strategija sadržaja i digitalne uredničke operacije</w:t>
      </w:r>
    </w:p>
    <w:p>
      <w:pPr>
        <w:pStyle w:val="Subtitle"/>
      </w:pPr>
      <w:r>
        <w:t xml:space="preserve">Od uredničkog planiranja do konverzije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uvodi strategiju sadržaja kao disciplinu, pokrivajući uredničko planiranje, upravljanje sadržajem, višekanalno objavljivanje, kalendare sadržaja, mapiranje korisničkog putovanja i usklađivanje web sadržaja s organizacijskim ciljevima.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7: Strategija sadržaja i digitalne uredničke operacije</dc:title>
  <dc:creator>doc. dr. sc. Luka Šikić</dc:creator>
  <cp:keywords/>
  <dcterms:created xsi:type="dcterms:W3CDTF">2026-02-24T07:58:13Z</dcterms:created>
  <dcterms:modified xsi:type="dcterms:W3CDTF">2026-02-24T07:58:13Z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uvodi strategiju sadržaja kao disciplinu, pokrivajući uredničko planiranje, upravljanje sadržajem, višekanalno objavljivanje, kalendare sadržaja, mapiranje korisničkog putovanja i usklađivanje web sadržaja s organizacijskim ciljevima.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Od uredničkog planiranja do konverzije</vt:lpwstr>
  </property>
  <property fmtid="{D5CDD505-2E9C-101B-9397-08002B2CF9AE}" pid="13" name="toc-title">
    <vt:lpwstr>Table of contents</vt:lpwstr>
  </property>
</Properties>
</file>