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10: UX, UI i pristupačan dizajn za web</w:t>
      </w:r>
    </w:p>
    <w:p>
      <w:pPr>
        <w:pStyle w:val="Subtitle"/>
      </w:pPr>
      <w:r>
        <w:t xml:space="preserve">Korisničko iskustvo, persuazivni obrasci i standardi pristupačnosti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pokriva principe dizajna korisničkog iskustva, korisničkog sučelja, responzivnih rasporeda, persuazivnih dizajnerskih obrazaca, arhitekture povjerenja te standarde web pristupačnosti (WCAG).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10: UX, UI i pristupačan dizajn za web</dc:title>
  <dc:creator>doc. dr. sc. Luka Šikić</dc:creator>
  <cp:keywords/>
  <dcterms:created xsi:type="dcterms:W3CDTF">2026-02-24T07:58:30Z</dcterms:created>
  <dcterms:modified xsi:type="dcterms:W3CDTF">2026-02-24T07:58:30Z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pokriva principe dizajna korisničkog iskustva, korisničkog sučelja, responzivnih rasporeda, persuazivnih dizajnerskih obrazaca, arhitekture povjerenja te standarde web pristupačnosti (WCAG).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Korisničko iskustvo, persuazivni obrasci i standardi pristupačnosti</vt:lpwstr>
  </property>
  <property fmtid="{D5CDD505-2E9C-101B-9397-08002B2CF9AE}" pid="13" name="toc-title">
    <vt:lpwstr>Table of contents</vt:lpwstr>
  </property>
</Properties>
</file>