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600" w:lineRule="exact" w:after="120"/>
      </w:pPr>
      <w:r>
        <w:t>帮我看着 App 设计文档</w:t>
      </w:r>
    </w:p>
    <w:p>
      <w:pPr>
        <w:spacing w:line="300" w:lineRule="exact" w:after="120"/>
      </w:pPr>
      <w:r>
        <w:t>产品与技术设计草案 v0.1    2026 年 10 月 6 日</w:t>
      </w:r>
    </w:p>
    <w:p>
      <w:pPr>
        <w:spacing w:line="300" w:lineRule="exact" w:after="120"/>
      </w:pPr>
      <w:r>
        <w:t>面向产品、Android 开发、视觉算法和测试人员。本文件把讨论中的想法转化为可实施的首版方案，覆盖间歇观察、自动寻找目标、多镜头增强、提醒逻辑以及验证计划。所有采样频率、阈值和工期均为初始设计假设，尚未通过实机测试。</w:t>
      </w:r>
    </w:p>
    <w:p>
      <w:pPr>
        <w:pStyle w:val="Heading2"/>
        <w:snapToGrid w:val="0"/>
        <w:spacing w:line="340" w:lineRule="exact" w:after="120"/>
      </w:pPr>
      <w:r>
        <w:t>核心决策</w:t>
      </w:r>
    </w:p>
    <w:p>
      <w:pPr>
        <w:spacing w:line="300" w:lineRule="exact" w:after="120"/>
      </w:pPr>
      <w:r>
        <w:t>用户正常使用手机，摄像头在有机会看到指定目标时自动检查；无需一直对准，也无需每次返回 App 拍照。首版选择 Android 医院叫号场景，以本地处理和单任务为基础。输液低液位提醒保留为独立实验模块。</w:t>
      </w:r>
    </w:p>
    <w:p>
      <w:pPr>
        <w:spacing w:line="300" w:lineRule="exact" w:after="120"/>
      </w:pPr>
      <w:r>
        <w:t>产品提供有时间戳的观察和提醒。目标不在视野内时，结果是未知；没有提醒不代表没有叫号，也不代表输液状态正常。广角扩大可观察范围，长焦仅在目标落入其视野且设备支持时增强细节。</w:t>
      </w:r>
    </w:p>
    <w:p>
      <w:pPr>
        <w:pStyle w:val="Heading2"/>
        <w:snapToGrid w:val="0"/>
        <w:spacing w:line="340" w:lineRule="exact" w:after="120"/>
      </w:pPr>
      <w:r>
        <w:t>首版范围</w:t>
      </w:r>
    </w:p>
    <w:tbl>
      <w:tblPr>
        <w:tblW w:type="auto" w:w="0"/>
        <w:tblLayout w:type="fixed"/>
        <w:tblLook w:firstColumn="1" w:firstRow="1" w:lastColumn="0" w:lastRow="0" w:noHBand="0" w:noVBand="1" w:val="04A0"/>
      </w:tblPr>
      <w:tblGrid>
        <w:gridCol w:w="1728"/>
        <w:gridCol w:w="8352"/>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范围</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首版方案</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主要用户</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候诊时看小说、聊天、浏览内容，希望减少反复抬头查看的人。</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核心任务</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指定诊室和号码；自动寻找屏幕、识别当前叫号、振动提醒。</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设备范围</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先支持少量实测 Android 机型；最低版本和适配清单由技术验证决定。</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非首版能力</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任意自然语言任务、多任务并行、语音叫号监听、通用医疗监护、iPhone 后台监看。</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提醒边界</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只依据实际采集的画面，不推断未观察时段发生的事件，不保证每次叫号都能捕获。</w:t>
            </w:r>
          </w:p>
        </w:tc>
      </w:tr>
    </w:tbl>
    <w:p>
      <w:pPr>
        <w:spacing w:after="120" w:line="300" w:lineRule="exact"/>
        <w:snapToGrid w:val="0"/>
      </w:pPr>
    </w:p>
    <w:p>
      <w:pPr>
        <w:pStyle w:val="Heading2"/>
        <w:snapToGrid w:val="0"/>
        <w:spacing w:line="340" w:lineRule="exact" w:after="120"/>
      </w:pPr>
      <w:r>
        <w:t>评审需要确认的事项</w:t>
      </w:r>
    </w:p>
    <w:p>
      <w:pPr>
        <w:spacing w:line="300" w:lineRule="exact" w:after="120"/>
      </w:pPr>
      <w:r>
        <w:t>优先确认主力测试手机、典型屏幕距离和布局、是否接受可选悬浮窗，以及产品是否只做叫号。输液场景不阻塞首版。本文第 2 至 8 页分别说明交互、平台与相机、识别、状态与数据、输液、验收以及实施计划。</w:t>
      </w:r>
    </w:p>
    <w:p>
      <w:pPr>
        <w:spacing w:line="300" w:lineRule="exact" w:after="120"/>
      </w:pPr>
      <w:r>
        <w:br w:type="page"/>
      </w:r>
    </w:p>
    <w:p>
      <w:pPr>
        <w:pStyle w:val="Heading1"/>
        <w:snapToGrid w:val="0"/>
        <w:spacing w:line="460" w:lineRule="exact" w:after="120"/>
      </w:pPr>
      <w:r>
        <w:t>1 用户流程与界面</w:t>
      </w:r>
    </w:p>
    <w:p>
      <w:pPr>
        <w:pStyle w:val="Heading2"/>
        <w:snapToGrid w:val="0"/>
        <w:spacing w:line="340" w:lineRule="exact" w:after="120"/>
      </w:pPr>
      <w:r>
        <w:t>创建任务</w:t>
      </w:r>
    </w:p>
    <w:p>
      <w:pPr>
        <w:spacing w:line="300" w:lineRule="exact" w:after="120"/>
      </w:pPr>
      <w:r>
        <w:t>首页提供“帮我等号”，输液入口在实验阶段隐藏。用户扫描一次叫号屏幕，选择诊室区域，确认“正在叫号”所在栏，输入目标号码；姓名可选。预览页展示识别到的诊室和字段，允许手工纠正。无法确认布局时不自动启动猜测。</w:t>
      </w:r>
    </w:p>
    <w:p>
      <w:pPr>
        <w:spacing w:line="300" w:lineRule="exact" w:after="120"/>
      </w:pPr>
      <w:r>
        <w:t>点击“开始”时，在可见页面申请相机与通知权限，启动相机前台服务，并让用户试一次振动提醒。若通知不可用，明确说明切换其他 App 后可能无法收到提醒，用户处理后再启动。悬浮窗是可选增强，不作为相机权限的替代。</w:t>
      </w:r>
    </w:p>
    <w:p>
      <w:pPr>
        <w:pStyle w:val="Heading2"/>
        <w:snapToGrid w:val="0"/>
        <w:spacing w:line="340" w:lineRule="exact" w:after="120"/>
      </w:pPr>
      <w:r>
        <w:t>监看中的界面</w:t>
      </w:r>
    </w:p>
    <w:tbl>
      <w:tblPr>
        <w:tblW w:type="auto" w:w="0"/>
        <w:tblLayout w:type="fixed"/>
        <w:tblLook w:firstColumn="1" w:firstRow="1" w:lastColumn="0" w:lastRow="0" w:noHBand="0" w:noVBand="1" w:val="04A0"/>
      </w:tblPr>
      <w:tblGrid>
        <w:gridCol w:w="1656"/>
        <w:gridCol w:w="5688"/>
        <w:gridCol w:w="2736"/>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状态</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用户看到的内容</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可用操作</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已有有效观察</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等 128 号 · 最近看到 125 号 · 18 秒前</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暂停、结束、查看证据</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暂时没看到</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暂未看到屏幕 · 上次有效观察 2 分钟前</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继续等待、扫一下</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疑似命中</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可能叫到 128 号 · 请查看屏幕</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查看截图、确认、忽略</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确认命中</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看到 128 号 · 3 号诊室</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确认已收到、结束任务</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相机不可用</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监看已中断 · 相机被占用或权限关闭</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返回 App 恢复</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暂停或结束</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已暂停或已结束，不再检查</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恢复或新建任务</w:t>
            </w:r>
          </w:p>
        </w:tc>
      </w:tr>
    </w:tbl>
    <w:p>
      <w:pPr>
        <w:spacing w:after="120" w:line="300" w:lineRule="exact"/>
        <w:snapToGrid w:val="0"/>
      </w:pPr>
    </w:p>
    <w:p>
      <w:pPr>
        <w:pStyle w:val="Heading2"/>
        <w:snapToGrid w:val="0"/>
        <w:spacing w:line="340" w:lineRule="exact" w:after="120"/>
      </w:pPr>
      <w:r>
        <w:t>通知策略</w:t>
      </w:r>
    </w:p>
    <w:p>
      <w:pPr>
        <w:spacing w:line="300" w:lineRule="exact" w:after="120"/>
      </w:pPr>
      <w:r>
        <w:t>确认命中立即振动并发送高优先级通知，声音由用户选择，遵循系统通知与勿扰设置；不承诺强制覆盖其他应用。疑似命中使用不同文案，避免将不确定结果表述为已叫号。用户确认后停止该次提醒，同一任务的重复识别不重复轰炸。</w:t>
      </w:r>
    </w:p>
    <w:p>
      <w:pPr>
        <w:spacing w:line="300" w:lineRule="exact" w:after="120"/>
      </w:pPr>
      <w:r>
        <w:t>长时间无有效观察的提示默认温和，可设置提醒间隔和关闭。不能因画面没变化而刷新“最近观察”时间；只有重新捕获并通过质量检查的目标证据才更新。</w:t>
      </w:r>
    </w:p>
    <w:p>
      <w:pPr>
        <w:pStyle w:val="Heading2"/>
        <w:snapToGrid w:val="0"/>
        <w:spacing w:line="340" w:lineRule="exact" w:after="120"/>
      </w:pPr>
      <w:r>
        <w:t>结束与中断</w:t>
      </w:r>
    </w:p>
    <w:p>
      <w:pPr>
        <w:spacing w:line="300" w:lineRule="exact" w:after="120"/>
      </w:pPr>
      <w:r>
        <w:t>通知提供“结束”按钮并立即释放相机。默认任务有效期建议 2 小时，到期提醒续期。进程被终止或手机重启后不假装仍在运行；下次打开显示上次中断，并由用户重新启动。其他应用需要相机时优先释放资源，避免干扰扫码和视频通话。</w:t>
      </w:r>
    </w:p>
    <w:p>
      <w:pPr>
        <w:spacing w:line="300" w:lineRule="exact" w:after="120"/>
      </w:pPr>
      <w:r>
        <w:br w:type="page"/>
      </w:r>
    </w:p>
    <w:p>
      <w:pPr>
        <w:pStyle w:val="Heading1"/>
        <w:snapToGrid w:val="0"/>
        <w:spacing w:line="460" w:lineRule="exact" w:after="120"/>
      </w:pPr>
      <w:r>
        <w:t>2 平台约束与多镜头策略</w:t>
      </w:r>
    </w:p>
    <w:p>
      <w:pPr>
        <w:pStyle w:val="Heading2"/>
        <w:snapToGrid w:val="0"/>
        <w:spacing w:line="340" w:lineRule="exact" w:after="120"/>
      </w:pPr>
      <w:r>
        <w:t>Android 实现边界</w:t>
      </w:r>
    </w:p>
    <w:p>
      <w:pPr>
        <w:spacing w:line="300" w:lineRule="exact" w:after="120"/>
      </w:pPr>
      <w:r>
        <w:t>采用用户主动开启的 camera 类型前台服务，在 App 可见时完成权限检查和服务启动。按目标系统版本声明 CAMERA、FOREGROUND_SERVICE、FOREGROUND_SERVICE_CAMERA，并处理通知权限。Android 对后台启动和使用期间权限有约束，不以后台定时任务反复冷启动相机作为基础架构。[1]</w:t>
      </w:r>
    </w:p>
    <w:p>
      <w:pPr>
        <w:spacing w:line="300" w:lineRule="exact" w:after="120"/>
      </w:pPr>
      <w:r>
        <w:t>前台服务不等于绝对常驻。相机竞争、系统隐私开关、温控、省电策略和厂商后台管理均可能中断采集。检测中断后进入明确的阻塞状态；重试必须满足系统规则，不满足时要求返回 App。锁屏运行仅在验证通过的机型中声明支持。</w:t>
      </w:r>
    </w:p>
    <w:p>
      <w:pPr>
        <w:pStyle w:val="Heading2"/>
        <w:snapToGrid w:val="0"/>
        <w:spacing w:line="340" w:lineRule="exact" w:after="120"/>
      </w:pPr>
      <w:r>
        <w:t>镜头能力发现与降级</w:t>
      </w:r>
    </w:p>
    <w:p>
      <w:pPr>
        <w:spacing w:line="300" w:lineRule="exact" w:after="120"/>
      </w:pPr>
      <w:r>
        <w:t>首次运行枚举可用镜头、焦距、视野、输出尺寸和逻辑多摄能力，保存设备能力档案。Camera2 的逻辑与物理相机机制并不保证每款手机开放全部镜头或任意并发组合。[2] 首版始终支持单后摄流程，切镜头失败回退，不中断整个任务。</w:t>
      </w:r>
    </w:p>
    <w:tbl>
      <w:tblPr>
        <w:tblW w:type="auto" w:w="0"/>
        <w:tblLayout w:type="fixed"/>
        <w:tblLook w:firstColumn="1" w:firstRow="1" w:lastColumn="0" w:lastRow="0" w:noHBand="0" w:noVBand="1" w:val="04A0"/>
      </w:tblPr>
      <w:tblGrid>
        <w:gridCol w:w="1584"/>
        <w:gridCol w:w="5328"/>
        <w:gridCol w:w="3168"/>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阶段</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选择原则</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失败处理</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寻找目标</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优先可用超广角；缺失时使用默认后摄</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保留单镜头寻找</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读取细节</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先使用同镜头高分辨率帧与目标裁剪</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不足时标记不可读</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长焦增强</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目标在预计重叠视野内且稳定时尝试</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丢失目标立即回退</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切换后确认</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重新检测目标、匹配诊室、等待对焦曝光</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不能复用旧坐标直接判断</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防止反复切换</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设切换冷却时间和失败次数上限</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本次会话禁用失败镜头</w:t>
            </w:r>
          </w:p>
        </w:tc>
      </w:tr>
    </w:tbl>
    <w:p>
      <w:pPr>
        <w:spacing w:after="120" w:line="300" w:lineRule="exact"/>
        <w:snapToGrid w:val="0"/>
      </w:pPr>
    </w:p>
    <w:p>
      <w:pPr>
        <w:spacing w:line="300" w:lineRule="exact" w:after="120"/>
      </w:pPr>
      <w:r>
        <w:t>广角边缘的目标不一定落入长焦画面；数字裁剪不会产生新的真实细节。跨镜头映射使用可用标定信息或重检测，不能仅按固定缩放倍数换算。远距离小字、屏幕刷新条纹和反光仍可能导致不可读。</w:t>
      </w:r>
    </w:p>
    <w:p>
      <w:pPr>
        <w:pStyle w:val="Heading2"/>
        <w:snapToGrid w:val="0"/>
        <w:spacing w:line="340" w:lineRule="exact" w:after="120"/>
      </w:pPr>
      <w:r>
        <w:t>iPhone 路线</w:t>
      </w:r>
    </w:p>
    <w:p>
      <w:pPr>
        <w:spacing w:line="300" w:lineRule="exact" w:after="120"/>
      </w:pPr>
      <w:r>
        <w:t>苹果提供多任务相机能力查询，但使用条件与平台和应用背景模式有关，不能把普通识别 App 的后台相机能力视为已解决。[3] iPhone 暂仅评估前台“扫一下自动检查”；后台方案需独立验证合法能力与上架可行性，不伪装视频通话获取持续采集。</w:t>
      </w:r>
    </w:p>
    <w:p>
      <w:pPr>
        <w:spacing w:line="300" w:lineRule="exact" w:after="120"/>
      </w:pPr>
      <w:r>
        <w:br w:type="page"/>
      </w:r>
    </w:p>
    <w:p>
      <w:pPr>
        <w:pStyle w:val="Heading1"/>
        <w:snapToGrid w:val="0"/>
        <w:spacing w:line="460" w:lineRule="exact" w:after="120"/>
      </w:pPr>
      <w:r>
        <w:t>3 视觉处理与叫号判定</w:t>
      </w:r>
    </w:p>
    <w:p>
      <w:pPr>
        <w:pStyle w:val="Heading2"/>
        <w:snapToGrid w:val="0"/>
        <w:spacing w:line="340" w:lineRule="exact" w:after="120"/>
      </w:pPr>
      <w:r>
        <w:t>处理流水线</w:t>
      </w:r>
    </w:p>
    <w:p>
      <w:pPr>
        <w:spacing w:line="300" w:lineRule="exact" w:after="120"/>
      </w:pPr>
      <w:r>
        <w:t>采集帧经方向校正和质量筛选后，进行屏幕检测、目标匹配、透视校正、OCR、布局解析和条件判定。每一步返回状态与拒绝原因。上游失败时保留最后一次有效观察，禁止生成“未叫到”结论。</w:t>
      </w:r>
    </w:p>
    <w:p>
      <w:pPr>
        <w:spacing w:line="300" w:lineRule="exact" w:after="120"/>
      </w:pPr>
      <w:r>
        <w:t>冷启动可由用户框选屏幕及叫号栏，结合诊室文字与局部外观建立目标。重新入镜后重新定位并核对诊室；不能永久使用最初框选的像素坐标。切场景、多人屏幕和相似诊室要求保守拒绝。</w:t>
      </w:r>
    </w:p>
    <w:p>
      <w:pPr>
        <w:pStyle w:val="Heading2"/>
        <w:snapToGrid w:val="0"/>
        <w:spacing w:line="340" w:lineRule="exact" w:after="120"/>
      </w:pPr>
      <w:r>
        <w:t>初始采样策略</w:t>
      </w:r>
    </w:p>
    <w:tbl>
      <w:tblPr>
        <w:tblW w:type="auto" w:w="0"/>
        <w:tblLayout w:type="fixed"/>
        <w:tblLook w:firstColumn="1" w:firstRow="1" w:lastColumn="0" w:lastRow="0" w:noHBand="0" w:noVBand="1" w:val="04A0"/>
      </w:tblPr>
      <w:tblGrid>
        <w:gridCol w:w="1512"/>
        <w:gridCol w:w="3888"/>
        <w:gridCol w:w="4680"/>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工作模式</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初始候选参数</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说明</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搜索</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每秒处理约 1 帧低分辨率画面</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目标出现后进入读取；不是保证传感器仅每秒工作一次</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读取</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短时每秒处理 3 至 5 帧，持续约 2 秒</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选择清晰帧；避免长期高分辨率推理</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不可读</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短时重试后回搜索</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长焦增强仅在支持且位置合适时执行</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温控降级</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降低处理频率，必要时暂停</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降低频率增加漏检风险，需同步显示状态</w:t>
            </w:r>
          </w:p>
        </w:tc>
      </w:tr>
    </w:tbl>
    <w:p>
      <w:pPr>
        <w:spacing w:after="120" w:line="300" w:lineRule="exact"/>
        <w:snapToGrid w:val="0"/>
      </w:pPr>
    </w:p>
    <w:p>
      <w:pPr>
        <w:spacing w:line="300" w:lineRule="exact" w:after="120"/>
      </w:pPr>
      <w:r>
        <w:t>上述值只用于原型起点。低频推理不等于低功耗相机，需分别测量相机流、图像复制、OCR 和界面耗电。持续低规格采集与间歇采集会话的能耗及恢复延迟，应在目标设备上比较。</w:t>
      </w:r>
    </w:p>
    <w:p>
      <w:pPr>
        <w:pStyle w:val="Heading2"/>
        <w:snapToGrid w:val="0"/>
        <w:spacing w:line="340" w:lineRule="exact" w:after="120"/>
      </w:pPr>
      <w:r>
        <w:t>语义匹配与证据规则</w:t>
      </w:r>
    </w:p>
    <w:p>
      <w:pPr>
        <w:spacing w:line="300" w:lineRule="exact" w:after="120"/>
      </w:pPr>
      <w:r>
        <w:t>目标键由诊室或队列标识加完整号码组成，保留前缀和前导零，禁止子串匹配。数字与字母混淆保留候选，不静默把 O 改成 0。姓名只作为辅助字段，不能用同名结果替代号码和诊室匹配。</w:t>
      </w:r>
    </w:p>
    <w:p>
      <w:pPr>
        <w:spacing w:line="300" w:lineRule="exact" w:after="120"/>
      </w:pPr>
      <w:r>
        <w:t>必须区分正在叫号、候诊列表、历史叫号和广告区域。候诊栏出现目标不触发；历史栏出现则提示“在近期叫号记录中看到”，不表述为正在叫号。不得从大号码已出现推断小号码必然叫过。</w:t>
      </w:r>
    </w:p>
    <w:p>
      <w:pPr>
        <w:spacing w:line="300" w:lineRule="exact" w:after="120"/>
      </w:pPr>
      <w:r>
        <w:t>清晰且字段齐全的强证据可以直接触发；弱证据先发疑似提示并在短窗口复核。相邻帧高度相关，重复一致并不自动代表可信。初始规则可采用清晰帧加布局校验，阈值用验证集标定；不把 OCR 分数当作实际正确概率。</w:t>
      </w:r>
    </w:p>
    <w:p>
      <w:pPr>
        <w:pStyle w:val="Heading2"/>
        <w:snapToGrid w:val="0"/>
        <w:spacing w:line="340" w:lineRule="exact" w:after="120"/>
      </w:pPr>
      <w:r>
        <w:t>大模型使用边界</w:t>
      </w:r>
    </w:p>
    <w:p>
      <w:pPr>
        <w:spacing w:line="300" w:lineRule="exact" w:after="120"/>
      </w:pPr>
      <w:r>
        <w:t>首版端侧 OCR 和显式规则即可运行。大模型可在后续帮助解析陌生布局，但输出必须经过结构校验，不能直接控制最终提醒。屏幕文字只作为待识别数据，不能作为可执行指令。默认不上传医院画面。</w:t>
      </w:r>
    </w:p>
    <w:p>
      <w:pPr>
        <w:spacing w:line="300" w:lineRule="exact" w:after="120"/>
      </w:pPr>
      <w:r>
        <w:br w:type="page"/>
      </w:r>
    </w:p>
    <w:p>
      <w:pPr>
        <w:pStyle w:val="Heading1"/>
        <w:snapToGrid w:val="0"/>
        <w:spacing w:line="460" w:lineRule="exact" w:after="120"/>
      </w:pPr>
      <w:r>
        <w:t>4 软件架构与状态管理</w:t>
      </w:r>
    </w:p>
    <w:p>
      <w:pPr>
        <w:pStyle w:val="Heading2"/>
        <w:snapToGrid w:val="0"/>
        <w:spacing w:line="340" w:lineRule="exact" w:after="120"/>
      </w:pPr>
      <w:r>
        <w:t>模块职责</w:t>
      </w:r>
    </w:p>
    <w:tbl>
      <w:tblPr>
        <w:tblW w:type="auto" w:w="0"/>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模块</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输入与输出</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任务与界面</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创建任务、权限引导、状态展示和用户确认。</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采集服务</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相机帧、镜头控制、生命周期及资源竞争事件。</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观察管线</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帧质量、目标框、OCR 字段、语义区域及拒绝原因。</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规则引擎</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消费不可变观察记录，输出疑似或确认事件，不直接操作相机。</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提醒与存储</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通知去重、证据裁剪、事件记录、保留期限和删除。</w:t>
            </w:r>
          </w:p>
        </w:tc>
      </w:tr>
    </w:tbl>
    <w:p>
      <w:pPr>
        <w:spacing w:after="120" w:line="300" w:lineRule="exact"/>
        <w:snapToGrid w:val="0"/>
      </w:pPr>
    </w:p>
    <w:p>
      <w:pPr>
        <w:spacing w:line="300" w:lineRule="exact" w:after="120"/>
      </w:pPr>
      <w:r>
        <w:t>建议采用 Kotlin 原生界面及 camera 类型前台服务。相机先以 CameraX 验证基础采集，若镜头选择或服务绑定需求无法满足，再在采集适配层使用 Camera2。视觉与规则接口保持独立，可用录制素材离线回放，无需依赖真实相机测试每条规则。</w:t>
      </w:r>
    </w:p>
    <w:p>
      <w:pPr>
        <w:pStyle w:val="Heading2"/>
        <w:snapToGrid w:val="0"/>
        <w:spacing w:line="340" w:lineRule="exact" w:after="120"/>
      </w:pPr>
      <w:r>
        <w:t>状态拆分</w:t>
      </w:r>
    </w:p>
    <w:p>
      <w:pPr>
        <w:spacing w:line="300" w:lineRule="exact" w:after="120"/>
      </w:pPr>
      <w:r>
        <w:t>任务生命周期采用 Ready、Running、Paused、Blocked、Ended。观察新鲜度独立采用 NeverSeen、Fresh、Stale；结果独立采用 Unknown、NoMatch、PossibleMatch、ConfirmedMatch。这样相机运行与观察过期不会被混为一个状态。</w:t>
      </w:r>
    </w:p>
    <w:p>
      <w:pPr>
        <w:spacing w:line="300" w:lineRule="exact" w:after="120"/>
      </w:pPr>
      <w:r>
        <w:t>Running 收到相机错误进入 Blocked；用户恢复且资源可用后回到 Running。有效新证据更新 Fresh 和结果；超过新鲜度窗口转为 Stale，历史结果仍保留但必须带时间。ConfirmedMatch 生成事件，确认后可结束任务。旧证据永远不能自动变成新的命中。</w:t>
      </w:r>
    </w:p>
    <w:p>
      <w:pPr>
        <w:pStyle w:val="Heading2"/>
        <w:snapToGrid w:val="0"/>
        <w:spacing w:line="340" w:lineRule="exact" w:after="120"/>
      </w:pPr>
      <w:r>
        <w:t>最小数据模型</w:t>
      </w:r>
    </w:p>
    <w:p>
      <w:pPr>
        <w:spacing w:line="300" w:lineRule="exact" w:after="120"/>
      </w:pPr>
      <w:r>
        <w:t>Task：taskId、scenario、targetSpec、createdAt、expiresAt、配置版本。targetSpec 包含诊室、完整号码、可选姓名以及用户确认的布局区域。</w:t>
      </w:r>
    </w:p>
    <w:p>
      <w:pPr>
        <w:spacing w:line="300" w:lineRule="exact" w:after="120"/>
      </w:pPr>
      <w:r>
        <w:t>Observation：observationId、taskId、frameId、capturedAt、单调时钟时间、cameraId、目标区域、质量指标、识别字段、区域语义、拒绝原因、算法版本。只有存在新帧且目标可读时才形成有效观察。</w:t>
      </w:r>
    </w:p>
    <w:p>
      <w:pPr>
        <w:spacing w:line="300" w:lineRule="exact" w:after="120"/>
      </w:pPr>
      <w:r>
        <w:t>AlertEvent：eventId、taskId、kind、证据 observationIds、createdAt、acknowledgedAt、去重键。去重键包含任务和事件类型；明确重叫提醒需另行定义事件间隔，不靠每帧生成新通知。</w:t>
      </w:r>
    </w:p>
    <w:p>
      <w:pPr>
        <w:pStyle w:val="Heading2"/>
        <w:snapToGrid w:val="0"/>
        <w:spacing w:line="340" w:lineRule="exact" w:after="120"/>
      </w:pPr>
      <w:r>
        <w:t>并发与恢复</w:t>
      </w:r>
    </w:p>
    <w:p>
      <w:pPr>
        <w:spacing w:line="300" w:lineRule="exact" w:after="120"/>
      </w:pPr>
      <w:r>
        <w:t>帧队列容量设为 1 或采用只保留最新帧的策略，丢弃过期工作。每项结果携带 taskId 与配置版本，任务结束或修改后丢弃迟到结果。管线使用单调时钟计算超时，墙钟仅用于展示；进程重启后不复用旧单调时间。持久化任务与事件，图像不进入常规日志。</w:t>
      </w:r>
    </w:p>
    <w:p>
      <w:pPr>
        <w:spacing w:line="300" w:lineRule="exact" w:after="120"/>
      </w:pPr>
      <w:r>
        <w:br w:type="page"/>
      </w:r>
    </w:p>
    <w:p>
      <w:pPr>
        <w:pStyle w:val="Heading1"/>
        <w:snapToGrid w:val="0"/>
        <w:spacing w:line="460" w:lineRule="exact" w:after="120"/>
      </w:pPr>
      <w:r>
        <w:t>5 输液实验模块与数据保护</w:t>
      </w:r>
    </w:p>
    <w:p>
      <w:pPr>
        <w:pStyle w:val="Heading2"/>
        <w:snapToGrid w:val="0"/>
        <w:spacing w:line="340" w:lineRule="exact" w:after="120"/>
      </w:pPr>
      <w:r>
        <w:t>实验目标</w:t>
      </w:r>
    </w:p>
    <w:p>
      <w:pPr>
        <w:spacing w:line="300" w:lineRule="exact" w:after="120"/>
      </w:pPr>
      <w:r>
        <w:t>仅研究固定类型输液瓶在间歇观察下的低液位提示。它不是输液安全监护，不判断穿刺部位、管路通畅、药物或滴速是否合适，不控制夹子或泵。现有研究证明视频识别滴液具有技术可行性，但不能证明随手间歇拍摄具备相同可靠性。[4]</w:t>
      </w:r>
    </w:p>
    <w:p>
      <w:pPr>
        <w:pStyle w:val="Heading2"/>
        <w:snapToGrid w:val="0"/>
        <w:spacing w:line="340" w:lineRule="exact" w:after="120"/>
      </w:pPr>
      <w:r>
        <w:t>识别流程</w:t>
      </w:r>
    </w:p>
    <w:p>
      <w:pPr>
        <w:spacing w:line="300" w:lineRule="exact" w:after="120"/>
      </w:pPr>
      <w:r>
        <w:t>用户选中瓶子并设定提醒线。系统重新看到目标时，匹配瓶体、估计姿态和可见区域，再寻找液气界面。提醒线存储在经确认的瓶体参考坐标中，不存为固定屏幕高度；无法完成视角归一化时拒绝比较。</w:t>
      </w:r>
    </w:p>
    <w:p>
      <w:pPr>
        <w:spacing w:line="300" w:lineRule="exact" w:after="120"/>
      </w:pPr>
      <w:r>
        <w:t>只在支持的瓶型、姿态和光照范围内输出“疑似低液位”。瓶体标签遮挡、反光或界面不可见时返回未知；靠液体颜色或瓶身亮度猜测液位不作为有效证据。更换瓶子、目标身份不确定或场景大幅改变时重新标定。</w:t>
      </w:r>
    </w:p>
    <w:p>
      <w:pPr>
        <w:spacing w:line="300" w:lineRule="exact" w:after="120"/>
      </w:pPr>
      <w:r>
        <w:t>软袋变形和液面几何关系更复杂，第一轮实验排除软袋。液面高度不等于剩余体积百分比；未经瓶型标定不输出毫升。观察到的下降趋势不保证未来流速，不输出精确剩余时间。</w:t>
      </w:r>
    </w:p>
    <w:p>
      <w:pPr>
        <w:pStyle w:val="Heading2"/>
        <w:snapToGrid w:val="0"/>
        <w:spacing w:line="340" w:lineRule="exact" w:after="120"/>
      </w:pPr>
      <w:r>
        <w:t>与叫号模块共用和隔离的部分</w:t>
      </w:r>
    </w:p>
    <w:p>
      <w:pPr>
        <w:spacing w:line="300" w:lineRule="exact" w:after="120"/>
      </w:pPr>
      <w:r>
        <w:t>共用采集、目标重新定位、时间戳、通知和存储；分别实现身份匹配、有效观察条件、规则和验收集。输液不沿用叫号准确率门槛作为可上线证明。临床相关推广需单独完成适用验证与专业评审，实验功能保持明确标识。</w:t>
      </w:r>
    </w:p>
    <w:p>
      <w:pPr>
        <w:pStyle w:val="Heading2"/>
        <w:snapToGrid w:val="0"/>
        <w:spacing w:line="340" w:lineRule="exact" w:after="120"/>
      </w:pPr>
      <w:r>
        <w:t>隐私与保留策略</w:t>
      </w:r>
    </w:p>
    <w:tbl>
      <w:tblPr>
        <w:tblW w:type="auto" w:w="0"/>
        <w:tblLayout w:type="fixed"/>
        <w:tblLook w:firstColumn="1" w:firstRow="1" w:lastColumn="0" w:lastRow="0" w:noHBand="0" w:noVBand="1" w:val="04A0"/>
      </w:tblPr>
      <w:tblGrid>
        <w:gridCol w:w="1656"/>
        <w:gridCol w:w="5328"/>
        <w:gridCol w:w="3096"/>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数据</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默认处理</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用户控制</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相机全帧</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仅内存短暂处理，不录制连续视频</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停止任务立即释放</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识别文字</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只保存目标相关字段</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任务详情可删除</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触发证据</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仅目标局部，默认 24 小时删除</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可立即删除或主动导出</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诊断日志</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记录耗时、错误码和版本，不记录姓名及原图</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诊断导出需主动操作</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云端分析</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首版关闭</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未来逐次明确授权，仅发送所需局部</w:t>
            </w:r>
          </w:p>
        </w:tc>
      </w:tr>
    </w:tbl>
    <w:p>
      <w:pPr>
        <w:spacing w:after="120" w:line="300" w:lineRule="exact"/>
        <w:snapToGrid w:val="0"/>
      </w:pPr>
    </w:p>
    <w:p>
      <w:pPr>
        <w:spacing w:line="300" w:lineRule="exact" w:after="120"/>
      </w:pPr>
      <w:r>
        <w:t>存储使用应用私有目录，敏感记录不进入自动云备份。锁屏通知默认隐藏姓名与截图，只显示“目标可能已出现”。正式测试优先用模拟叫号屏幕和明确授权素材，避免把其他患者的信息混入训练或公开问题报告。</w:t>
      </w:r>
    </w:p>
    <w:p>
      <w:pPr>
        <w:spacing w:line="300" w:lineRule="exact" w:after="120"/>
      </w:pPr>
      <w:r>
        <w:br w:type="page"/>
      </w:r>
    </w:p>
    <w:p>
      <w:pPr>
        <w:pStyle w:val="Heading1"/>
        <w:snapToGrid w:val="0"/>
        <w:spacing w:line="460" w:lineRule="exact" w:after="120"/>
      </w:pPr>
      <w:r>
        <w:t>6 验证指标与验收方法</w:t>
      </w:r>
    </w:p>
    <w:p>
      <w:pPr>
        <w:pStyle w:val="Heading2"/>
        <w:snapToGrid w:val="0"/>
        <w:spacing w:line="340" w:lineRule="exact" w:after="120"/>
      </w:pPr>
      <w:r>
        <w:t>先验证观察机会</w:t>
      </w:r>
    </w:p>
    <w:p>
      <w:pPr>
        <w:spacing w:line="300" w:lineRule="exact" w:after="120"/>
      </w:pPr>
      <w:r>
        <w:t>真实使用姿势下记录目标进入视野的时间区间，并人工标注屏幕内容。分别统计可见时间、可读时间和最长不可读间隔。单次观察成功不能证明等候全程有效；必须覆盖低头浏览、聊天、横屏、转身和相机被占用。</w:t>
      </w:r>
    </w:p>
    <w:p>
      <w:pPr>
        <w:spacing w:line="300" w:lineRule="exact" w:after="120"/>
      </w:pPr>
      <w:r>
        <w:t>端到端成功率按全部真实叫号事件计；条件识别召回率只按存在可读画面的事件计。两者同时报告，不能通过剔除未拍到的事件使产品表现看起来更好。还需报告误提醒次数每小时和每个场景的样本量。</w:t>
      </w:r>
    </w:p>
    <w:p>
      <w:pPr>
        <w:pStyle w:val="Heading2"/>
        <w:snapToGrid w:val="0"/>
        <w:spacing w:line="340" w:lineRule="exact" w:after="120"/>
      </w:pPr>
      <w:r>
        <w:t>首轮候选验收门槛</w:t>
      </w:r>
    </w:p>
    <w:tbl>
      <w:tblPr>
        <w:tblW w:type="auto" w:w="0"/>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指标</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原型目标或验收方法</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有效帧判定</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模糊、错屏幕、候诊栏和目标不可见不得产生确认命中；独立统计拒绝率。</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条件召回率</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可读事件集候选目标 ≥95%；人工标注，不只用 OCR 单字准确率。</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确认提醒精确率</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候选目标 ≥99%；须报告样本数和置信区间，小样本零误报不代表达标。</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提醒延迟</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从第一张可判定证据帧到本地提醒，P95 候选目标 ≤3 秒。</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真实漏提醒</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包含完全未观察到的事件，单独报告；没有实测前不对外承诺比例。</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状态正确性</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相机中断、目标过期、权限撤销后均不得继续显示实时正常监看。</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能耗与温度</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同机同亮度同前台任务，对比开关监看各 60 分钟，至少重复 3 次。</w:t>
            </w:r>
          </w:p>
        </w:tc>
      </w:tr>
    </w:tbl>
    <w:p>
      <w:pPr>
        <w:spacing w:after="120" w:line="300" w:lineRule="exact"/>
        <w:snapToGrid w:val="0"/>
      </w:pPr>
    </w:p>
    <w:p>
      <w:pPr>
        <w:spacing w:line="300" w:lineRule="exact" w:after="120"/>
      </w:pPr>
      <w:r>
        <w:t>以上为工程目标而非已达到的性能。能耗记录电量百分点每小时或电流测量值、机身温度、OCR 延迟及系统降频；先建立基线，再确定发布预算，不用“每秒只识别一次”代替功耗测试。</w:t>
      </w:r>
    </w:p>
    <w:p>
      <w:pPr>
        <w:pStyle w:val="Heading2"/>
        <w:snapToGrid w:val="0"/>
        <w:spacing w:line="340" w:lineRule="exact" w:after="120"/>
      </w:pPr>
      <w:r>
        <w:t>覆盖矩阵</w:t>
      </w:r>
    </w:p>
    <w:p>
      <w:pPr>
        <w:spacing w:line="300" w:lineRule="exact" w:after="120"/>
      </w:pPr>
      <w:r>
        <w:t>至少覆盖 3 个厂商、不同性能档次的 Android 手机；距离建议覆盖 2、5、8 米，另记录实际文字像素高度。布局包含单诊室、多诊室、滚动、历史列表与广告切换；环境包含反光、遮挡、倾斜和光照变化。素材按设备及布局分离训练调参与验证集。</w:t>
      </w:r>
    </w:p>
    <w:p>
      <w:pPr>
        <w:spacing w:line="300" w:lineRule="exact" w:after="120"/>
      </w:pPr>
      <w:r>
        <w:t>故障用例包括通知关闭、勿扰、相机抢占、隐私开关、锁屏、系统回收、镜头切换失败、任务编辑后迟到结果及时间调整。输液实验另按瓶型、余量、角度和标签遮挡分层评估，不与叫号测试混算。</w:t>
      </w:r>
    </w:p>
    <w:p>
      <w:pPr>
        <w:spacing w:line="300" w:lineRule="exact" w:after="120"/>
      </w:pPr>
      <w:r>
        <w:br w:type="page"/>
      </w:r>
    </w:p>
    <w:p>
      <w:pPr>
        <w:pStyle w:val="Heading1"/>
        <w:snapToGrid w:val="0"/>
        <w:spacing w:line="460" w:lineRule="exact" w:after="120"/>
      </w:pPr>
      <w:r>
        <w:t>7 实施计划与技术依据</w:t>
      </w:r>
    </w:p>
    <w:p>
      <w:pPr>
        <w:pStyle w:val="Heading2"/>
        <w:snapToGrid w:val="0"/>
        <w:spacing w:line="340" w:lineRule="exact" w:after="120"/>
      </w:pPr>
      <w:r>
        <w:t>阶段与停止条件</w:t>
      </w:r>
    </w:p>
    <w:tbl>
      <w:tblPr>
        <w:tblW w:type="auto" w:w="0"/>
        <w:tblLayout w:type="fixed"/>
        <w:tblLook w:firstColumn="1" w:firstRow="1" w:lastColumn="0" w:lastRow="0" w:noHBand="0" w:noVBand="1" w:val="04A0"/>
      </w:tblPr>
      <w:tblGrid>
        <w:gridCol w:w="2232"/>
        <w:gridCol w:w="3888"/>
        <w:gridCol w:w="3960"/>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阶段</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交付物</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line="260" w:lineRule="exact"/>
              <w:snapToGrid w:val="0"/>
            </w:pPr>
            <w:r>
              <w:rPr>
                <w:b/>
                <w:sz w:val="18"/>
              </w:rPr>
              <w:t>继续投入的条件</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技术验证 1 至 2 周</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单机后台采集、自然姿势素材、OCR 提醒链路</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存在足够可读机会；其他 App 使用不受明显干扰</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可用原型 累计 4 至 8 周</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完整任务、重定位、去重、错误状态与回放测试</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提醒准确性及状态语义达标，能耗可接受</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测试版本 累计 2 至 4 月</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机型清单、场景矩阵、隐私控制与测试报告</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明确支持范围和产品漏提醒水平</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输液独立预研</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瓶型数据、视角校正、低液位实验报告</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snapToGrid w:val="0"/>
            </w:pPr>
            <w:r>
              <w:rPr>
                <w:b w:val="0"/>
                <w:sz w:val="18"/>
              </w:rPr>
              <w:t>低液位可观测性成立，再评估后续工作量</w:t>
            </w:r>
          </w:p>
        </w:tc>
      </w:tr>
    </w:tbl>
    <w:p>
      <w:pPr>
        <w:spacing w:after="120" w:line="300" w:lineRule="exact"/>
        <w:snapToGrid w:val="0"/>
      </w:pPr>
    </w:p>
    <w:p>
      <w:pPr>
        <w:spacing w:line="300" w:lineRule="exact" w:after="120"/>
      </w:pPr>
      <w:r>
        <w:t>估算假设为一名熟悉 Android 与视觉集成的工程师使用现成组件，并有产品和测试协助；不包含自研通用模型、医院系统对接或医疗验证。多机型后台兼容和素材获取是主要不确定性。</w:t>
      </w:r>
    </w:p>
    <w:p>
      <w:pPr>
        <w:pStyle w:val="Heading2"/>
        <w:snapToGrid w:val="0"/>
        <w:spacing w:line="340" w:lineRule="exact" w:after="120"/>
      </w:pPr>
      <w:r>
        <w:t>主要风险与取舍</w:t>
      </w:r>
    </w:p>
    <w:p>
      <w:pPr>
        <w:spacing w:line="300" w:lineRule="exact" w:after="120"/>
      </w:pPr>
      <w:r>
        <w:t>若自然姿势观察机会不足，保留“偶尔扫一下自动检查”的产品形式；若功耗过高，缩小支持设备并优化采集会话；若长焦切换收益不明显，保留单镜头；若布局泛化不足，要求用户确认叫号栏。任何降级都应同步更新产品描述。</w:t>
      </w:r>
    </w:p>
    <w:p>
      <w:pPr>
        <w:pStyle w:val="Heading2"/>
        <w:snapToGrid w:val="0"/>
        <w:spacing w:line="340" w:lineRule="exact" w:after="120"/>
      </w:pPr>
      <w:r>
        <w:t>建议的首个开发任务</w:t>
      </w:r>
    </w:p>
    <w:p>
      <w:pPr>
        <w:spacing w:line="300" w:lineRule="exact" w:after="120"/>
      </w:pPr>
      <w:r>
        <w:t>完成单机纵向原型：创建号码任务，在可见页面启动相机服务，切到阅读 App，自动读取模拟叫号屏幕并提醒；输出带时间戳的观察记录、误报漏报统计和 60 分钟能耗对比。通过后再做视觉美化与多镜头优化。</w:t>
      </w:r>
    </w:p>
    <w:p>
      <w:pPr>
        <w:pStyle w:val="Heading2"/>
        <w:snapToGrid w:val="0"/>
        <w:spacing w:line="340" w:lineRule="exact" w:after="120"/>
      </w:pPr>
      <w:r>
        <w:t>原始来源与适用范围</w:t>
      </w:r>
    </w:p>
    <w:p>
      <w:pPr>
        <w:spacing w:line="300" w:lineRule="exact" w:after="120"/>
      </w:pPr>
      <w:r>
        <w:t>核查日期为 2026 年 10 月 6 日。以下是平台能力与研究依据；本文交互、阈值、架构和工期为设计建议，不是来源已验证的产品性能。发布前按实际 target SDK 再核查。</w:t>
      </w:r>
    </w:p>
    <w:p>
      <w:pPr>
        <w:spacing w:line="300" w:lineRule="exact" w:after="120"/>
      </w:pPr>
      <w:r>
        <w:rPr>
          <w:sz w:val="16"/>
        </w:rPr>
        <w:t>[1] Android Developers — Foreground service types。相机前台服务与后台启动限制。https://developer.android.com/develop/background-work/services/fgs/service-types</w:t>
      </w:r>
    </w:p>
    <w:p>
      <w:pPr>
        <w:spacing w:line="300" w:lineRule="exact" w:after="120"/>
      </w:pPr>
      <w:r>
        <w:rPr>
          <w:sz w:val="16"/>
        </w:rPr>
        <w:t>[2] Android Developers — Multi-camera API。逻辑相机、物理相机和设备支持条件。https://developer.android.com/media/camera/camera2/multi-camera</w:t>
      </w:r>
    </w:p>
    <w:p>
      <w:pPr>
        <w:spacing w:line="300" w:lineRule="exact" w:after="120"/>
      </w:pPr>
      <w:r>
        <w:rPr>
          <w:sz w:val="16"/>
        </w:rPr>
        <w:t>[3] Apple Developer — isMultitaskingCameraAccessSupported。多任务相机的支持条件。https://developer.apple.com/documentation/avfoundation/avcapturesession/ismultitaskingcameraaccesssupported</w:t>
      </w:r>
    </w:p>
    <w:p>
      <w:pPr>
        <w:spacing w:line="300" w:lineRule="exact" w:after="120"/>
      </w:pPr>
      <w:r>
        <w:rPr>
          <w:sz w:val="16"/>
        </w:rPr>
        <w:t>[4] Giaquinto 等 — Deep Learning-Based Computer Vision for Real Time Intravenous Drip Infusion Monitoring，2020。视频滴液计数研究，与间歇液位识别场景不同。https://arxiv.org/abs/2011.10839</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设计草案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帮我看着  |  产品与技术设计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Noto Sans CJK SC" w:hAnsi="Noto Sans CJK SC" w:eastAsia="Noto Sans CJK SC" w:cs="Noto Sans CJK SC"/>
        <w:sz w:val="22"/>
        <w:szCs w:val="22"/>
        <w:lang w:val="en-US" w:eastAsia="en-US" w:bidi="ar-SA"/>
      </w:rPr>
    </w:rPrDefault>
    <w:pPrDefault>
      <w:pPr>
        <w:spacing w:after="200" w:line="276" w:lineRule="auto"/>
        <w:snapToGrid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snapToGrid w:val="0"/>
    </w:pPr>
    <w:rPr>
      <w:rFonts w:ascii="Noto Sans CJK SC" w:hAnsi="Noto Sans CJK SC" w:eastAsia="Noto Sans CJK SC" w:cs="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line="283" w:lineRule="auto"/>
      <w:outlineLvl w:val="0"/>
      <w:snapToGrid w:val="0"/>
    </w:pPr>
    <w:rPr>
      <w:rFonts w:cstheme="majorBidi" w:ascii="Noto Sans CJK SC" w:hAnsi="Noto Sans CJK SC" w:eastAsia="Noto Sans CJK SC" w:cs="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83" w:lineRule="auto"/>
      <w:outlineLvl w:val="1"/>
      <w:snapToGrid w:val="0"/>
    </w:pPr>
    <w:rPr>
      <w:rFonts w:cstheme="majorBidi" w:ascii="Noto Sans CJK SC" w:hAnsi="Noto Sans CJK SC" w:eastAsia="Noto Sans CJK SC" w:cs="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cstheme="majorBidi" w:ascii="Noto Sans CJK SC" w:hAnsi="Noto Sans CJK SC" w:eastAsia="Noto Sans CJK SC" w:cs="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cstheme="majorBidi" w:ascii="Noto Sans CJK SC" w:hAnsi="Noto Sans CJK SC" w:eastAsia="Noto Sans CJK SC" w:cs="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cstheme="majorBidi" w:ascii="Noto Sans CJK SC" w:hAnsi="Noto Sans CJK SC" w:eastAsia="Noto Sans CJK SC" w:cs="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cstheme="majorBidi" w:ascii="Noto Sans CJK SC" w:hAnsi="Noto Sans CJK SC" w:eastAsia="Noto Sans CJK SC" w:cs="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cstheme="majorBidi" w:ascii="Noto Sans CJK SC" w:hAnsi="Noto Sans CJK SC" w:eastAsia="Noto Sans CJK SC" w:cs="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cstheme="majorBidi" w:ascii="Noto Sans CJK SC" w:hAnsi="Noto Sans CJK SC" w:eastAsia="Noto Sans CJK SC" w:cs="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cstheme="majorBidi" w:ascii="Noto Sans CJK SC" w:hAnsi="Noto Sans CJK SC" w:eastAsia="Noto Sans CJK SC" w:cs="Noto Sans CJK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cstheme="majorBidi" w:ascii="Noto Sans CJK SC" w:hAnsi="Noto Sans CJK SC" w:eastAsia="Noto Sans CJK SC" w:cs="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Noto Sans CJK SC" w:hAnsi="Noto Sans CJK SC" w:eastAsia="Noto Sans CJK SC" w:cs="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Noto Sans CJK SC" w:hAnsi="Noto Sans CJK SC" w:eastAsia="Noto Sans CJK SC" w:cs="Noto Sans CJK SC"/>
      <w:b/>
      <w:bCs/>
      <w:color w:val="4F81BD" w:themeColor="accent1"/>
    </w:rPr>
  </w:style>
  <w:style w:type="paragraph" w:styleId="Title">
    <w:name w:val="Title"/>
    <w:basedOn w:val="Normal"/>
    <w:next w:val="Normal"/>
    <w:link w:val="TitleChar"/>
    <w:uiPriority w:val="10"/>
    <w:qFormat/>
    <w:rsid w:val="00FC693F"/>
    <w:pPr>
      <w:spacing w:after="140" w:line="283" w:lineRule="auto"/>
      <w:contextualSpacing/>
      <w:snapToGrid w:val="0"/>
    </w:pPr>
    <w:rPr>
      <w:rFonts w:cstheme="majorBidi" w:ascii="Noto Sans CJK SC" w:hAnsi="Noto Sans CJK SC" w:eastAsia="Noto Sans CJK SC" w:cs="Noto Sans CJK SC"/>
      <w:color w:val="000000"/>
      <w:spacing w:val="5"/>
      <w:kern w:val="28"/>
      <w:sz w:val="48"/>
      <w:szCs w:val="52"/>
    </w:rPr>
  </w:style>
  <w:style w:type="character" w:customStyle="1" w:styleId="TitleChar">
    <w:name w:val="Title Char"/>
    <w:basedOn w:val="DefaultParagraphFont"/>
    <w:link w:val="Title"/>
    <w:uiPriority w:val="10"/>
    <w:rsid w:val="00FC693F"/>
    <w:rPr>
      <w:rFonts w:cstheme="majorBidi" w:ascii="Noto Sans CJK SC" w:hAnsi="Noto Sans CJK SC" w:eastAsia="Noto Sans CJK SC" w:cs="Noto Sans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snapToGrid w:val="0"/>
    </w:pPr>
    <w:rPr>
      <w:rFonts w:cstheme="majorBidi" w:ascii="Noto Sans CJK SC" w:hAnsi="Noto Sans CJK SC" w:eastAsia="Noto Sans CJK SC" w:cs="Noto Sans CJK SC"/>
      <w:i/>
      <w:iCs/>
      <w:color w:val="000000"/>
      <w:spacing w:val="15"/>
      <w:sz w:val="22"/>
      <w:szCs w:val="24"/>
    </w:rPr>
  </w:style>
  <w:style w:type="character" w:customStyle="1" w:styleId="SubtitleChar">
    <w:name w:val="Subtitle Char"/>
    <w:basedOn w:val="DefaultParagraphFont"/>
    <w:link w:val="Subtitle"/>
    <w:uiPriority w:val="11"/>
    <w:rsid w:val="00FC693F"/>
    <w:rPr>
      <w:rFonts w:cstheme="majorBidi" w:ascii="Noto Sans CJK SC" w:hAnsi="Noto Sans CJK SC" w:eastAsia="Noto Sans CJK SC" w:cs="Noto Sans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Noto Sans CJK SC" w:hAnsi="Noto Sans CJK SC" w:eastAsia="Noto Sans CJK SC" w:cs="Noto Sans CJK SC"/>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cs="Noto Sans CJK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Noto Sans CJK SC" w:hAnsi="Noto Sans CJK SC" w:eastAsia="Noto Sans CJK SC" w:cs="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Noto Sans CJK SC" w:hAnsi="Noto Sans CJK SC" w:eastAsia="Noto Sans CJK SC" w:cs="Noto Sans CJK SC"/>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Noto Sans CJK SC" w:hAnsi="Noto Sans CJK SC" w:eastAsia="Noto Sans CJK SC" w:cs="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Noto Sans CJK SC" w:hAnsi="Noto Sans CJK SC" w:eastAsia="Noto Sans CJK SC" w:cs="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Noto Sans CJK SC" w:hAnsi="Noto Sans CJK SC" w:eastAsia="Noto Sans CJK SC" w:cs="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Noto Sans CJK SC" w:hAnsi="Noto Sans CJK SC" w:eastAsia="Noto Sans CJK SC" w:cs="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snapToGri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snapToGrid w:val="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snapToGrid w:val="0"/>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snapToGrid w:val="0"/>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snapToGrid w:val="0"/>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snapToGrid w:val="0"/>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snapToGrid w:val="0"/>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snapToGrid w:val="0"/>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snapToGrid w:val="0"/>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snapToGrid w:val="0"/>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snapToGrid w:val="0"/>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snapToGrid w:val="0"/>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snapToGrid w:val="0"/>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snapToGrid w:val="0"/>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snapToGrid w:val="0"/>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snapToGrid w:val="0"/>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snapToGrid w:val="0"/>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snapToGrid w:val="0"/>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snapToGrid w:val="0"/>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snapToGrid w:val="0"/>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snapToGrid w:val="0"/>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snapToGrid w:val="0"/>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shd w:val="clear" w:color="auto" w:fill="000000" w:themeFill="text1"/>
      </w:tcPr>
    </w:tblStylePr>
    <w:tblStylePr w:type="lastRow">
      <w:pPr>
        <w:spacing w:before="0" w:after="0" w:line="240" w:lineRule="auto"/>
        <w:snapToGrid w:val="0"/>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shd w:val="clear" w:color="auto" w:fill="4F81BD" w:themeFill="accent1"/>
      </w:tcPr>
    </w:tblStylePr>
    <w:tblStylePr w:type="lastRow">
      <w:pPr>
        <w:spacing w:before="0" w:after="0" w:line="240" w:lineRule="auto"/>
        <w:snapToGrid w:val="0"/>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shd w:val="clear" w:color="auto" w:fill="C0504D" w:themeFill="accent2"/>
      </w:tcPr>
    </w:tblStylePr>
    <w:tblStylePr w:type="lastRow">
      <w:pPr>
        <w:spacing w:before="0" w:after="0" w:line="240" w:lineRule="auto"/>
        <w:snapToGrid w:val="0"/>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shd w:val="clear" w:color="auto" w:fill="9BBB59" w:themeFill="accent3"/>
      </w:tcPr>
    </w:tblStylePr>
    <w:tblStylePr w:type="lastRow">
      <w:pPr>
        <w:spacing w:before="0" w:after="0" w:line="240" w:lineRule="auto"/>
        <w:snapToGrid w:val="0"/>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shd w:val="clear" w:color="auto" w:fill="8064A2" w:themeFill="accent4"/>
      </w:tcPr>
    </w:tblStylePr>
    <w:tblStylePr w:type="lastRow">
      <w:pPr>
        <w:spacing w:before="0" w:after="0" w:line="240" w:lineRule="auto"/>
        <w:snapToGrid w:val="0"/>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shd w:val="clear" w:color="auto" w:fill="4BACC6" w:themeFill="accent5"/>
      </w:tcPr>
    </w:tblStylePr>
    <w:tblStylePr w:type="lastRow">
      <w:pPr>
        <w:spacing w:before="0" w:after="0" w:line="240" w:lineRule="auto"/>
        <w:snapToGrid w:val="0"/>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shd w:val="clear" w:color="auto" w:fill="F79646" w:themeFill="accent6"/>
      </w:tcPr>
    </w:tblStylePr>
    <w:tblStylePr w:type="lastRow">
      <w:pPr>
        <w:spacing w:before="0" w:after="0" w:line="240" w:lineRule="auto"/>
        <w:snapToGrid w:val="0"/>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snapToGrid w:val="0"/>
      </w:pPr>
      <w:rPr>
        <w:rFonts w:cstheme="majorBidi" w:ascii="Noto Sans CJK SC" w:hAnsi="Noto Sans CJK SC" w:eastAsia="Noto Sans CJK SC" w:cs="Noto Sans CJK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snapToGrid w:val="0"/>
      </w:pPr>
      <w:rPr>
        <w:rFonts w:cstheme="majorBidi" w:ascii="Noto Sans CJK SC" w:hAnsi="Noto Sans CJK SC" w:eastAsia="Noto Sans CJK SC" w:cs="Noto Sans CJK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Noto Sans CJK SC" w:hAnsi="Noto Sans CJK SC" w:eastAsia="Noto Sans CJK SC" w:cs="Noto Sans CJK SC"/>
        <w:b/>
        <w:bCs/>
      </w:rPr>
    </w:tblStylePr>
    <w:tblStylePr w:type="lastCol">
      <w:rPr>
        <w:rFonts w:cstheme="majorBidi" w:ascii="Noto Sans CJK SC" w:hAnsi="Noto Sans CJK SC" w:eastAsia="Noto Sans CJK SC" w:cs="Noto Sans CJK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snapToGrid w:val="0"/>
      </w:pPr>
      <w:rPr>
        <w:rFonts w:cstheme="majorBidi" w:ascii="Noto Sans CJK SC" w:hAnsi="Noto Sans CJK SC" w:eastAsia="Noto Sans CJK SC" w:cs="Noto Sans CJK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snapToGrid w:val="0"/>
      </w:pPr>
      <w:rPr>
        <w:rFonts w:cstheme="majorBidi" w:ascii="Noto Sans CJK SC" w:hAnsi="Noto Sans CJK SC" w:eastAsia="Noto Sans CJK SC" w:cs="Noto Sans CJK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Noto Sans CJK SC" w:hAnsi="Noto Sans CJK SC" w:eastAsia="Noto Sans CJK SC" w:cs="Noto Sans CJK SC"/>
        <w:b/>
        <w:bCs/>
      </w:rPr>
    </w:tblStylePr>
    <w:tblStylePr w:type="lastCol">
      <w:rPr>
        <w:rFonts w:cstheme="majorBidi" w:ascii="Noto Sans CJK SC" w:hAnsi="Noto Sans CJK SC" w:eastAsia="Noto Sans CJK SC" w:cs="Noto Sans CJK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snapToGrid w:val="0"/>
      </w:pPr>
      <w:rPr>
        <w:rFonts w:cstheme="majorBidi" w:ascii="Noto Sans CJK SC" w:hAnsi="Noto Sans CJK SC" w:eastAsia="Noto Sans CJK SC" w:cs="Noto Sans CJK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snapToGrid w:val="0"/>
      </w:pPr>
      <w:rPr>
        <w:rFonts w:cstheme="majorBidi" w:ascii="Noto Sans CJK SC" w:hAnsi="Noto Sans CJK SC" w:eastAsia="Noto Sans CJK SC" w:cs="Noto Sans CJK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Noto Sans CJK SC" w:hAnsi="Noto Sans CJK SC" w:eastAsia="Noto Sans CJK SC" w:cs="Noto Sans CJK SC"/>
        <w:b/>
        <w:bCs/>
      </w:rPr>
    </w:tblStylePr>
    <w:tblStylePr w:type="lastCol">
      <w:rPr>
        <w:rFonts w:cstheme="majorBidi" w:ascii="Noto Sans CJK SC" w:hAnsi="Noto Sans CJK SC" w:eastAsia="Noto Sans CJK SC" w:cs="Noto Sans CJK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snapToGrid w:val="0"/>
      </w:pPr>
      <w:rPr>
        <w:rFonts w:cstheme="majorBidi" w:ascii="Noto Sans CJK SC" w:hAnsi="Noto Sans CJK SC" w:eastAsia="Noto Sans CJK SC" w:cs="Noto Sans CJK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snapToGrid w:val="0"/>
      </w:pPr>
      <w:rPr>
        <w:rFonts w:cstheme="majorBidi" w:ascii="Noto Sans CJK SC" w:hAnsi="Noto Sans CJK SC" w:eastAsia="Noto Sans CJK SC" w:cs="Noto Sans CJK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Noto Sans CJK SC" w:hAnsi="Noto Sans CJK SC" w:eastAsia="Noto Sans CJK SC" w:cs="Noto Sans CJK SC"/>
        <w:b/>
        <w:bCs/>
      </w:rPr>
    </w:tblStylePr>
    <w:tblStylePr w:type="lastCol">
      <w:rPr>
        <w:rFonts w:cstheme="majorBidi" w:ascii="Noto Sans CJK SC" w:hAnsi="Noto Sans CJK SC" w:eastAsia="Noto Sans CJK SC" w:cs="Noto Sans CJK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snapToGrid w:val="0"/>
      </w:pPr>
      <w:rPr>
        <w:rFonts w:cstheme="majorBidi" w:ascii="Noto Sans CJK SC" w:hAnsi="Noto Sans CJK SC" w:eastAsia="Noto Sans CJK SC" w:cs="Noto Sans CJK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snapToGrid w:val="0"/>
      </w:pPr>
      <w:rPr>
        <w:rFonts w:cstheme="majorBidi" w:ascii="Noto Sans CJK SC" w:hAnsi="Noto Sans CJK SC" w:eastAsia="Noto Sans CJK SC" w:cs="Noto Sans CJK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Noto Sans CJK SC" w:hAnsi="Noto Sans CJK SC" w:eastAsia="Noto Sans CJK SC" w:cs="Noto Sans CJK SC"/>
        <w:b/>
        <w:bCs/>
      </w:rPr>
    </w:tblStylePr>
    <w:tblStylePr w:type="lastCol">
      <w:rPr>
        <w:rFonts w:cstheme="majorBidi" w:ascii="Noto Sans CJK SC" w:hAnsi="Noto Sans CJK SC" w:eastAsia="Noto Sans CJK SC" w:cs="Noto Sans CJK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snapToGrid w:val="0"/>
      </w:pPr>
      <w:rPr>
        <w:rFonts w:cstheme="majorBidi" w:ascii="Noto Sans CJK SC" w:hAnsi="Noto Sans CJK SC" w:eastAsia="Noto Sans CJK SC" w:cs="Noto Sans CJK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snapToGrid w:val="0"/>
      </w:pPr>
      <w:rPr>
        <w:rFonts w:cstheme="majorBidi" w:ascii="Noto Sans CJK SC" w:hAnsi="Noto Sans CJK SC" w:eastAsia="Noto Sans CJK SC" w:cs="Noto Sans CJK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Noto Sans CJK SC" w:hAnsi="Noto Sans CJK SC" w:eastAsia="Noto Sans CJK SC" w:cs="Noto Sans CJK SC"/>
        <w:b/>
        <w:bCs/>
      </w:rPr>
    </w:tblStylePr>
    <w:tblStylePr w:type="lastCol">
      <w:rPr>
        <w:rFonts w:cstheme="majorBidi" w:ascii="Noto Sans CJK SC" w:hAnsi="Noto Sans CJK SC" w:eastAsia="Noto Sans CJK SC" w:cs="Noto Sans CJK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snapToGrid w:val="0"/>
      </w:pPr>
      <w:rPr>
        <w:rFonts w:cstheme="majorBidi" w:ascii="Noto Sans CJK SC" w:hAnsi="Noto Sans CJK SC" w:eastAsia="Noto Sans CJK SC" w:cs="Noto Sans CJK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snapToGrid w:val="0"/>
      </w:pPr>
      <w:rPr>
        <w:rFonts w:cstheme="majorBidi" w:ascii="Noto Sans CJK SC" w:hAnsi="Noto Sans CJK SC" w:eastAsia="Noto Sans CJK SC" w:cs="Noto Sans CJK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Noto Sans CJK SC" w:hAnsi="Noto Sans CJK SC" w:eastAsia="Noto Sans CJK SC" w:cs="Noto Sans CJK SC"/>
        <w:b/>
        <w:bCs/>
      </w:rPr>
    </w:tblStylePr>
    <w:tblStylePr w:type="lastCol">
      <w:rPr>
        <w:rFonts w:cstheme="majorBidi" w:ascii="Noto Sans CJK SC" w:hAnsi="Noto Sans CJK SC" w:eastAsia="Noto Sans CJK SC" w:cs="Noto Sans CJK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snapToGrid w:val="0"/>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snapToGrid w:val="0"/>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snapToGrid w:val="0"/>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snapToGrid w:val="0"/>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snapToGrid w:val="0"/>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snapToGrid w:val="0"/>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snapToGrid w:val="0"/>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snapToGrid w:val="0"/>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snapToGrid w:val="0"/>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snapToGrid w:val="0"/>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snapToGrid w:val="0"/>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snapToGrid w:val="0"/>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snapToGrid w:val="0"/>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snapToGrid w:val="0"/>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snapToGrid w:val="0"/>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Noto Sans CJK SC" w:hAnsi="Noto Sans CJK SC" w:eastAsia="Noto Sans CJK SC" w:cs="Noto Sans CJK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Noto Sans CJK SC" w:hAnsi="Noto Sans CJK SC" w:eastAsia="Noto Sans CJK SC" w:cs="Noto Sans CJK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Noto Sans CJK SC" w:hAnsi="Noto Sans CJK SC" w:eastAsia="Noto Sans CJK SC" w:cs="Noto Sans CJK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Noto Sans CJK SC" w:hAnsi="Noto Sans CJK SC" w:eastAsia="Noto Sans CJK SC" w:cs="Noto Sans CJK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Noto Sans CJK SC" w:hAnsi="Noto Sans CJK SC" w:eastAsia="Noto Sans CJK SC" w:cs="Noto Sans CJK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Noto Sans CJK SC" w:hAnsi="Noto Sans CJK SC" w:eastAsia="Noto Sans CJK SC" w:cs="Noto Sans CJK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Noto Sans CJK SC" w:hAnsi="Noto Sans CJK SC" w:eastAsia="Noto Sans CJK SC" w:cs="Noto Sans CJK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snapToGrid w:val="0"/>
    </w:pPr>
    <w:rPr>
      <w:rFonts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