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1010FD">
      <w:pPr>
        <w:spacing w:before="1400"/>
        <w:jc w:val="center"/>
      </w:pPr>
      <w:bookmarkStart w:id="0" w:name="_GoBack"/>
      <w:bookmarkEnd w:id="0"/>
      <w:r>
        <w:rPr>
          <w:rFonts w:ascii="Noto Sans CJK SC" w:hAnsi="Noto Sans CJK SC" w:eastAsia="Noto Sans CJK SC"/>
          <w:b/>
          <w:color w:val="1F4E78"/>
          <w:sz w:val="60"/>
        </w:rPr>
        <w:t>A股个人量化系统</w:t>
      </w:r>
    </w:p>
    <w:p w14:paraId="2BA4C7DF">
      <w:pPr>
        <w:jc w:val="center"/>
      </w:pPr>
      <w:r>
        <w:rPr>
          <w:rFonts w:ascii="Noto Sans CJK SC" w:hAnsi="Noto Sans CJK SC" w:eastAsia="Noto Sans CJK SC"/>
          <w:b/>
          <w:color w:val="505050"/>
          <w:sz w:val="30"/>
        </w:rPr>
        <w:t>Product Requirements Document · V1.0</w:t>
      </w:r>
    </w:p>
    <w:p w14:paraId="4CE98BD4">
      <w:pPr>
        <w:spacing w:before="400"/>
        <w:jc w:val="center"/>
      </w:pPr>
      <w:r>
        <w:rPr>
          <w:rFonts w:ascii="Noto Sans CJK SC" w:hAnsi="Noto Sans CJK SC" w:eastAsia="Noto Sans CJK SC"/>
          <w:color w:val="3C3C3C"/>
          <w:sz w:val="24"/>
        </w:rPr>
        <w:t>面向个人散户的“研究优先、半自动执行”A股量化研究与选股系统</w:t>
      </w:r>
    </w:p>
    <w:p w14:paraId="086695F3">
      <w:pPr>
        <w:spacing w:before="360"/>
      </w:pP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7776"/>
      </w:tblGrid>
      <w:tr w14:paraId="28A8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7144C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</w:t>
            </w:r>
          </w:p>
        </w:tc>
        <w:tc>
          <w:tcPr>
            <w:tcW w:w="7776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6CDE9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内容</w:t>
            </w:r>
          </w:p>
        </w:tc>
      </w:tr>
      <w:tr w14:paraId="0B475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03D76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文档状态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AD6A2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Draft / 可直接交给 Gemini 3.6 Flash 开发</w:t>
            </w:r>
          </w:p>
        </w:tc>
      </w:tr>
      <w:tr w14:paraId="6C17C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375A7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目标用户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BED8E4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单一个人用户，股票基础较弱，希望系统化学习并构建量化研究流程</w:t>
            </w:r>
          </w:p>
        </w:tc>
      </w:tr>
      <w:tr w14:paraId="0A824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2D5F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市场范围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EB84F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中国 A 股</w:t>
            </w:r>
          </w:p>
        </w:tc>
      </w:tr>
      <w:tr w14:paraId="2224A0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44E1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交易频率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541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日频研究；目标持有周期约 2–10 个交易日</w:t>
            </w:r>
          </w:p>
        </w:tc>
      </w:tr>
      <w:tr w14:paraId="34D6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5E10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执行方式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42FD2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V1 不自动下单；同花顺/券商 App 手动执行</w:t>
            </w:r>
          </w:p>
        </w:tc>
      </w:tr>
      <w:tr w14:paraId="09311B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1A0C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真实资金约束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EA0D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实验资金上限 ¥300；不以该资金规模限制研究股票池</w:t>
            </w:r>
          </w:p>
        </w:tc>
      </w:tr>
      <w:tr w14:paraId="200018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923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核心模型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43CEA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规则基线 + LightGBM 横截面排名模型</w:t>
            </w:r>
          </w:p>
        </w:tc>
      </w:tr>
      <w:tr w14:paraId="7B7A5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88B2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AI角色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A0418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Gemini 3.6 Flash 负责开发、调试、实验分析；不直接生成实盘买卖指令</w:t>
            </w:r>
          </w:p>
        </w:tc>
      </w:tr>
    </w:tbl>
    <w:p w14:paraId="43DBBACB">
      <w:pPr>
        <w:spacing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BB92A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EAF2F8"/>
            <w:noWrap w:val="0"/>
            <w:tcMar>
              <w:top w:w="140" w:type="dxa"/>
              <w:left w:w="180" w:type="dxa"/>
              <w:bottom w:w="140" w:type="dxa"/>
              <w:right w:w="180" w:type="dxa"/>
            </w:tcMar>
            <w:vAlign w:val="top"/>
          </w:tcPr>
          <w:p w14:paraId="23229538"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 xml:space="preserve">核心原则  </w:t>
            </w:r>
            <w:r>
              <w:rPr>
                <w:rFonts w:ascii="Noto Sans CJK SC" w:hAnsi="Noto Sans CJK SC" w:eastAsia="Noto Sans CJK SC"/>
                <w:sz w:val="20"/>
              </w:rPr>
              <w:t>先证明“研究流程正确”，再谈收益。V1 的成功标准不是赚多少钱，而是建立无未来函数、可复现、可解释、可回测、可人工执行的闭环。</w:t>
            </w:r>
          </w:p>
        </w:tc>
      </w:tr>
    </w:tbl>
    <w:p w14:paraId="63720975">
      <w:pPr>
        <w:spacing w:after="20"/>
      </w:pPr>
    </w:p>
    <w:p w14:paraId="4AC384A4">
      <w:r>
        <w:br w:type="page"/>
      </w:r>
    </w:p>
    <w:p w14:paraId="5BC46C07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1. 背景与问题定义</w:t>
      </w:r>
    </w:p>
    <w:p w14:paraId="5355EE94"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用户希望用个人电脑构建一套精细但不过度复杂的 A 股量化系统。当前股票知识基础较弱、可用于真实试验的资金规模很小，因此产品必须优先解决“研究质量、可理解性、纪律性和错误防护”，而不是追求高频交易、自动化下单或复杂深度学习。</w:t>
      </w:r>
    </w:p>
    <w:p w14:paraId="4BFE1717"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系统定位为个人 Quant Lab：每天收盘后读取 A 股数据，构建股票池、计算因子、训练/更新模型、生成候选排名、回测并输出可解释报告；用户次日使用同花顺或券商 App 手动执行。</w:t>
      </w:r>
    </w:p>
    <w:p w14:paraId="5B64A0E3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2. 产品目标</w:t>
      </w:r>
    </w:p>
    <w:p w14:paraId="4078E452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2.1 V1 必须实现</w:t>
      </w:r>
    </w:p>
    <w:p w14:paraId="36E76CDB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建立可复现的 A 股日频数据流水线，支持增量更新、数据校验和本地缓存。</w:t>
      </w:r>
    </w:p>
    <w:p w14:paraId="6594676E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建立严格的可交易股票池过滤规则，避免 ST、停牌、新股、极低流动性等明显不可比样本污染模型。</w:t>
      </w:r>
    </w:p>
    <w:p w14:paraId="05B254F6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实现 12 个左右的高质量基线因子，并保留扩展到 20–30 个因子的结构。</w:t>
      </w:r>
    </w:p>
    <w:p w14:paraId="3F07E4F7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实现横截面标签：预测未来 5 个交易日相对收益/排名，而不是预测“明天涨不涨”。</w:t>
      </w:r>
    </w:p>
    <w:p w14:paraId="3733A942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同时实现一个简单规则模型和一个 LightGBM 模型，避免只有黑盒、没有基准。</w:t>
      </w:r>
    </w:p>
    <w:p w14:paraId="1513F8A1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实现带 A 股交易约束的事件式/日频回测：T+1、涨跌停、停牌、100股买入单位、手续费/滑点可配置。</w:t>
      </w:r>
    </w:p>
    <w:p w14:paraId="16FD0447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实现 Walk-forward 与样本外评估，严禁测试集调参。</w:t>
      </w:r>
    </w:p>
    <w:p w14:paraId="2008E65C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每天生成候选股票清单与“为什么入选”的因子解释；V1 仅人工下单。</w:t>
      </w:r>
    </w:p>
    <w:p w14:paraId="69786C88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自动记录每次实验的配置、代码版本、数据时间范围和结果，保证可复现。</w:t>
      </w:r>
    </w:p>
    <w:p w14:paraId="2DFD6E16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2.2 V1 明确不做</w:t>
      </w:r>
    </w:p>
    <w:p w14:paraId="7B0C1ECA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不做 LLM 直接预测股票涨跌。</w:t>
      </w:r>
    </w:p>
    <w:p w14:paraId="7B17DF35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不做自动下单、券商 API、QMT/MiniQMT 接入。</w:t>
      </w:r>
    </w:p>
    <w:p w14:paraId="1C509506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不做日内高频、盘口微结构、Level-2。</w:t>
      </w:r>
    </w:p>
    <w:p w14:paraId="32B27DD6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不做融资融券、杠杆、做空、期权或期货。</w:t>
      </w:r>
    </w:p>
    <w:p w14:paraId="5C17EA1F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不做强化学习、Transformer 股价预测、超大规模深度神经网络。</w:t>
      </w:r>
    </w:p>
    <w:p w14:paraId="7179434F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不做“为了让 300 元买得起”而限制股票价格；资金约束只作用于真实执行层。</w:t>
      </w:r>
    </w:p>
    <w:p w14:paraId="6CAB1C31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不允许 Gemini 根据测试集结果反复改参数直到收益变好。</w:t>
      </w:r>
    </w:p>
    <w:p w14:paraId="5AC054F7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3. 成功指标（Definition of Success）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920"/>
      </w:tblGrid>
      <w:tr w14:paraId="40868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85B06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w="7920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313C6A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成功标准</w:t>
            </w:r>
          </w:p>
        </w:tc>
      </w:tr>
      <w:tr w14:paraId="46F1CB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AC5A3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工程正确性</w:t>
            </w:r>
          </w:p>
        </w:tc>
        <w:tc>
          <w:tcPr>
            <w:tcW w:w="79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9E5B8A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一条命令可完成数据更新→特征→预测→回测→报告；单元测试通过；无明显数据泄漏。</w:t>
            </w:r>
          </w:p>
        </w:tc>
      </w:tr>
      <w:tr w14:paraId="211E2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208A6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研究正确性</w:t>
            </w:r>
          </w:p>
        </w:tc>
        <w:tc>
          <w:tcPr>
            <w:tcW w:w="79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1C48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训练/验证/测试严格按时间切分；Walk-forward 可复现；测试集不参与调参。</w:t>
            </w:r>
          </w:p>
        </w:tc>
      </w:tr>
      <w:tr w14:paraId="3C225E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489B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模型有效性</w:t>
            </w:r>
          </w:p>
        </w:tc>
        <w:tc>
          <w:tcPr>
            <w:tcW w:w="79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F434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至少在多个年份/市场状态下出现方向一致的 RankIC 或 Top-quantile 超额收益；不是仅某一年有效。</w:t>
            </w:r>
          </w:p>
        </w:tc>
      </w:tr>
      <w:tr w14:paraId="24205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FA86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交易现实性</w:t>
            </w:r>
          </w:p>
        </w:tc>
        <w:tc>
          <w:tcPr>
            <w:tcW w:w="79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6649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回测考虑停牌、涨跌停、T+1、手续费和滑点；不能成交的信号不得按理想价成交。</w:t>
            </w:r>
          </w:p>
        </w:tc>
      </w:tr>
      <w:tr w14:paraId="4FEE2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58A21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可解释性</w:t>
            </w:r>
          </w:p>
        </w:tc>
        <w:tc>
          <w:tcPr>
            <w:tcW w:w="79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C92BE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每日候选能展示主要因子贡献、风险提示和模型置信度；用户能理解原因。</w:t>
            </w:r>
          </w:p>
        </w:tc>
      </w:tr>
      <w:tr w14:paraId="4F5D1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0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CD055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个人可用性</w:t>
            </w:r>
          </w:p>
        </w:tc>
        <w:tc>
          <w:tcPr>
            <w:tcW w:w="79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C588C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用户无需懂代码即可运行“每日更新/生成候选/打开报告”三个入口。</w:t>
            </w:r>
          </w:p>
        </w:tc>
      </w:tr>
    </w:tbl>
    <w:p w14:paraId="61B9069B">
      <w:pPr>
        <w:spacing w:after="20"/>
      </w:pPr>
    </w:p>
    <w:p w14:paraId="506381BC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4. 用户与核心使用流程</w:t>
      </w:r>
    </w:p>
    <w:p w14:paraId="09953881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4.1 每日流程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B8114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3F5F7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D3339EF">
            <w:r>
              <w:rPr>
                <w:rFonts w:ascii="Noto Sans Mono CJK SC" w:hAnsi="Noto Sans Mono CJK SC" w:eastAsia="Noto Sans Mono CJK SC"/>
                <w:sz w:val="18"/>
              </w:rPr>
              <w:t>15:10 收盘后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更新当日行情/状态数据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执行数据质量检查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构建“当日可交易股票池”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计算截至当日收盘可获得的因子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模型打分 / 横截面排名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风险与可交易性过滤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生成 Top 10 研究候选 + Top 3 重点观察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输出 HTML/Markdown 日报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↓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用户次日自行在同花顺/券商 App 决定是否执行</w:t>
            </w:r>
          </w:p>
        </w:tc>
      </w:tr>
    </w:tbl>
    <w:p w14:paraId="18497F1E">
      <w:pPr>
        <w:spacing w:after="20"/>
      </w:pPr>
    </w:p>
    <w:p w14:paraId="630500F5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4.2 真实资金与研究资金分离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3A9351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EAF2F8"/>
            <w:noWrap w:val="0"/>
            <w:tcMar>
              <w:top w:w="140" w:type="dxa"/>
              <w:left w:w="180" w:type="dxa"/>
              <w:bottom w:w="140" w:type="dxa"/>
              <w:right w:w="180" w:type="dxa"/>
            </w:tcMar>
            <w:vAlign w:val="top"/>
          </w:tcPr>
          <w:p w14:paraId="1477F78A"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 xml:space="preserve">强制产品规则  </w:t>
            </w:r>
            <w:r>
              <w:rPr>
                <w:rFonts w:ascii="Noto Sans CJK SC" w:hAnsi="Noto Sans CJK SC" w:eastAsia="Noto Sans CJK SC"/>
                <w:sz w:val="20"/>
              </w:rPr>
              <w:t>回测与模型研究采用标准化组合规模（例如净值 1.0 或虚拟 100,000 元）用于比较策略；真实 ¥300 仅作为执行体验/真实成交测试资金。若模型选出的股票买不起，则标记“不可执行”，当天不强行交易。</w:t>
            </w:r>
          </w:p>
        </w:tc>
      </w:tr>
    </w:tbl>
    <w:p w14:paraId="1C30A1D9">
      <w:pPr>
        <w:spacing w:after="20"/>
      </w:pPr>
    </w:p>
    <w:p w14:paraId="2A00F0DC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5. 系统架构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E0A2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3F5F7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4058EC8"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Gemini 3.6 Flash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（开发 / Debug / 研究分析）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     ▼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┌─────────────────────────────────────────┐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            A-Share Quant Lab  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                               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Data → Universe → Factors → Labels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                ↓              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        Baseline / LightGBM    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                ↓              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            Ranking            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                ↓              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     Backtest / Portfolio / Risk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                ↓              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       Daily Report / Experiments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└───────────────────┬─────────────────────┘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▼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用户查看候选与风险信息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           ▼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     同花顺 / 券商 App 手动执行</w:t>
            </w:r>
          </w:p>
        </w:tc>
      </w:tr>
    </w:tbl>
    <w:p w14:paraId="1E973532">
      <w:pPr>
        <w:spacing w:after="20"/>
      </w:pPr>
    </w:p>
    <w:p w14:paraId="338A5E5B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6. 数据层需求</w:t>
      </w:r>
    </w:p>
    <w:p w14:paraId="4A657F08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6.1 必需数据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80FA9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D48C67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数据</w:t>
            </w:r>
          </w:p>
        </w:tc>
        <w:tc>
          <w:tcPr>
            <w:tcW w:w="4032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4A3005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字段示例</w:t>
            </w:r>
          </w:p>
        </w:tc>
        <w:tc>
          <w:tcPr>
            <w:tcW w:w="4176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456FB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 w14:paraId="7B7514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9AC0E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日线行情</w:t>
            </w:r>
          </w:p>
        </w:tc>
        <w:tc>
          <w:tcPr>
            <w:tcW w:w="403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9276C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open/high/low/close/volume/amount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7084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价格、趋势、动量、波动率因子</w:t>
            </w:r>
          </w:p>
        </w:tc>
      </w:tr>
      <w:tr w14:paraId="1B8AA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7296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复权信息</w:t>
            </w:r>
          </w:p>
        </w:tc>
        <w:tc>
          <w:tcPr>
            <w:tcW w:w="403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BFAF7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前复权/后复权或复权因子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F2EF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正确计算历史收益；避免公司行动扭曲</w:t>
            </w:r>
          </w:p>
        </w:tc>
      </w:tr>
      <w:tr w14:paraId="04069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08C22B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证券主数据</w:t>
            </w:r>
          </w:p>
        </w:tc>
        <w:tc>
          <w:tcPr>
            <w:tcW w:w="403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85B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代码、名称、上市日、板块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6E0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股票池、上市时长、板块规则</w:t>
            </w:r>
          </w:p>
        </w:tc>
      </w:tr>
      <w:tr w14:paraId="6A318D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6866E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交易状态</w:t>
            </w:r>
          </w:p>
        </w:tc>
        <w:tc>
          <w:tcPr>
            <w:tcW w:w="403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3FB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停牌、ST/*ST、退市整理等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5A88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可交易性过滤</w:t>
            </w:r>
          </w:p>
        </w:tc>
      </w:tr>
      <w:tr w14:paraId="7D56E4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F1AF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涨跌停相关</w:t>
            </w:r>
          </w:p>
        </w:tc>
        <w:tc>
          <w:tcPr>
            <w:tcW w:w="403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A8E2B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前收盘、当日涨跌停价或可推导字段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C4303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回测成交约束</w:t>
            </w:r>
          </w:p>
        </w:tc>
      </w:tr>
      <w:tr w14:paraId="7FD481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135BB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交易日历</w:t>
            </w:r>
          </w:p>
        </w:tc>
        <w:tc>
          <w:tcPr>
            <w:tcW w:w="403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0707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交易日、节假日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D0F1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标签与回测时间对齐</w:t>
            </w:r>
          </w:p>
        </w:tc>
      </w:tr>
      <w:tr w14:paraId="2CC25D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07E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行业分类（可选但推荐）</w:t>
            </w:r>
          </w:p>
        </w:tc>
        <w:tc>
          <w:tcPr>
            <w:tcW w:w="403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CA38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一级行业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CF260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行业暴露分析/中性化</w:t>
            </w:r>
          </w:p>
        </w:tc>
      </w:tr>
      <w:tr w14:paraId="5E256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2B6C2E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财务数据（V1.1）</w:t>
            </w:r>
          </w:p>
        </w:tc>
        <w:tc>
          <w:tcPr>
            <w:tcW w:w="403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632C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ROE、营收/利润增速、杠杆等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D71A0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质量/基本面因子</w:t>
            </w:r>
          </w:p>
        </w:tc>
      </w:tr>
    </w:tbl>
    <w:p w14:paraId="632DD193">
      <w:pPr>
        <w:spacing w:after="20"/>
      </w:pPr>
    </w:p>
    <w:p w14:paraId="4BD91FF2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6.2 数据存储</w:t>
      </w:r>
    </w:p>
    <w:p w14:paraId="776012B3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原始数据：Parquet，按数据集/年份或日期分区。</w:t>
      </w:r>
    </w:p>
    <w:p w14:paraId="6447D210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查询与实验：DuckDB。</w:t>
      </w:r>
    </w:p>
    <w:p w14:paraId="6E75B89E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禁止在原始数据上直接覆盖修改；清洗后的数据写入 processed 层。</w:t>
      </w:r>
    </w:p>
    <w:p w14:paraId="03FA751E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每次模型实验保存数据截止日期、股票池版本与关键配置。</w:t>
      </w:r>
    </w:p>
    <w:p w14:paraId="73A5BF1A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6.3 数据质量检查</w:t>
      </w:r>
    </w:p>
    <w:p w14:paraId="661F1A63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交易日缺失、重复行、证券代码重复、价格非正数、成交量异常空值。</w:t>
      </w:r>
    </w:p>
    <w:p w14:paraId="318DB11E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OHLC 逻辑：high ≥ max(open, close)，low ≤ min(open, close)。</w:t>
      </w:r>
    </w:p>
    <w:p w14:paraId="119F2DAD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复权前后收益异常检测。</w:t>
      </w:r>
    </w:p>
    <w:p w14:paraId="1D749709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停牌日不得生成正常成交。</w:t>
      </w:r>
    </w:p>
    <w:p w14:paraId="159C0D87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新增/退市证券必须被正确纳入历史股票池，尽量降低 survivorship bias。</w:t>
      </w:r>
    </w:p>
    <w:p w14:paraId="47130029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7. 股票池（Universe）</w:t>
      </w:r>
    </w:p>
    <w:p w14:paraId="411066C7"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V1 的研究股票池必须由“当时可知道的信息”构建，不能用今天的成分股列表去回测过去。默认过滤规则：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6CC93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1EC02F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w="2592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B957C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默认值</w:t>
            </w:r>
          </w:p>
        </w:tc>
        <w:tc>
          <w:tcPr>
            <w:tcW w:w="5472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E692F6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</w:tr>
      <w:tr w14:paraId="48B8A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6DE17A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上市时长</w:t>
            </w:r>
          </w:p>
        </w:tc>
        <w:tc>
          <w:tcPr>
            <w:tcW w:w="259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369FE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≥120 个交易日</w:t>
            </w:r>
          </w:p>
        </w:tc>
        <w:tc>
          <w:tcPr>
            <w:tcW w:w="54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93E6D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减少新股定价阶段异常</w:t>
            </w:r>
          </w:p>
        </w:tc>
      </w:tr>
      <w:tr w14:paraId="2A11CD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BF2B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ST 状态</w:t>
            </w:r>
          </w:p>
        </w:tc>
        <w:tc>
          <w:tcPr>
            <w:tcW w:w="259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2495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排除 ST / *ST</w:t>
            </w:r>
          </w:p>
        </w:tc>
        <w:tc>
          <w:tcPr>
            <w:tcW w:w="54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F28DB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V1 不研究高风险特殊处理股票</w:t>
            </w:r>
          </w:p>
        </w:tc>
      </w:tr>
      <w:tr w14:paraId="721902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70F9A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停牌</w:t>
            </w:r>
          </w:p>
        </w:tc>
        <w:tc>
          <w:tcPr>
            <w:tcW w:w="259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E9F32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当日排除</w:t>
            </w:r>
          </w:p>
        </w:tc>
        <w:tc>
          <w:tcPr>
            <w:tcW w:w="54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29CDD5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不可交易</w:t>
            </w:r>
          </w:p>
        </w:tc>
      </w:tr>
      <w:tr w14:paraId="22DEC5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E73DA2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流动性</w:t>
            </w:r>
          </w:p>
        </w:tc>
        <w:tc>
          <w:tcPr>
            <w:tcW w:w="259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FC5E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过去20日平均成交额达到可配置阈值</w:t>
            </w:r>
          </w:p>
        </w:tc>
        <w:tc>
          <w:tcPr>
            <w:tcW w:w="54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EAF2D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避免极低流动性样本</w:t>
            </w:r>
          </w:p>
        </w:tc>
      </w:tr>
      <w:tr w14:paraId="2C2A21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E24CC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异常状态</w:t>
            </w:r>
          </w:p>
        </w:tc>
        <w:tc>
          <w:tcPr>
            <w:tcW w:w="259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94504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退市整理/明显异常状态排除</w:t>
            </w:r>
          </w:p>
        </w:tc>
        <w:tc>
          <w:tcPr>
            <w:tcW w:w="54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F561D7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降低执行不可控风险</w:t>
            </w:r>
          </w:p>
        </w:tc>
      </w:tr>
      <w:tr w14:paraId="1AD4D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FBF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价格</w:t>
            </w:r>
          </w:p>
        </w:tc>
        <w:tc>
          <w:tcPr>
            <w:tcW w:w="259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B80C4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不作为研究过滤条件</w:t>
            </w:r>
          </w:p>
        </w:tc>
        <w:tc>
          <w:tcPr>
            <w:tcW w:w="54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06308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防止真实 300 元预算污染模型</w:t>
            </w:r>
          </w:p>
        </w:tc>
      </w:tr>
    </w:tbl>
    <w:p w14:paraId="0EC8E931">
      <w:pPr>
        <w:spacing w:after="20"/>
      </w:pPr>
    </w:p>
    <w:p w14:paraId="7F60331F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8. 因子系统</w:t>
      </w:r>
    </w:p>
    <w:p w14:paraId="782976AD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8.1 V1 基线因子（建议 12 个）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4C2528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00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7E278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因子组</w:t>
            </w:r>
          </w:p>
        </w:tc>
        <w:tc>
          <w:tcPr>
            <w:tcW w:w="3888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6049F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示例</w:t>
            </w:r>
          </w:p>
        </w:tc>
        <w:tc>
          <w:tcPr>
            <w:tcW w:w="4320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931398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目的</w:t>
            </w:r>
          </w:p>
        </w:tc>
      </w:tr>
      <w:tr w14:paraId="2A07A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004E7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动量</w:t>
            </w:r>
          </w:p>
        </w:tc>
        <w:tc>
          <w:tcPr>
            <w:tcW w:w="38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07BD4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5D、20D、60D 收益；20D 相对行业/市场动量</w:t>
            </w:r>
          </w:p>
        </w:tc>
        <w:tc>
          <w:tcPr>
            <w:tcW w:w="43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CE0DF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捕捉趋势与相对强弱</w:t>
            </w:r>
          </w:p>
        </w:tc>
      </w:tr>
      <w:tr w14:paraId="12893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9D35C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趋势</w:t>
            </w:r>
          </w:p>
        </w:tc>
        <w:tc>
          <w:tcPr>
            <w:tcW w:w="38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C4950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MA5/20、MA20/60 距离；价格距 20D 高点</w:t>
            </w:r>
          </w:p>
        </w:tc>
        <w:tc>
          <w:tcPr>
            <w:tcW w:w="43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37607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趋势状态</w:t>
            </w:r>
          </w:p>
        </w:tc>
      </w:tr>
      <w:tr w14:paraId="59D2EF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DD08F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反转</w:t>
            </w:r>
          </w:p>
        </w:tc>
        <w:tc>
          <w:tcPr>
            <w:tcW w:w="38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8604C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1D/3D 短期反转</w:t>
            </w:r>
          </w:p>
        </w:tc>
        <w:tc>
          <w:tcPr>
            <w:tcW w:w="43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98B2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捕捉超短期过度反应</w:t>
            </w:r>
          </w:p>
        </w:tc>
      </w:tr>
      <w:tr w14:paraId="1A0DE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E6D9B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波动率</w:t>
            </w:r>
          </w:p>
        </w:tc>
        <w:tc>
          <w:tcPr>
            <w:tcW w:w="38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0A848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20D 收益波动率、ATR/价格</w:t>
            </w:r>
          </w:p>
        </w:tc>
        <w:tc>
          <w:tcPr>
            <w:tcW w:w="43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448D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风险与拥挤状态</w:t>
            </w:r>
          </w:p>
        </w:tc>
      </w:tr>
      <w:tr w14:paraId="19FBA7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46E3A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成交量</w:t>
            </w:r>
          </w:p>
        </w:tc>
        <w:tc>
          <w:tcPr>
            <w:tcW w:w="38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1B58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量比、20D 成交量 z-score</w:t>
            </w:r>
          </w:p>
        </w:tc>
        <w:tc>
          <w:tcPr>
            <w:tcW w:w="43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96415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交易活跃度变化</w:t>
            </w:r>
          </w:p>
        </w:tc>
      </w:tr>
      <w:tr w14:paraId="4EE2CF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5A721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流动性</w:t>
            </w:r>
          </w:p>
        </w:tc>
        <w:tc>
          <w:tcPr>
            <w:tcW w:w="38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EA560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20D 平均成交额、换手率代理</w:t>
            </w:r>
          </w:p>
        </w:tc>
        <w:tc>
          <w:tcPr>
            <w:tcW w:w="43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B019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可交易性与流动性风格</w:t>
            </w:r>
          </w:p>
        </w:tc>
      </w:tr>
      <w:tr w14:paraId="00D865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E5C52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价格位置</w:t>
            </w:r>
          </w:p>
        </w:tc>
        <w:tc>
          <w:tcPr>
            <w:tcW w:w="38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E710A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20D/60D 区间位置</w:t>
            </w:r>
          </w:p>
        </w:tc>
        <w:tc>
          <w:tcPr>
            <w:tcW w:w="43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FEC09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判断突破/回撤位置</w:t>
            </w:r>
          </w:p>
        </w:tc>
      </w:tr>
      <w:tr w14:paraId="24494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0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50A1E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市场相对强度</w:t>
            </w:r>
          </w:p>
        </w:tc>
        <w:tc>
          <w:tcPr>
            <w:tcW w:w="3888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3DC856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个股收益减基准收益</w:t>
            </w:r>
          </w:p>
        </w:tc>
        <w:tc>
          <w:tcPr>
            <w:tcW w:w="432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23C5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减少纯市场 Beta 干扰</w:t>
            </w:r>
          </w:p>
        </w:tc>
      </w:tr>
    </w:tbl>
    <w:p w14:paraId="78038417">
      <w:pPr>
        <w:spacing w:after="20"/>
      </w:pPr>
    </w:p>
    <w:p w14:paraId="760947FF"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所有因子必须在截面上进行必要的 winsorize/clip、缺失值处理和标准化。是否做行业/市值中性化必须作为显式实验变量，而不是默认偷偷处理。</w:t>
      </w:r>
    </w:p>
    <w:p w14:paraId="6749DAB7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9. 标签（Label）设计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50EBB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EAF2F8"/>
            <w:noWrap w:val="0"/>
            <w:tcMar>
              <w:top w:w="140" w:type="dxa"/>
              <w:left w:w="180" w:type="dxa"/>
              <w:bottom w:w="140" w:type="dxa"/>
              <w:right w:w="180" w:type="dxa"/>
            </w:tcMar>
            <w:vAlign w:val="top"/>
          </w:tcPr>
          <w:p w14:paraId="4DC8B72D"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 xml:space="preserve">推荐主标签  </w:t>
            </w:r>
            <w:r>
              <w:rPr>
                <w:rFonts w:ascii="Noto Sans CJK SC" w:hAnsi="Noto Sans CJK SC" w:eastAsia="Noto Sans CJK SC"/>
                <w:sz w:val="20"/>
              </w:rPr>
              <w:t>未来 5 个交易日个股收益减去同期基准收益，并转为每日横截面 percentile / rank。目标是做“相对排名”，不是精确预测涨幅。</w:t>
            </w:r>
          </w:p>
        </w:tc>
      </w:tr>
    </w:tbl>
    <w:p w14:paraId="51D97F39">
      <w:pPr>
        <w:spacing w:after="20"/>
      </w:pP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031D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3F5F7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6A11EEB">
            <w:r>
              <w:rPr>
                <w:rFonts w:ascii="Noto Sans Mono CJK SC" w:hAnsi="Noto Sans Mono CJK SC" w:eastAsia="Noto Sans Mono CJK SC"/>
                <w:sz w:val="18"/>
              </w:rPr>
              <w:t>raw_label(i,t) = Return(i, t+1 → t+5) - BenchmarkReturn(t+1 → t+5)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rank_label(i,t) = CrossSectionalPercentile(raw_label on date t)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时间约束：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t 日收盘后才允许生成信号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特征只能使用 ≤ t 日的数据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标签只能用于训练/评估，绝不可进入特征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回测实际成交从 t+1 开始</w:t>
            </w:r>
          </w:p>
        </w:tc>
      </w:tr>
    </w:tbl>
    <w:p w14:paraId="4D90FA6F">
      <w:pPr>
        <w:spacing w:after="20"/>
      </w:pPr>
    </w:p>
    <w:p w14:paraId="239E01F6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10. 模型需求</w:t>
      </w:r>
    </w:p>
    <w:p w14:paraId="488413FD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10.1 基线模型</w:t>
      </w:r>
    </w:p>
    <w:p w14:paraId="1C3AEFE0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Equal-weight factor score：标准化因子简单平均。</w:t>
      </w:r>
    </w:p>
    <w:p w14:paraId="21548938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Linear/Ridge ranking baseline：用于判断复杂模型是否真正增加价值。</w:t>
      </w:r>
    </w:p>
    <w:p w14:paraId="4CDE8BA5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10.2 主模型：LightGBM</w:t>
      </w:r>
    </w:p>
    <w:p w14:paraId="7AD28746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任务：回归 rank_label 或使用 ranking objective（V1 可先从回归 rank 开始）。</w:t>
      </w:r>
    </w:p>
    <w:p w14:paraId="2FCB25F0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输入：因子矩阵；不得输入未来数据、证券未来状态、未来成分信息。</w:t>
      </w:r>
    </w:p>
    <w:p w14:paraId="3B26E17D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输出：每只股票当日 score；只将 score 用于排序。</w:t>
      </w:r>
    </w:p>
    <w:p w14:paraId="6E923257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训练参数必须存入 YAML/JSON；禁止散落硬编码。</w:t>
      </w:r>
    </w:p>
    <w:p w14:paraId="249F3C8F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所有超参数调优只在训练+验证区间内完成；最终测试集只评估一次。</w:t>
      </w:r>
    </w:p>
    <w:p w14:paraId="44F41469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11. 时间切分与 Walk-forward</w:t>
      </w:r>
    </w:p>
    <w:p w14:paraId="3ECE16CA"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禁止随机 train_test_split。金融时间序列必须按时间切分。V1 建议实现滚动窗口：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71EC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3F5F7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1FB4639F">
            <w:r>
              <w:rPr>
                <w:rFonts w:ascii="Noto Sans Mono CJK SC" w:hAnsi="Noto Sans Mono CJK SC" w:eastAsia="Noto Sans Mono CJK SC"/>
                <w:sz w:val="18"/>
              </w:rPr>
              <w:t>示例（日期仅为结构示意）：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Train      2018–2022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Validate   2023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Test       2024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向前滚动：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Train      2019–2023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Validate   2024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Test       2025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每一折：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训练 → 验证调参 → 参数冻结 → 测试 → 记录结果</w:t>
            </w:r>
          </w:p>
        </w:tc>
      </w:tr>
    </w:tbl>
    <w:p w14:paraId="473C77E0">
      <w:pPr>
        <w:spacing w:after="20"/>
      </w:pPr>
    </w:p>
    <w:p w14:paraId="497822EE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报告必须展示每个 fold 的结果，而不是只展示合并后的漂亮曲线。</w:t>
      </w:r>
    </w:p>
    <w:p w14:paraId="2814403C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任何参数根据 Test 改动后，该 Test 即失去“最终样本外”意义，必须记录。</w:t>
      </w:r>
    </w:p>
    <w:p w14:paraId="1159EB17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模型应至少和“无模型/简单因子基线”比较。</w:t>
      </w:r>
    </w:p>
    <w:p w14:paraId="48331148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12. 回测引擎要求</w:t>
      </w:r>
    </w:p>
    <w:p w14:paraId="2B88D0C9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12.1 信号与成交假设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253A28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872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E7D06E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</w:t>
            </w:r>
          </w:p>
        </w:tc>
        <w:tc>
          <w:tcPr>
            <w:tcW w:w="8064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F1D0CB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V1 规则</w:t>
            </w:r>
          </w:p>
        </w:tc>
      </w:tr>
      <w:tr w14:paraId="7C109D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D17F4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信号生成</w:t>
            </w:r>
          </w:p>
        </w:tc>
        <w:tc>
          <w:tcPr>
            <w:tcW w:w="806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B61AA99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 日收盘后生成</w:t>
            </w:r>
          </w:p>
        </w:tc>
      </w:tr>
      <w:tr w14:paraId="73AFBD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12D4C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买入时点</w:t>
            </w:r>
          </w:p>
        </w:tc>
        <w:tc>
          <w:tcPr>
            <w:tcW w:w="806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1341B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t+1 日开盘，使用 next-open + 可配置滑点模拟</w:t>
            </w:r>
          </w:p>
        </w:tc>
      </w:tr>
      <w:tr w14:paraId="46DD72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A75D4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卖出时点</w:t>
            </w:r>
          </w:p>
        </w:tc>
        <w:tc>
          <w:tcPr>
            <w:tcW w:w="806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D24DC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策略触发后的下一可交易时点；遵守 T+1</w:t>
            </w:r>
          </w:p>
        </w:tc>
      </w:tr>
      <w:tr w14:paraId="21AAC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E1E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持仓周期</w:t>
            </w:r>
          </w:p>
        </w:tc>
        <w:tc>
          <w:tcPr>
            <w:tcW w:w="806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574F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目标 2–10 个交易日；由卖出规则/排名下降/最大持有期控制</w:t>
            </w:r>
          </w:p>
        </w:tc>
      </w:tr>
      <w:tr w14:paraId="15A827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87469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买入单位</w:t>
            </w:r>
          </w:p>
        </w:tc>
        <w:tc>
          <w:tcPr>
            <w:tcW w:w="806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DFBC3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实盘执行提示按 100 股整数单位；研究回测可用权重制组合</w:t>
            </w:r>
          </w:p>
        </w:tc>
      </w:tr>
      <w:tr w14:paraId="257D1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538E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停牌</w:t>
            </w:r>
          </w:p>
        </w:tc>
        <w:tc>
          <w:tcPr>
            <w:tcW w:w="806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EF5F22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不能买卖</w:t>
            </w:r>
          </w:p>
        </w:tc>
      </w:tr>
      <w:tr w14:paraId="4987C9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48B85B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涨跌停</w:t>
            </w:r>
          </w:p>
        </w:tc>
        <w:tc>
          <w:tcPr>
            <w:tcW w:w="806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43C48B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触及不可成交状态时不得假设成交；规则需显式实现并单测</w:t>
            </w:r>
          </w:p>
        </w:tc>
      </w:tr>
      <w:tr w14:paraId="75DDAA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155D5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交易成本</w:t>
            </w:r>
          </w:p>
        </w:tc>
        <w:tc>
          <w:tcPr>
            <w:tcW w:w="806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DFD5B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佣金、印花税等通过 config 配置；不在核心代码写死</w:t>
            </w:r>
          </w:p>
        </w:tc>
      </w:tr>
      <w:tr w14:paraId="266A0D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872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F1E69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滑点</w:t>
            </w:r>
          </w:p>
        </w:tc>
        <w:tc>
          <w:tcPr>
            <w:tcW w:w="806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AD3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可配置基点或价格比例；敏感性测试至少 3 档</w:t>
            </w:r>
          </w:p>
        </w:tc>
      </w:tr>
    </w:tbl>
    <w:p w14:paraId="062CE85D">
      <w:pPr>
        <w:spacing w:after="20"/>
      </w:pPr>
    </w:p>
    <w:p w14:paraId="12E8AF4F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12.2 组合规则</w:t>
      </w:r>
    </w:p>
    <w:p w14:paraId="0C79C145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研究组合默认 Top 10 / Top 20 两档，用于比较模型排序质量。</w:t>
      </w:r>
    </w:p>
    <w:p w14:paraId="53DB4409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默认等权，V1 不做复杂均值-方差优化。</w:t>
      </w:r>
    </w:p>
    <w:p w14:paraId="67409370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单股研究权重上限可配置，默认 10%。</w:t>
      </w:r>
    </w:p>
    <w:p w14:paraId="78C9BC79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行业集中度仅做报告与可选约束，不在 V1 首版强行优化。</w:t>
      </w:r>
    </w:p>
    <w:p w14:paraId="0123F9CA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设置 turnover cap 实验，评估收益是否被频繁换手吞噬。</w:t>
      </w:r>
    </w:p>
    <w:p w14:paraId="485B7C55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13. 风控与个人真实执行</w:t>
      </w:r>
    </w:p>
    <w:p w14:paraId="59CC587B"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真实执行层和研究层严格分离。V1 真实账户规则：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4F9FC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031A2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规则</w:t>
            </w:r>
          </w:p>
        </w:tc>
        <w:tc>
          <w:tcPr>
            <w:tcW w:w="7776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AED24D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要求</w:t>
            </w:r>
          </w:p>
        </w:tc>
      </w:tr>
      <w:tr w14:paraId="043AA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88D5E8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最大实验资金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E1A56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¥300，作为工程/学习预算，不因阶段性盈利自动加码</w:t>
            </w:r>
          </w:p>
        </w:tc>
      </w:tr>
      <w:tr w14:paraId="3BD79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12E60F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杠杆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17B154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禁止</w:t>
            </w:r>
          </w:p>
        </w:tc>
      </w:tr>
      <w:tr w14:paraId="2D3432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CD43C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自动下单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90A5B6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禁止</w:t>
            </w:r>
          </w:p>
        </w:tc>
      </w:tr>
      <w:tr w14:paraId="29CDD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5D7010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单次操作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ADEF6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用户手动确认后在 App 中执行</w:t>
            </w:r>
          </w:p>
        </w:tc>
      </w:tr>
      <w:tr w14:paraId="160F6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81FED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买不起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07E851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标记 unaffordable，直接跳过；不得改模型股票池</w:t>
            </w:r>
          </w:p>
        </w:tc>
      </w:tr>
      <w:tr w14:paraId="2DE04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F3119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候选数量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4A38B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日报 Top 10，重点观察不超过 Top 3</w:t>
            </w:r>
          </w:p>
        </w:tc>
      </w:tr>
      <w:tr w14:paraId="610BE6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7A11FF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交易纪律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DB8E42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没有满足条件的标的允许空仓；系统不得为了“必须交易”放宽规则</w:t>
            </w:r>
          </w:p>
        </w:tc>
      </w:tr>
    </w:tbl>
    <w:p w14:paraId="53F3E0B3">
      <w:pPr>
        <w:spacing w:after="20"/>
      </w:pPr>
    </w:p>
    <w:p w14:paraId="2065DB4E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14. 评估指标</w:t>
      </w:r>
    </w:p>
    <w:p w14:paraId="43BE23EF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14.1 模型层</w:t>
      </w:r>
    </w:p>
    <w:p w14:paraId="1246E728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Daily IC / RankIC、IC 均值、ICIR。</w:t>
      </w:r>
    </w:p>
    <w:p w14:paraId="4670FEF3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Top decile / quintile 相对收益及单调性。</w:t>
      </w:r>
    </w:p>
    <w:p w14:paraId="2181AFFC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预测分数稳定性与特征重要性。</w:t>
      </w:r>
    </w:p>
    <w:p w14:paraId="5F46D993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按年份、行业、市场涨跌状态拆分的稳定性。</w:t>
      </w:r>
    </w:p>
    <w:p w14:paraId="58AFFFD4">
      <w:pPr>
        <w:pStyle w:val="4"/>
        <w:spacing w:after="100" w:line="276" w:lineRule="auto"/>
      </w:pPr>
      <w:r>
        <w:rPr>
          <w:rFonts w:ascii="Noto Sans CJK SC" w:hAnsi="Noto Sans CJK SC" w:eastAsia="Noto Sans CJK SC"/>
          <w:sz w:val="21"/>
        </w:rPr>
        <w:t>14.2 组合层</w:t>
      </w:r>
    </w:p>
    <w:p w14:paraId="0E28B85C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CAGR / Annualized Return（仅用于标准化回测组合）。</w:t>
      </w:r>
    </w:p>
    <w:p w14:paraId="6959296E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Sharpe、Sortino、Max Drawdown。</w:t>
      </w:r>
    </w:p>
    <w:p w14:paraId="7542E239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超额收益、Information Ratio。</w:t>
      </w:r>
    </w:p>
    <w:p w14:paraId="243B0BFD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Turnover、交易次数、平均持有期、胜率、盈亏比。</w:t>
      </w:r>
    </w:p>
    <w:p w14:paraId="7A9636CC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成本前 vs 成本后收益，滑点敏感性。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25C3BC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EAF2F8"/>
            <w:noWrap w:val="0"/>
            <w:tcMar>
              <w:top w:w="140" w:type="dxa"/>
              <w:left w:w="180" w:type="dxa"/>
              <w:bottom w:w="140" w:type="dxa"/>
              <w:right w:w="180" w:type="dxa"/>
            </w:tcMar>
            <w:vAlign w:val="top"/>
          </w:tcPr>
          <w:p w14:paraId="486BE145"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 xml:space="preserve">禁止单指标崇拜  </w:t>
            </w:r>
            <w:r>
              <w:rPr>
                <w:rFonts w:ascii="Noto Sans CJK SC" w:hAnsi="Noto Sans CJK SC" w:eastAsia="Noto Sans CJK SC"/>
                <w:sz w:val="20"/>
              </w:rPr>
              <w:t>不以 Sharpe 或总收益单独决定模型好坏。必须同时看样本外、跨年份稳定性、换手、成本、最大回撤和因子暴露。</w:t>
            </w:r>
          </w:p>
        </w:tc>
      </w:tr>
    </w:tbl>
    <w:p w14:paraId="657CD98D">
      <w:pPr>
        <w:spacing w:after="20"/>
      </w:pPr>
    </w:p>
    <w:p w14:paraId="46DA87AA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15. 每日报告需求</w:t>
      </w:r>
    </w:p>
    <w:p w14:paraId="6952C61A"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每天生成 reports/daily/YYYY-MM-DD.html（同时输出 Markdown）。至少包含：</w:t>
      </w:r>
    </w:p>
    <w:p w14:paraId="2EAD84D9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数据更新时间与数据质量状态。</w:t>
      </w:r>
    </w:p>
    <w:p w14:paraId="34E5AEF6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当日可交易股票池数量。</w:t>
      </w:r>
    </w:p>
    <w:p w14:paraId="74F9C582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Top 10 模型排名：代码、名称、score、主要因子、流动性/波动率风险。</w:t>
      </w:r>
    </w:p>
    <w:p w14:paraId="28EF668D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Top 3 重点观察：给出“为什么入选”的简洁说明，但不使用“建议买入”等投资建议措辞。</w:t>
      </w:r>
    </w:p>
    <w:p w14:paraId="033887EF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与前一日排名变化：新进入、跌出、排名大幅变化。</w:t>
      </w:r>
    </w:p>
    <w:p w14:paraId="026C0082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当前模型版本、训练截止日期、Git commit、配置文件名。</w:t>
      </w:r>
    </w:p>
    <w:p w14:paraId="579863B5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若真实执行记录已录入：展示买入价、当前收益、持有天数、模型预测与实际结果。</w:t>
      </w:r>
    </w:p>
    <w:p w14:paraId="2866226F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16. 实验追踪与可复现性</w:t>
      </w:r>
    </w:p>
    <w:p w14:paraId="7A997E20"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每次正式实验生成一个唯一 experiment_id，并保存：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93091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3F5F7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5EB3808">
            <w:r>
              <w:rPr>
                <w:rFonts w:ascii="Noto Sans Mono CJK SC" w:hAnsi="Noto Sans Mono CJK SC" w:eastAsia="Noto Sans Mono CJK SC"/>
                <w:sz w:val="18"/>
              </w:rPr>
              <w:t>experiments/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20260813_001_momentum_lgbm/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config.yaml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metrics.json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feature_importance.csv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fold_metrics.csv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predictions.parquet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equity_curve.parquet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notes.md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 xml:space="preserve">    metadata.json   # git commit / data cutoff / seed / environment</w:t>
            </w:r>
          </w:p>
        </w:tc>
      </w:tr>
    </w:tbl>
    <w:p w14:paraId="7C140543">
      <w:pPr>
        <w:spacing w:after="20"/>
      </w:pPr>
    </w:p>
    <w:p w14:paraId="3D6BF49A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每个实验必须保存随机种子。</w:t>
      </w:r>
    </w:p>
    <w:p w14:paraId="1B87377B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生产候选报告只能引用“已登记的模型版本”，不能临时运行未记录参数。</w:t>
      </w:r>
    </w:p>
    <w:p w14:paraId="555F1150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Gemini 的任何模型修改都必须形成明确 diff；不允许静默改历史结果。</w:t>
      </w:r>
    </w:p>
    <w:p w14:paraId="606704A3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17. 推荐代码仓库结构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9589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3F5F7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81E94A">
            <w:r>
              <w:rPr>
                <w:rFonts w:ascii="Noto Sans Mono CJK SC" w:hAnsi="Noto Sans Mono CJK SC" w:eastAsia="Noto Sans Mono CJK SC"/>
                <w:sz w:val="18"/>
              </w:rPr>
              <w:t>a-share-quant/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├─ README.md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├─ pyproject.toml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├─ .env.example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├─ configs/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base.yaml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data.yaml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factors.yaml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model_lgbm.yaml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└─ backtest.yaml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├─ data/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raw/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processed/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└─ cache/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├─ src/ashare_quant/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data/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universe/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factors/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labels/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models/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backtest/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portfolio/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risk/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reports/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└─ utils/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├─ tests/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├─ scripts/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update_data.py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train.py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├─ backtest.py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│  └─ daily_signal.py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├─ experiments/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└─ reports/</w:t>
            </w:r>
          </w:p>
        </w:tc>
      </w:tr>
    </w:tbl>
    <w:p w14:paraId="57E62F45">
      <w:pPr>
        <w:spacing w:after="20"/>
      </w:pPr>
    </w:p>
    <w:p w14:paraId="3F8C22F7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18. CLI / 用户入口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51DA25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3F5F7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4CC23CF">
            <w:r>
              <w:rPr>
                <w:rFonts w:ascii="Noto Sans Mono CJK SC" w:hAnsi="Noto Sans Mono CJK SC" w:eastAsia="Noto Sans Mono CJK SC"/>
                <w:sz w:val="18"/>
              </w:rPr>
              <w:t># 1. 更新数据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python -m ashare_quant.cli update-data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 2. 训练 + Walk-forward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python -m ashare_quant.cli train --config configs/model_lgbm.yaml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 3. 回测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python -m ashare_quant.cli backtest --experiment &lt;experiment_id&gt;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 4. 生成今日候选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python -m ashare_quant.cli daily-signal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# 5. 打开最新报告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python -m ashare_quant.cli report --latest</w:t>
            </w:r>
          </w:p>
        </w:tc>
      </w:tr>
    </w:tbl>
    <w:p w14:paraId="0BFBFC2E">
      <w:pPr>
        <w:spacing w:after="20"/>
      </w:pPr>
    </w:p>
    <w:p w14:paraId="235EAAD0"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所有命令必须有 --help；错误时给出人能理解的提示，不只输出 Python traceback。</w:t>
      </w:r>
    </w:p>
    <w:p w14:paraId="39ED1F31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19. 测试要求</w:t>
      </w:r>
    </w:p>
    <w:p w14:paraId="2E4F1C26"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以下测试属于 P0，任何一个失败都不允许发布 V1：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83"/>
        <w:gridCol w:w="5083"/>
      </w:tblGrid>
      <w:tr w14:paraId="41D1E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2160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109C5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</w:t>
            </w:r>
          </w:p>
        </w:tc>
        <w:tc>
          <w:tcPr>
            <w:tcW w:w="7776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E828C3C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验收条件</w:t>
            </w:r>
          </w:p>
        </w:tc>
      </w:tr>
      <w:tr w14:paraId="3D560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42525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未来函数测试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6A371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 日因子生成不能访问 t+1 或之后任何字段</w:t>
            </w:r>
          </w:p>
        </w:tc>
      </w:tr>
      <w:tr w14:paraId="0EE359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DCA4C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标签隔离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F497F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label 列不得出现在 model feature list</w:t>
            </w:r>
          </w:p>
        </w:tc>
      </w:tr>
      <w:tr w14:paraId="741A3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B2ED1E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时间切分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0EE9D1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训练、验证、测试日期无重叠</w:t>
            </w:r>
          </w:p>
        </w:tc>
      </w:tr>
      <w:tr w14:paraId="43AED5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97641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停牌成交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D42DE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停牌日模拟成交必须为 0</w:t>
            </w:r>
          </w:p>
        </w:tc>
      </w:tr>
      <w:tr w14:paraId="7D6F3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E66F5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T+1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C1FC94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当日买入股票不能同日卖出</w:t>
            </w:r>
          </w:p>
        </w:tc>
      </w:tr>
      <w:tr w14:paraId="71B3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2EF8E3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涨跌停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9ACBB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不可成交场景不能按理想价成交</w:t>
            </w:r>
          </w:p>
        </w:tc>
      </w:tr>
      <w:tr w14:paraId="2869B2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71A49D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数据重复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F89E69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security × date 主键唯一</w:t>
            </w:r>
          </w:p>
        </w:tc>
      </w:tr>
      <w:tr w14:paraId="650EE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2160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EAE5B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实验复现</w:t>
            </w:r>
          </w:p>
        </w:tc>
        <w:tc>
          <w:tcPr>
            <w:tcW w:w="77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BF0BF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相同数据+配置+seed 得到一致或数值容差内一致结果</w:t>
            </w:r>
          </w:p>
        </w:tc>
      </w:tr>
    </w:tbl>
    <w:p w14:paraId="3CD87928">
      <w:pPr>
        <w:spacing w:after="20"/>
      </w:pPr>
    </w:p>
    <w:p w14:paraId="7112E939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20. Gemini 3.6 Flash 工作规则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6B487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EAF2F8"/>
            <w:noWrap w:val="0"/>
            <w:tcMar>
              <w:top w:w="140" w:type="dxa"/>
              <w:left w:w="180" w:type="dxa"/>
              <w:bottom w:w="140" w:type="dxa"/>
              <w:right w:w="180" w:type="dxa"/>
            </w:tcMar>
            <w:vAlign w:val="top"/>
          </w:tcPr>
          <w:p w14:paraId="4AE62842"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 xml:space="preserve">角色定义  </w:t>
            </w:r>
            <w:r>
              <w:rPr>
                <w:rFonts w:ascii="Noto Sans CJK SC" w:hAnsi="Noto Sans CJK SC" w:eastAsia="Noto Sans CJK SC"/>
                <w:sz w:val="20"/>
              </w:rPr>
              <w:t>Gemini 是 Quant Engineer / Research Assistant，不是交易员。它可以写代码、跑测试、分析实验、提出可证伪假设，但不能直接决定用户必须买卖某只股票。</w:t>
            </w:r>
          </w:p>
        </w:tc>
      </w:tr>
    </w:tbl>
    <w:p w14:paraId="079906F0">
      <w:pPr>
        <w:spacing w:after="20"/>
      </w:pPr>
    </w:p>
    <w:p w14:paraId="5FD47BF4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先阅读本 PRD、README、configs 和 tests，再修改代码。</w:t>
      </w:r>
    </w:p>
    <w:p w14:paraId="6A730215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每次只完成一个明确 milestone；修改后必须运行相关测试。</w:t>
      </w:r>
    </w:p>
    <w:p w14:paraId="3499925D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遇到回测异常优秀时，第一反应是检查未来函数、数据泄漏、幸存者偏差、成交假设和成本，而不是庆祝。</w:t>
      </w:r>
    </w:p>
    <w:p w14:paraId="39D4A692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不得用最终 Test 集反复调参。</w:t>
      </w:r>
    </w:p>
    <w:p w14:paraId="271D2269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任何策略改动必须说明：假设是什么、预期改善哪个指标、如何证伪。</w:t>
      </w:r>
    </w:p>
    <w:p w14:paraId="622F7FDA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不得删除失败实验；失败结果也是研究记录。</w:t>
      </w:r>
    </w:p>
    <w:p w14:paraId="7A086D0C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不得自动接入券商或在用户账户下单。</w:t>
      </w:r>
    </w:p>
    <w:p w14:paraId="50D531BC">
      <w:pPr>
        <w:pStyle w:val="14"/>
        <w:spacing w:after="40"/>
      </w:pPr>
      <w:r>
        <w:rPr>
          <w:rFonts w:ascii="Noto Sans CJK SC" w:hAnsi="Noto Sans CJK SC" w:eastAsia="Noto Sans CJK SC"/>
          <w:sz w:val="21"/>
        </w:rPr>
        <w:t>任何影响交易逻辑的代码必须有测试。</w:t>
      </w:r>
    </w:p>
    <w:p w14:paraId="167BB274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21. 开发里程碑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89"/>
        <w:gridCol w:w="3389"/>
        <w:gridCol w:w="3389"/>
      </w:tblGrid>
      <w:tr w14:paraId="36B3D3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blHeader/>
          <w:jc w:val="center"/>
        </w:trPr>
        <w:tc>
          <w:tcPr>
            <w:tcW w:w="1944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723023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w="3816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B34FE8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范围</w:t>
            </w:r>
          </w:p>
        </w:tc>
        <w:tc>
          <w:tcPr>
            <w:tcW w:w="4176" w:type="dxa"/>
            <w:shd w:val="clear" w:color="auto" w:fill="1F4E78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5752C59">
            <w:pPr>
              <w:spacing w:after="0" w:line="240" w:lineRule="auto"/>
              <w:jc w:val="center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完成标准</w:t>
            </w:r>
          </w:p>
        </w:tc>
      </w:tr>
      <w:tr w14:paraId="7EC068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C6A5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M0 · Scaffold</w:t>
            </w:r>
          </w:p>
        </w:tc>
        <w:tc>
          <w:tcPr>
            <w:tcW w:w="381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79CB1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项目结构、配置、日志、测试框架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5CF14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可安装、CLI help 正常、CI/本地 pytest 可运行</w:t>
            </w:r>
          </w:p>
        </w:tc>
      </w:tr>
      <w:tr w14:paraId="5DC032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23C41E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M1 · Data</w:t>
            </w:r>
          </w:p>
        </w:tc>
        <w:tc>
          <w:tcPr>
            <w:tcW w:w="381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54A8A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行情/主数据/交易状态/日历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DD04A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可增量更新；QA 报告通过</w:t>
            </w:r>
          </w:p>
        </w:tc>
      </w:tr>
      <w:tr w14:paraId="0567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5F8760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M2 · Universe + Factors</w:t>
            </w:r>
          </w:p>
        </w:tc>
        <w:tc>
          <w:tcPr>
            <w:tcW w:w="381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2536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股票池 + 12 个基线因子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B134A0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任一历史日期可重建当日截面</w:t>
            </w:r>
          </w:p>
        </w:tc>
      </w:tr>
      <w:tr w14:paraId="1D24C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0E3EA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M3 · Labels + Baseline</w:t>
            </w:r>
          </w:p>
        </w:tc>
        <w:tc>
          <w:tcPr>
            <w:tcW w:w="381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3F70A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5D 超额 rank label + 简单基线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1AFDA5D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输出 IC/RankIC 与分组收益</w:t>
            </w:r>
          </w:p>
        </w:tc>
      </w:tr>
      <w:tr w14:paraId="3FD85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8A7BFC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M4 · LightGBM</w:t>
            </w:r>
          </w:p>
        </w:tc>
        <w:tc>
          <w:tcPr>
            <w:tcW w:w="381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12CAEA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训练、验证、预测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AF4039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模型结果可复现，有 feature importance</w:t>
            </w:r>
          </w:p>
        </w:tc>
      </w:tr>
      <w:tr w14:paraId="7D2FD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1547F83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M5 · Backtest</w:t>
            </w:r>
          </w:p>
        </w:tc>
        <w:tc>
          <w:tcPr>
            <w:tcW w:w="381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9C2B2A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现实交易约束 + 组合回测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A84346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成本前后、回撤、换手完整</w:t>
            </w:r>
          </w:p>
        </w:tc>
      </w:tr>
      <w:tr w14:paraId="6CF40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75CDA87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M6 · Walk-forward</w:t>
            </w:r>
          </w:p>
        </w:tc>
        <w:tc>
          <w:tcPr>
            <w:tcW w:w="381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31C714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多折时间滚动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AC3C482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每 fold 独立报告；无测试集调参</w:t>
            </w:r>
          </w:p>
        </w:tc>
      </w:tr>
      <w:tr w14:paraId="0B2738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0D575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M7 · Daily Report</w:t>
            </w:r>
          </w:p>
        </w:tc>
        <w:tc>
          <w:tcPr>
            <w:tcW w:w="381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F81B86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Top 10/Top 3 日报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20C89AB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一条命令生成；普通用户能读懂</w:t>
            </w:r>
          </w:p>
        </w:tc>
      </w:tr>
      <w:tr w14:paraId="72F847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1944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354CB95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M8 · Manual Execution Log</w:t>
            </w:r>
          </w:p>
        </w:tc>
        <w:tc>
          <w:tcPr>
            <w:tcW w:w="381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C02D78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手动录入真实成交</w:t>
            </w:r>
          </w:p>
        </w:tc>
        <w:tc>
          <w:tcPr>
            <w:tcW w:w="4176" w:type="dxa"/>
            <w:noWrap w:val="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058B58F">
            <w:pPr>
              <w:spacing w:after="0" w:line="240" w:lineRule="auto"/>
            </w:pPr>
            <w:r>
              <w:rPr>
                <w:rFonts w:ascii="Noto Sans CJK SC" w:hAnsi="Noto Sans CJK SC" w:eastAsia="Noto Sans CJK SC"/>
                <w:sz w:val="18"/>
              </w:rPr>
              <w:t>能对比模型预测 vs 实际成交/收益</w:t>
            </w:r>
          </w:p>
        </w:tc>
      </w:tr>
    </w:tbl>
    <w:p w14:paraId="365D58FC">
      <w:pPr>
        <w:spacing w:after="20"/>
      </w:pPr>
    </w:p>
    <w:p w14:paraId="270D20F3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22. V1 验收标准</w:t>
      </w:r>
    </w:p>
    <w:p w14:paraId="48678826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在干净环境中按 README 可完成安装。</w:t>
      </w:r>
    </w:p>
    <w:p w14:paraId="69328D2D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能够从历史数据生成至少 3 年的研究样本，并完成至少 2 个 Walk-forward fold。</w:t>
      </w:r>
    </w:p>
    <w:p w14:paraId="478DBEDD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12 个基线因子均有单元测试或数值 sanity check。</w:t>
      </w:r>
    </w:p>
    <w:p w14:paraId="6454BAD7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LightGBM 与简单基线模型均可训练、预测、评估。</w:t>
      </w:r>
    </w:p>
    <w:p w14:paraId="417B497C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回测能正确处理 P0 交易约束与成本。</w:t>
      </w:r>
    </w:p>
    <w:p w14:paraId="1D83A1C9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生成完整日报，并能解释 Top 10 主要因子来源。</w:t>
      </w:r>
    </w:p>
    <w:p w14:paraId="1375F2FC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用户可手动录入一笔真实交易并在复盘报告中追踪。</w:t>
      </w:r>
    </w:p>
    <w:p w14:paraId="0C83F1D8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README 明确写出所有已知偏差与尚未解决的数据限制。</w:t>
      </w:r>
    </w:p>
    <w:p w14:paraId="73FF7135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23. V1 之后的候选方向（不进入首版）</w:t>
      </w:r>
    </w:p>
    <w:p w14:paraId="6588ADAC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加入财务质量、估值、盈利增长等基本面因子。</w:t>
      </w:r>
    </w:p>
    <w:p w14:paraId="6240061C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行业/市值中性化与风险模型。</w:t>
      </w:r>
    </w:p>
    <w:p w14:paraId="01082EA2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特征组合、因子去冗余和稳定性选择。</w:t>
      </w:r>
    </w:p>
    <w:p w14:paraId="7128E126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更严谨的成交模型（使用分钟数据验证开盘成交假设）。</w:t>
      </w:r>
    </w:p>
    <w:p w14:paraId="0BA70754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模型 ensemble：线性 + LightGBM + XGBoost。</w:t>
      </w:r>
    </w:p>
    <w:p w14:paraId="17F4899D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Qlib 作为高级研究框架或对照实现。</w:t>
      </w:r>
    </w:p>
    <w:p w14:paraId="396E7A01">
      <w:pPr>
        <w:pStyle w:val="16"/>
        <w:spacing w:after="40"/>
        <w:ind w:left="317"/>
      </w:pPr>
      <w:r>
        <w:rPr>
          <w:rFonts w:ascii="Noto Sans CJK SC" w:hAnsi="Noto Sans CJK SC" w:eastAsia="Noto Sans CJK SC"/>
          <w:sz w:val="21"/>
        </w:rPr>
        <w:t>资金与经验增长后，再考虑 QMT/MiniQMT 半自动/自动执行。</w:t>
      </w:r>
    </w:p>
    <w:p w14:paraId="48D04D2B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附录 A · 交给 Gemini 3.6 Flash 的启动指令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16D63A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3F5F7"/>
            <w:noWrap w:val="0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4CE3A7C">
            <w:r>
              <w:rPr>
                <w:rFonts w:ascii="Noto Sans Mono CJK SC" w:hAnsi="Noto Sans Mono CJK SC" w:eastAsia="Noto Sans Mono CJK SC"/>
                <w:sz w:val="18"/>
              </w:rPr>
              <w:t>你是本项目的 Quant Engineer / Research Assistant。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请先完整阅读 PRD，并严格遵守其中的时间序列、数据泄漏、回测真实性和实盘边界要求。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目标：从 M0 开始搭建 a-share-quant V1。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工作方式：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1. 不要一次实现整个项目；按 milestone 逐步完成。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2. 每个 milestone 开始前，先说明本阶段文件改动和验收标准。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3. 每次修改后运行 pytest / lint / 最小可运行命令。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4. 遇到不确定的数据字段或交易规则时，不要猜；把接口抽象出来并明确 TODO。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5. 不允许为了提高回测结果引入未来函数、测试集调参或不现实成交。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6. 所有关键配置放在 configs 中，避免硬编码。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7. 所有实验必须可复现并保存 experiment metadata。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8. V1 不接券商 API，不自动下单，只生成研究候选和报告。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现在先实现 M0：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初始化 Python 项目结构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pyproject.toml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配置加载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logging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CLI 框架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pytest 框架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README 开发说明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建立最小 CI/本地检查命令</w:t>
            </w:r>
            <w:r>
              <w:br w:type="textWrapping"/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完成后给出：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文件树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关键设计说明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测试结果</w:t>
            </w:r>
            <w:r>
              <w:br w:type="textWrapping"/>
            </w:r>
            <w:r>
              <w:rPr>
                <w:rFonts w:ascii="Noto Sans Mono CJK SC" w:hAnsi="Noto Sans Mono CJK SC" w:eastAsia="Noto Sans Mono CJK SC"/>
                <w:sz w:val="18"/>
              </w:rPr>
              <w:t>- 下一阶段 M1 的计划</w:t>
            </w:r>
          </w:p>
        </w:tc>
      </w:tr>
    </w:tbl>
    <w:p w14:paraId="5460F302">
      <w:pPr>
        <w:spacing w:after="20"/>
      </w:pPr>
    </w:p>
    <w:p w14:paraId="0F8EF1F0">
      <w:pPr>
        <w:pStyle w:val="3"/>
        <w:spacing w:after="100" w:line="276" w:lineRule="auto"/>
      </w:pPr>
      <w:r>
        <w:rPr>
          <w:rFonts w:ascii="Noto Sans CJK SC" w:hAnsi="Noto Sans CJK SC" w:eastAsia="Noto Sans CJK SC"/>
          <w:sz w:val="21"/>
        </w:rPr>
        <w:t>附录 B · 研究纪律</w:t>
      </w:r>
    </w:p>
    <w:tbl>
      <w:tblPr>
        <w:tblStyle w:val="32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166"/>
      </w:tblGrid>
      <w:tr w14:paraId="7FDB09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166" w:type="dxa"/>
            <w:shd w:val="clear" w:color="auto" w:fill="FFF2CC"/>
            <w:noWrap w:val="0"/>
            <w:tcMar>
              <w:top w:w="140" w:type="dxa"/>
              <w:left w:w="180" w:type="dxa"/>
              <w:bottom w:w="140" w:type="dxa"/>
              <w:right w:w="180" w:type="dxa"/>
            </w:tcMar>
            <w:vAlign w:val="top"/>
          </w:tcPr>
          <w:p w14:paraId="637B5173">
            <w:r>
              <w:rPr>
                <w:rFonts w:ascii="Noto Sans CJK SC" w:hAnsi="Noto Sans CJK SC" w:eastAsia="Noto Sans CJK SC"/>
                <w:b/>
                <w:color w:val="1F4E78"/>
                <w:sz w:val="20"/>
              </w:rPr>
              <w:t xml:space="preserve">最重要的一条  </w:t>
            </w:r>
            <w:r>
              <w:rPr>
                <w:rFonts w:ascii="Noto Sans CJK SC" w:hAnsi="Noto Sans CJK SC" w:eastAsia="Noto Sans CJK SC"/>
                <w:sz w:val="20"/>
              </w:rPr>
              <w:t>漂亮的回测不是产品目标；可信的、能被反驳的实验才是。任何“异常好”的结果默认先视为潜在 bug，直到通过数据、时间切分、成交约束、成本和样本外检查。</w:t>
            </w:r>
          </w:p>
        </w:tc>
      </w:tr>
    </w:tbl>
    <w:p w14:paraId="445C3DE2">
      <w:pPr>
        <w:spacing w:after="20"/>
      </w:pPr>
    </w:p>
    <w:p w14:paraId="34C1FA4E">
      <w:pPr>
        <w:spacing w:after="100" w:line="276" w:lineRule="auto"/>
      </w:pPr>
      <w:r>
        <w:rPr>
          <w:rFonts w:ascii="Noto Sans CJK SC" w:hAnsi="Noto Sans CJK SC" w:eastAsia="Noto Sans CJK SC"/>
          <w:sz w:val="21"/>
        </w:rPr>
        <w:t>本 PRD 是 V1 的开发边界。未来任何新增功能，只有在不破坏“可复现、无泄漏、现实成交、人工确认”四个原则的前提下才允许进入主分支。</w:t>
      </w:r>
    </w:p>
    <w:sectPr>
      <w:headerReference r:id="rId5" w:type="default"/>
      <w:footerReference r:id="rId6" w:type="default"/>
      <w:pgSz w:w="12240" w:h="15840"/>
      <w:pgMar w:top="1037" w:right="1037" w:bottom="979" w:left="1037" w:header="432" w:footer="504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Noto Sans Mono CJK SC">
    <w:altName w:val="Segoe Print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1E67C3">
    <w:pPr>
      <w:pStyle w:val="24"/>
      <w:jc w:val="center"/>
    </w:pPr>
    <w:r>
      <w:rPr>
        <w:rFonts w:ascii="Noto Sans CJK SC" w:hAnsi="Noto Sans CJK SC" w:eastAsia="Noto Sans CJK SC"/>
        <w:color w:val="787878"/>
        <w:sz w:val="16"/>
      </w:rPr>
      <w:t>仅用于研究与软件开发，不构成投资建议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402F3E">
    <w:pPr>
      <w:pStyle w:val="25"/>
      <w:jc w:val="right"/>
    </w:pPr>
    <w:r>
      <w:rPr>
        <w:rFonts w:ascii="Noto Sans CJK SC" w:hAnsi="Noto Sans CJK SC" w:eastAsia="Noto Sans CJK SC"/>
        <w:color w:val="646464"/>
        <w:sz w:val="17"/>
      </w:rPr>
      <w:t>A股个人量化系统 · PRD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72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6E2241"/>
    <w:rsid w:val="0E6765D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mbria" w:hAnsi="Cambria" w:eastAsia="ＭＳ 明朝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="Times New Roman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6"/>
    <w:qFormat/>
    <w:uiPriority w:val="9"/>
    <w:pPr>
      <w:keepNext/>
      <w:keepLines/>
      <w:spacing w:before="200" w:after="100"/>
      <w:outlineLvl w:val="0"/>
    </w:pPr>
    <w:rPr>
      <w:rFonts w:ascii="Calibri" w:hAnsi="Calibri" w:eastAsia="MS Gothic" w:cs="Times New Roman"/>
      <w:b/>
      <w:bCs/>
      <w:color w:val="1F4E78"/>
      <w:sz w:val="34"/>
      <w:szCs w:val="28"/>
    </w:rPr>
  </w:style>
  <w:style w:type="paragraph" w:styleId="4">
    <w:name w:val="heading 2"/>
    <w:basedOn w:val="1"/>
    <w:next w:val="1"/>
    <w:link w:val="137"/>
    <w:unhideWhenUsed/>
    <w:qFormat/>
    <w:uiPriority w:val="9"/>
    <w:pPr>
      <w:keepNext/>
      <w:keepLines/>
      <w:spacing w:before="200" w:after="100"/>
      <w:outlineLvl w:val="1"/>
    </w:pPr>
    <w:rPr>
      <w:rFonts w:ascii="Calibri" w:hAnsi="Calibri" w:eastAsia="MS Gothic" w:cs="Times New Roman"/>
      <w:b/>
      <w:bCs/>
      <w:color w:val="315B89"/>
      <w:sz w:val="27"/>
      <w:szCs w:val="26"/>
    </w:rPr>
  </w:style>
  <w:style w:type="paragraph" w:styleId="5">
    <w:name w:val="heading 3"/>
    <w:basedOn w:val="1"/>
    <w:next w:val="1"/>
    <w:link w:val="138"/>
    <w:unhideWhenUsed/>
    <w:qFormat/>
    <w:uiPriority w:val="9"/>
    <w:pPr>
      <w:keepNext/>
      <w:keepLines/>
      <w:spacing w:before="200" w:after="100"/>
      <w:outlineLvl w:val="2"/>
    </w:pPr>
    <w:rPr>
      <w:rFonts w:ascii="Calibri" w:hAnsi="Calibri" w:eastAsia="MS Gothic" w:cs="Times New Roman"/>
      <w:b/>
      <w:bCs/>
      <w:color w:val="444444"/>
      <w:sz w:val="23"/>
    </w:rPr>
  </w:style>
  <w:style w:type="paragraph" w:styleId="6">
    <w:name w:val="heading 4"/>
    <w:basedOn w:val="1"/>
    <w:next w:val="1"/>
    <w:link w:val="139"/>
    <w:unhideWhenUsed/>
    <w:qFormat/>
    <w:uiPriority w:val="9"/>
    <w:pPr>
      <w:keepNext/>
      <w:keepLines/>
      <w:spacing w:before="200" w:after="0"/>
      <w:outlineLvl w:val="3"/>
    </w:pPr>
    <w:rPr>
      <w:rFonts w:ascii="Calibri" w:hAnsi="Calibri" w:eastAsia="MS Gothic" w:cs="Times New Roman"/>
      <w:b/>
      <w:bCs/>
      <w:i/>
      <w:iCs/>
      <w:color w:val="4F81BD"/>
    </w:rPr>
  </w:style>
  <w:style w:type="paragraph" w:styleId="7">
    <w:name w:val="heading 5"/>
    <w:basedOn w:val="1"/>
    <w:next w:val="1"/>
    <w:link w:val="140"/>
    <w:unhideWhenUsed/>
    <w:qFormat/>
    <w:uiPriority w:val="9"/>
    <w:pPr>
      <w:keepNext/>
      <w:keepLines/>
      <w:spacing w:before="200" w:after="0"/>
      <w:outlineLvl w:val="4"/>
    </w:pPr>
    <w:rPr>
      <w:rFonts w:ascii="Calibri" w:hAnsi="Calibri" w:eastAsia="MS Gothic" w:cs="Times New Roman"/>
      <w:color w:val="243F61"/>
    </w:rPr>
  </w:style>
  <w:style w:type="paragraph" w:styleId="8">
    <w:name w:val="heading 6"/>
    <w:basedOn w:val="1"/>
    <w:next w:val="1"/>
    <w:link w:val="141"/>
    <w:unhideWhenUsed/>
    <w:qFormat/>
    <w:uiPriority w:val="9"/>
    <w:pPr>
      <w:keepNext/>
      <w:keepLines/>
      <w:spacing w:before="200" w:after="0"/>
      <w:outlineLvl w:val="5"/>
    </w:pPr>
    <w:rPr>
      <w:rFonts w:ascii="Calibri" w:hAnsi="Calibri" w:eastAsia="MS Gothic" w:cs="Times New Roman"/>
      <w:i/>
      <w:iCs/>
      <w:color w:val="243F61"/>
    </w:rPr>
  </w:style>
  <w:style w:type="paragraph" w:styleId="9">
    <w:name w:val="heading 7"/>
    <w:basedOn w:val="1"/>
    <w:next w:val="1"/>
    <w:link w:val="142"/>
    <w:unhideWhenUsed/>
    <w:qFormat/>
    <w:uiPriority w:val="9"/>
    <w:pPr>
      <w:keepNext/>
      <w:keepLines/>
      <w:spacing w:before="200" w:after="0"/>
      <w:outlineLvl w:val="6"/>
    </w:pPr>
    <w:rPr>
      <w:rFonts w:ascii="Calibri" w:hAnsi="Calibri" w:eastAsia="MS Gothic" w:cs="Times New Roman"/>
      <w:i/>
      <w:iCs/>
      <w:color w:val="3F3F3F"/>
    </w:rPr>
  </w:style>
  <w:style w:type="paragraph" w:styleId="10">
    <w:name w:val="heading 8"/>
    <w:basedOn w:val="1"/>
    <w:next w:val="1"/>
    <w:link w:val="143"/>
    <w:unhideWhenUsed/>
    <w:qFormat/>
    <w:uiPriority w:val="9"/>
    <w:pPr>
      <w:keepNext/>
      <w:keepLines/>
      <w:spacing w:before="200" w:after="0"/>
      <w:outlineLvl w:val="7"/>
    </w:pPr>
    <w:rPr>
      <w:rFonts w:ascii="Calibri" w:hAnsi="Calibri" w:eastAsia="MS Gothic" w:cs="Times New Roman"/>
      <w:color w:val="4F81BD"/>
      <w:sz w:val="20"/>
      <w:szCs w:val="20"/>
    </w:rPr>
  </w:style>
  <w:style w:type="paragraph" w:styleId="11">
    <w:name w:val="heading 9"/>
    <w:basedOn w:val="1"/>
    <w:next w:val="1"/>
    <w:link w:val="144"/>
    <w:unhideWhenUsed/>
    <w:qFormat/>
    <w:uiPriority w:val="9"/>
    <w:pPr>
      <w:keepNext/>
      <w:keepLines/>
      <w:spacing w:before="200" w:after="0"/>
      <w:outlineLvl w:val="8"/>
    </w:pPr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default="1" w:styleId="132">
    <w:name w:val="Default Paragraph Font"/>
    <w:unhideWhenUsed/>
    <w:qFormat/>
    <w:uiPriority w:val="1"/>
  </w:style>
  <w:style w:type="table" w:default="1" w:styleId="32">
    <w:name w:val="Normal Table"/>
    <w:unhideWhenUsed/>
    <w:uiPriority w:val="99"/>
    <w:tblPr>
      <w:tblStyle w:val="32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35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="ＭＳ 明朝" w:cs="Times New Roman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unhideWhenUsed/>
    <w:qFormat/>
    <w:uiPriority w:val="35"/>
    <w:pPr>
      <w:spacing w:line="240" w:lineRule="auto"/>
    </w:pPr>
    <w:rPr>
      <w:b/>
      <w:bCs/>
      <w:color w:val="4F81BD"/>
      <w:sz w:val="18"/>
      <w:szCs w:val="18"/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5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  <w:rPr>
      <w:rFonts w:ascii="Noto Sans CJK SC" w:hAnsi="Noto Sans CJK SC" w:eastAsia="Noto Sans CJK SC"/>
      <w:sz w:val="21"/>
    </w:r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9"/>
    <w:qFormat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50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51"/>
    <w:qFormat/>
    <w:uiPriority w:val="10"/>
    <w:pPr>
      <w:pBdr>
        <w:bottom w:val="single" w:color="4F81BD" w:sz="8" w:space="4"/>
      </w:pBdr>
      <w:spacing w:after="300" w:line="240" w:lineRule="auto"/>
      <w:contextualSpacing/>
    </w:pPr>
    <w:rPr>
      <w:rFonts w:ascii="Calibri" w:hAnsi="Calibri" w:eastAsia="MS Gothic" w:cs="Times New Roman"/>
      <w:b/>
      <w:color w:val="1F4E78"/>
      <w:spacing w:val="5"/>
      <w:kern w:val="28"/>
      <w:sz w:val="5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Style w:val="32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/>
    </w:rPr>
    <w:tblPr>
      <w:tblStyle w:val="32"/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66091"/>
    </w:rPr>
    <w:tblPr>
      <w:tblStyle w:val="32"/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43734"/>
    </w:rPr>
    <w:tblPr>
      <w:tblStyle w:val="32"/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6923C"/>
    </w:rPr>
    <w:tblPr>
      <w:tblStyle w:val="32"/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5F497A"/>
    </w:rPr>
    <w:tblPr>
      <w:tblStyle w:val="32"/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49B"/>
    </w:rPr>
    <w:tblPr>
      <w:tblStyle w:val="32"/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36C09"/>
    </w:rPr>
    <w:tblPr>
      <w:tblStyle w:val="32"/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Style w:val="32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32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Style w:val="32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32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Style w:val="32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32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Style w:val="32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32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Style w:val="32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32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Style w:val="32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32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Style w:val="32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>
        <w:tblStyle w:val="32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Style w:val="32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3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>
        <w:tblStyle w:val="32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BFBFBF"/>
      </w:tcPr>
    </w:tblStylePr>
    <w:tblStylePr w:type="band2Horz">
      <w:tblPr>
        <w:tblStyle w:val="32"/>
      </w:tbl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Style w:val="32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3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>
        <w:tblStyle w:val="32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blPr>
        <w:tblStyle w:val="32"/>
      </w:tbl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Style w:val="32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3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>
        <w:tblStyle w:val="32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3"/>
      </w:tcPr>
    </w:tblStylePr>
    <w:tblStylePr w:type="band2Horz">
      <w:tblPr>
        <w:tblStyle w:val="32"/>
      </w:tblPr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Style w:val="32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3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>
        <w:tblStyle w:val="32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>
        <w:tblStyle w:val="32"/>
      </w:tblPr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Style w:val="32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3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>
        <w:tblStyle w:val="32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>
        <w:tblStyle w:val="32"/>
      </w:tblPr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Style w:val="32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3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>
        <w:tblStyle w:val="32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0"/>
      </w:tcPr>
    </w:tblStylePr>
    <w:tblStylePr w:type="band2Horz">
      <w:tblPr>
        <w:tblStyle w:val="32"/>
      </w:tblPr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Style w:val="32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Calibri" w:hAnsi="Calibri" w:eastAsia="MS Gothic" w:cs="Times New Roman"/>
        <w:b/>
        <w:bCs/>
      </w:rPr>
      <w:tblPr>
        <w:tblStyle w:val="32"/>
      </w:tblPr>
    </w:tblStylePr>
    <w:tblStylePr w:type="lastCol">
      <w:rPr>
        <w:rFonts w:ascii="Calibri" w:hAnsi="Calibri" w:eastAsia="MS Gothic" w:cs="Times New Roman"/>
        <w:b/>
        <w:bCs/>
      </w:rPr>
      <w:tblPr>
        <w:tblStyle w:val="32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>
        <w:tblStyle w:val="32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5D1"/>
      </w:tcPr>
    </w:tblStylePr>
    <w:tblStylePr w:type="band2Horz">
      <w:tblPr>
        <w:tblStyle w:val="32"/>
      </w:tblPr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Style w:val="32"/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3F3F3F" w:sz="8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3F3F3F" w:sz="6" w:space="0"/>
          <w:left w:val="single" w:color="3F3F3F" w:sz="8" w:space="0"/>
          <w:bottom w:val="single" w:color="3F3F3F" w:sz="8" w:space="0"/>
          <w:right w:val="single" w:color="3F3F3F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BFBFBF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2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Style w:val="32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D3DFEE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2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Style w:val="32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EFD3D3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2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Style w:val="32"/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B4CC82" w:sz="8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B4CC82" w:sz="6" w:space="0"/>
          <w:left w:val="single" w:color="B4CC82" w:sz="8" w:space="0"/>
          <w:bottom w:val="single" w:color="B4CC82" w:sz="8" w:space="0"/>
          <w:right w:val="single" w:color="B4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E6EED5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2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Style w:val="32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DFD8E8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2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Style w:val="32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D2EAF0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2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Style w:val="32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>
        <w:tblStyle w:val="32"/>
      </w:tblPr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FDE5D1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2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Style w:val="32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3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32"/>
      </w:tblPr>
      <w:tcPr>
        <w:shd w:val="clear" w:color="auto" w:fill="D7D7D7"/>
      </w:tcPr>
    </w:tblStylePr>
    <w:tblStylePr w:type="neCell"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Style w:val="32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3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32"/>
      </w:tblPr>
      <w:tcPr>
        <w:shd w:val="clear" w:color="auto" w:fill="D7D7D7"/>
      </w:tcPr>
    </w:tblStylePr>
    <w:tblStylePr w:type="neCell"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Style w:val="32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3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32"/>
      </w:tblPr>
      <w:tcPr>
        <w:shd w:val="clear" w:color="auto" w:fill="D7D7D7"/>
      </w:tcPr>
    </w:tblStylePr>
    <w:tblStylePr w:type="neCell"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Style w:val="32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3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32"/>
      </w:tblPr>
      <w:tcPr>
        <w:shd w:val="clear" w:color="auto" w:fill="D7D7D7"/>
      </w:tcPr>
    </w:tblStylePr>
    <w:tblStylePr w:type="neCell"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Style w:val="32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3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32"/>
      </w:tblPr>
      <w:tcPr>
        <w:shd w:val="clear" w:color="auto" w:fill="D7D7D7"/>
      </w:tcPr>
    </w:tblStylePr>
    <w:tblStylePr w:type="neCell"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Style w:val="32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3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32"/>
      </w:tblPr>
      <w:tcPr>
        <w:shd w:val="clear" w:color="auto" w:fill="D7D7D7"/>
      </w:tcPr>
    </w:tblStylePr>
    <w:tblStylePr w:type="neCell"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Style w:val="32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>
        <w:tblStyle w:val="32"/>
      </w:tbl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7D7D7"/>
      </w:tcPr>
    </w:tblStylePr>
    <w:tblStylePr w:type="band1Horz">
      <w:tblPr>
        <w:tblStyle w:val="32"/>
      </w:tblPr>
      <w:tcPr>
        <w:shd w:val="clear" w:color="auto" w:fill="D7D7D7"/>
      </w:tcPr>
    </w:tblStylePr>
    <w:tblStylePr w:type="neCell"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>
        <w:tblStyle w:val="32"/>
      </w:tbl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/>
    </w:rPr>
    <w:tblPr>
      <w:tblStyle w:val="32"/>
      <w:tblBorders>
        <w:top w:val="single" w:color="000000" w:sz="8" w:space="0"/>
        <w:bottom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>
        <w:tblStyle w:val="32"/>
      </w:tbl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32"/>
      </w:tbl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shd w:val="clear" w:color="auto" w:fill="BFBFBF"/>
      </w:tcPr>
    </w:tblStylePr>
    <w:tblStylePr w:type="band1Horz">
      <w:tblPr>
        <w:tblStyle w:val="32"/>
      </w:tblPr>
      <w:tcPr>
        <w:shd w:val="clear" w:color="auto" w:fill="BFBFB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/>
    </w:rPr>
    <w:tblPr>
      <w:tblStyle w:val="32"/>
      <w:tblBorders>
        <w:top w:val="single" w:color="4F81BD" w:sz="8" w:space="0"/>
        <w:bottom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>
        <w:tblStyle w:val="32"/>
      </w:tbl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32"/>
      </w:tbl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shd w:val="clear" w:color="auto" w:fill="D3DFEE"/>
      </w:tcPr>
    </w:tblStylePr>
    <w:tblStylePr w:type="band1Horz">
      <w:tblPr>
        <w:tblStyle w:val="32"/>
      </w:tblPr>
      <w:tcPr>
        <w:shd w:val="clear" w:color="auto" w:fill="D3DFEE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/>
    </w:rPr>
    <w:tblPr>
      <w:tblStyle w:val="32"/>
      <w:tblBorders>
        <w:top w:val="single" w:color="C0504D" w:sz="8" w:space="0"/>
        <w:bottom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>
        <w:tblStyle w:val="32"/>
      </w:tblPr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32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shd w:val="clear" w:color="auto" w:fill="EFD3D3"/>
      </w:tcPr>
    </w:tblStylePr>
    <w:tblStylePr w:type="band1Horz">
      <w:tblPr>
        <w:tblStyle w:val="32"/>
      </w:tblPr>
      <w:tcPr>
        <w:shd w:val="clear" w:color="auto" w:fill="EFD3D3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/>
    </w:rPr>
    <w:tblPr>
      <w:tblStyle w:val="32"/>
      <w:tblBorders>
        <w:top w:val="single" w:color="9BBB59" w:sz="8" w:space="0"/>
        <w:bottom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>
        <w:tblStyle w:val="32"/>
      </w:tblPr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32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shd w:val="clear" w:color="auto" w:fill="E6EED5"/>
      </w:tcPr>
    </w:tblStylePr>
    <w:tblStylePr w:type="band1Horz">
      <w:tblPr>
        <w:tblStyle w:val="32"/>
      </w:tblPr>
      <w:tcPr>
        <w:shd w:val="clear" w:color="auto" w:fill="E6EED5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/>
    </w:rPr>
    <w:tblPr>
      <w:tblStyle w:val="32"/>
      <w:tblBorders>
        <w:top w:val="single" w:color="8064A2" w:sz="8" w:space="0"/>
        <w:bottom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>
        <w:tblStyle w:val="32"/>
      </w:tblPr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32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shd w:val="clear" w:color="auto" w:fill="DFD8E8"/>
      </w:tcPr>
    </w:tblStylePr>
    <w:tblStylePr w:type="band1Horz">
      <w:tblPr>
        <w:tblStyle w:val="32"/>
      </w:tblPr>
      <w:tcPr>
        <w:shd w:val="clear" w:color="auto" w:fill="DFD8E8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/>
    </w:rPr>
    <w:tblPr>
      <w:tblStyle w:val="32"/>
      <w:tblBorders>
        <w:top w:val="single" w:color="4BACC6" w:sz="8" w:space="0"/>
        <w:bottom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>
        <w:tblStyle w:val="32"/>
      </w:tblPr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32"/>
      </w:tbl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shd w:val="clear" w:color="auto" w:fill="D2EAF0"/>
      </w:tcPr>
    </w:tblStylePr>
    <w:tblStylePr w:type="band1Horz">
      <w:tblPr>
        <w:tblStyle w:val="32"/>
      </w:tblPr>
      <w:tcPr>
        <w:shd w:val="clear" w:color="auto" w:fill="D2EAF0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/>
    </w:rPr>
    <w:tblPr>
      <w:tblStyle w:val="32"/>
      <w:tblBorders>
        <w:top w:val="single" w:color="F79646" w:sz="8" w:space="0"/>
        <w:bottom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="Calibri" w:hAnsi="Calibri" w:eastAsia="MS Gothic" w:cs="Times New Roman"/>
      </w:rPr>
      <w:tblPr>
        <w:tblStyle w:val="32"/>
      </w:tblPr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>
        <w:tblStyle w:val="32"/>
      </w:tbl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>
        <w:tblStyle w:val="32"/>
      </w:tblPr>
      <w:tcPr>
        <w:shd w:val="clear" w:color="auto" w:fill="FDE5D1"/>
      </w:tcPr>
    </w:tblStylePr>
    <w:tblStylePr w:type="band1Horz">
      <w:tblPr>
        <w:tblStyle w:val="32"/>
      </w:tblPr>
      <w:tcPr>
        <w:shd w:val="clear" w:color="auto" w:fill="FDE5D1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Style w:val="32"/>
      </w:tbl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32"/>
      </w:tblPr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32"/>
      </w:tblPr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nwCell">
      <w:tblPr>
        <w:tblStyle w:val="32"/>
      </w:tblPr>
      <w:tcPr>
        <w:shd w:val="clear" w:color="auto" w:fill="FFFFFF"/>
      </w:tcPr>
    </w:tblStylePr>
    <w:tblStylePr w:type="swCell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Style w:val="32"/>
      </w:tblPr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32"/>
      </w:tblPr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32"/>
      </w:tblPr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nwCell">
      <w:tblPr>
        <w:tblStyle w:val="32"/>
      </w:tblPr>
      <w:tcPr>
        <w:shd w:val="clear" w:color="auto" w:fill="FFFFFF"/>
      </w:tcPr>
    </w:tblStylePr>
    <w:tblStylePr w:type="swCell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Style w:val="32"/>
      </w:tbl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32"/>
      </w:tblPr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32"/>
      </w:tblPr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nwCell">
      <w:tblPr>
        <w:tblStyle w:val="32"/>
      </w:tblPr>
      <w:tcPr>
        <w:shd w:val="clear" w:color="auto" w:fill="FFFFFF"/>
      </w:tcPr>
    </w:tblStylePr>
    <w:tblStylePr w:type="swCell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Style w:val="32"/>
      </w:tblPr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32"/>
      </w:tblPr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32"/>
      </w:tblPr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nwCell">
      <w:tblPr>
        <w:tblStyle w:val="32"/>
      </w:tblPr>
      <w:tcPr>
        <w:shd w:val="clear" w:color="auto" w:fill="FFFFFF"/>
      </w:tcPr>
    </w:tblStylePr>
    <w:tblStylePr w:type="swCell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Style w:val="32"/>
      </w:tblPr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32"/>
      </w:tblPr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32"/>
      </w:tblPr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nwCell">
      <w:tblPr>
        <w:tblStyle w:val="32"/>
      </w:tblPr>
      <w:tcPr>
        <w:shd w:val="clear" w:color="auto" w:fill="FFFFFF"/>
      </w:tcPr>
    </w:tblStylePr>
    <w:tblStylePr w:type="swCell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Style w:val="32"/>
      </w:tblPr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32"/>
      </w:tblPr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32"/>
      </w:tblPr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nwCell">
      <w:tblPr>
        <w:tblStyle w:val="32"/>
      </w:tblPr>
      <w:tcPr>
        <w:shd w:val="clear" w:color="auto" w:fill="FFFFFF"/>
      </w:tcPr>
    </w:tblStylePr>
    <w:tblStylePr w:type="swCell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>
        <w:tblStyle w:val="32"/>
      </w:tblPr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>
        <w:tblStyle w:val="32"/>
      </w:tblPr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>
        <w:tblStyle w:val="32"/>
      </w:tblPr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nwCell">
      <w:tblPr>
        <w:tblStyle w:val="32"/>
      </w:tblPr>
      <w:tcPr>
        <w:shd w:val="clear" w:color="auto" w:fill="FFFFFF"/>
      </w:tcPr>
    </w:tblStylePr>
    <w:tblStylePr w:type="swCell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Style w:val="32"/>
      <w:tblBorders>
        <w:top w:val="single" w:color="3F3F3F" w:sz="8" w:space="0"/>
        <w:left w:val="single" w:color="3F3F3F" w:sz="8" w:space="0"/>
        <w:bottom w:val="single" w:color="3F3F3F" w:sz="8" w:space="0"/>
        <w:right w:val="single" w:color="3F3F3F" w:sz="8" w:space="0"/>
        <w:insideH w:val="single" w:color="3F3F3F" w:sz="8" w:space="0"/>
        <w:insideV w:val="single" w:color="3F3F3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</w:rPr>
      <w:tblPr>
        <w:tblStyle w:val="32"/>
      </w:tblPr>
    </w:tblStylePr>
    <w:tblStylePr w:type="lastRow">
      <w:rPr>
        <w:b/>
        <w:bCs/>
      </w:rPr>
      <w:tblPr>
        <w:tblStyle w:val="32"/>
      </w:tblPr>
      <w:tcPr>
        <w:tcBorders>
          <w:top w:val="single" w:color="3F3F3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7F7F7F"/>
      </w:tcPr>
    </w:tblStylePr>
    <w:tblStylePr w:type="band1Horz">
      <w:tblPr>
        <w:tblStyle w:val="32"/>
      </w:tblPr>
      <w:tcPr>
        <w:shd w:val="clear" w:color="auto" w:fill="7F7F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Style w:val="32"/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</w:rPr>
      <w:tblPr>
        <w:tblStyle w:val="32"/>
      </w:tblPr>
    </w:tblStylePr>
    <w:tblStylePr w:type="lastRow">
      <w:rPr>
        <w:b/>
        <w:bCs/>
      </w:rPr>
      <w:tblPr>
        <w:tblStyle w:val="32"/>
      </w:tblPr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A7C0DE"/>
      </w:tcPr>
    </w:tblStylePr>
    <w:tblStylePr w:type="band1Horz">
      <w:tblPr>
        <w:tblStyle w:val="32"/>
      </w:tblPr>
      <w:tcPr>
        <w:shd w:val="clear" w:color="auto" w:fill="A7C0DE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Style w:val="32"/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</w:rPr>
      <w:tblPr>
        <w:tblStyle w:val="32"/>
      </w:tblPr>
    </w:tblStylePr>
    <w:tblStylePr w:type="lastRow">
      <w:rPr>
        <w:b/>
        <w:bCs/>
      </w:rPr>
      <w:tblPr>
        <w:tblStyle w:val="32"/>
      </w:tblPr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DFA7A6"/>
      </w:tcPr>
    </w:tblStylePr>
    <w:tblStylePr w:type="band1Horz">
      <w:tblPr>
        <w:tblStyle w:val="32"/>
      </w:tblPr>
      <w:tcPr>
        <w:shd w:val="clear" w:color="auto" w:fill="DFA7A6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Style w:val="32"/>
      <w:tblBorders>
        <w:top w:val="single" w:color="B4CC82" w:sz="8" w:space="0"/>
        <w:left w:val="single" w:color="B4CC82" w:sz="8" w:space="0"/>
        <w:bottom w:val="single" w:color="B4CC82" w:sz="8" w:space="0"/>
        <w:right w:val="single" w:color="B4CC82" w:sz="8" w:space="0"/>
        <w:insideH w:val="single" w:color="B4CC82" w:sz="8" w:space="0"/>
        <w:insideV w:val="single" w:color="B4CC8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</w:rPr>
      <w:tblPr>
        <w:tblStyle w:val="32"/>
      </w:tblPr>
    </w:tblStylePr>
    <w:tblStylePr w:type="lastRow">
      <w:rPr>
        <w:b/>
        <w:bCs/>
      </w:rPr>
      <w:tblPr>
        <w:tblStyle w:val="32"/>
      </w:tblPr>
      <w:tcPr>
        <w:tcBorders>
          <w:top w:val="single" w:color="B4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CDDDAC"/>
      </w:tcPr>
    </w:tblStylePr>
    <w:tblStylePr w:type="band1Horz">
      <w:tblPr>
        <w:tblStyle w:val="32"/>
      </w:tblPr>
      <w:tcPr>
        <w:shd w:val="clear" w:color="auto" w:fill="CDDDAC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Style w:val="32"/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</w:rPr>
      <w:tblPr>
        <w:tblStyle w:val="32"/>
      </w:tblPr>
    </w:tblStylePr>
    <w:tblStylePr w:type="lastRow">
      <w:rPr>
        <w:b/>
        <w:bCs/>
      </w:rPr>
      <w:tblPr>
        <w:tblStyle w:val="32"/>
      </w:tblPr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BFB1D0"/>
      </w:tcPr>
    </w:tblStylePr>
    <w:tblStylePr w:type="band1Horz">
      <w:tblPr>
        <w:tblStyle w:val="32"/>
      </w:tblPr>
      <w:tcPr>
        <w:shd w:val="clear" w:color="auto" w:fill="BFB1D0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Style w:val="32"/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</w:rPr>
      <w:tblPr>
        <w:tblStyle w:val="32"/>
      </w:tblPr>
    </w:tblStylePr>
    <w:tblStylePr w:type="lastRow">
      <w:rPr>
        <w:b/>
        <w:bCs/>
      </w:rPr>
      <w:tblPr>
        <w:tblStyle w:val="32"/>
      </w:tblPr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A5D5E2"/>
      </w:tcPr>
    </w:tblStylePr>
    <w:tblStylePr w:type="band1Horz">
      <w:tblPr>
        <w:tblStyle w:val="32"/>
      </w:tblPr>
      <w:tcPr>
        <w:shd w:val="clear" w:color="auto" w:fill="A5D5E2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Style w:val="32"/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</w:rPr>
      <w:tblPr>
        <w:tblStyle w:val="32"/>
      </w:tblPr>
    </w:tblStylePr>
    <w:tblStylePr w:type="lastRow">
      <w:rPr>
        <w:b/>
        <w:bCs/>
      </w:rPr>
      <w:tblPr>
        <w:tblStyle w:val="32"/>
      </w:tblPr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shd w:val="clear" w:color="auto" w:fill="FBCAA2"/>
      </w:tcPr>
    </w:tblStylePr>
    <w:tblStylePr w:type="band1Horz">
      <w:tblPr>
        <w:tblStyle w:val="32"/>
      </w:tblPr>
      <w:tcPr>
        <w:shd w:val="clear" w:color="auto" w:fill="FBCAA2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color w:val="000000"/>
      </w:rPr>
      <w:tblPr>
        <w:tblStyle w:val="32"/>
      </w:tblPr>
      <w:tcPr>
        <w:shd w:val="clear" w:color="auto" w:fill="E5E5E5"/>
      </w:tcPr>
    </w:tblStylePr>
    <w:tblStylePr w:type="lastRow">
      <w:rPr>
        <w:b/>
        <w:bCs/>
        <w:color w:val="000000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CCCCC"/>
      </w:tcPr>
    </w:tblStylePr>
    <w:tblStylePr w:type="band1Vert">
      <w:tblPr>
        <w:tblStyle w:val="32"/>
      </w:tblPr>
      <w:tcPr>
        <w:shd w:val="clear" w:color="auto" w:fill="7F7F7F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7F7F7F"/>
      </w:tcPr>
    </w:tblStylePr>
    <w:tblStylePr w:type="nwCell">
      <w:tblPr>
        <w:tblStyle w:val="32"/>
      </w:tblPr>
      <w:tcPr>
        <w:shd w:val="clear" w:color="auto" w:fill="FFFFFF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color w:val="000000"/>
      </w:rPr>
      <w:tblPr>
        <w:tblStyle w:val="32"/>
      </w:tblPr>
      <w:tcPr>
        <w:shd w:val="clear" w:color="auto" w:fill="EDF2F8"/>
      </w:tcPr>
    </w:tblStylePr>
    <w:tblStylePr w:type="lastRow">
      <w:rPr>
        <w:b/>
        <w:bCs/>
        <w:color w:val="000000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BE5F1"/>
      </w:tcPr>
    </w:tblStylePr>
    <w:tblStylePr w:type="band1Vert">
      <w:tblPr>
        <w:tblStyle w:val="32"/>
      </w:tblPr>
      <w:tcPr>
        <w:shd w:val="clear" w:color="auto" w:fill="A7C0DE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C0DE"/>
      </w:tcPr>
    </w:tblStylePr>
    <w:tblStylePr w:type="nwCell">
      <w:tblPr>
        <w:tblStyle w:val="32"/>
      </w:tblPr>
      <w:tcPr>
        <w:shd w:val="clear" w:color="auto" w:fill="FFFFFF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color w:val="000000"/>
      </w:rPr>
      <w:tblPr>
        <w:tblStyle w:val="32"/>
      </w:tblPr>
      <w:tcPr>
        <w:shd w:val="clear" w:color="auto" w:fill="F8EDED"/>
      </w:tcPr>
    </w:tblStylePr>
    <w:tblStylePr w:type="lastRow">
      <w:rPr>
        <w:b/>
        <w:bCs/>
        <w:color w:val="000000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2DBDB"/>
      </w:tcPr>
    </w:tblStylePr>
    <w:tblStylePr w:type="band1Vert">
      <w:tblPr>
        <w:tblStyle w:val="32"/>
      </w:tblPr>
      <w:tcPr>
        <w:shd w:val="clear" w:color="auto" w:fill="DFA7A6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>
        <w:tblStyle w:val="32"/>
      </w:tblPr>
      <w:tcPr>
        <w:shd w:val="clear" w:color="auto" w:fill="FFFFFF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color w:val="000000"/>
      </w:rPr>
      <w:tblPr>
        <w:tblStyle w:val="32"/>
      </w:tblPr>
      <w:tcPr>
        <w:shd w:val="clear" w:color="auto" w:fill="F5F8EE"/>
      </w:tcPr>
    </w:tblStylePr>
    <w:tblStylePr w:type="lastRow">
      <w:rPr>
        <w:b/>
        <w:bCs/>
        <w:color w:val="000000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AF1DD"/>
      </w:tcPr>
    </w:tblStylePr>
    <w:tblStylePr w:type="band1Vert">
      <w:tblPr>
        <w:tblStyle w:val="32"/>
      </w:tblPr>
      <w:tcPr>
        <w:shd w:val="clear" w:color="auto" w:fill="CDDDAC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>
        <w:tblStyle w:val="32"/>
      </w:tblPr>
      <w:tcPr>
        <w:shd w:val="clear" w:color="auto" w:fill="FFFFFF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color w:val="000000"/>
      </w:rPr>
      <w:tblPr>
        <w:tblStyle w:val="32"/>
      </w:tblPr>
      <w:tcPr>
        <w:shd w:val="clear" w:color="auto" w:fill="F2EFF5"/>
      </w:tcPr>
    </w:tblStylePr>
    <w:tblStylePr w:type="lastRow">
      <w:rPr>
        <w:b/>
        <w:bCs/>
        <w:color w:val="000000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5DFEC"/>
      </w:tcPr>
    </w:tblStylePr>
    <w:tblStylePr w:type="band1Vert">
      <w:tblPr>
        <w:tblStyle w:val="32"/>
      </w:tblPr>
      <w:tcPr>
        <w:shd w:val="clear" w:color="auto" w:fill="BFB1D0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>
        <w:tblStyle w:val="32"/>
      </w:tblPr>
      <w:tcPr>
        <w:shd w:val="clear" w:color="auto" w:fill="FFFFFF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color w:val="000000"/>
      </w:rPr>
      <w:tblPr>
        <w:tblStyle w:val="32"/>
      </w:tblPr>
      <w:tcPr>
        <w:shd w:val="clear" w:color="auto" w:fill="EDF6F9"/>
      </w:tcPr>
    </w:tblStylePr>
    <w:tblStylePr w:type="lastRow">
      <w:rPr>
        <w:b/>
        <w:bCs/>
        <w:color w:val="000000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AEEF3"/>
      </w:tcPr>
    </w:tblStylePr>
    <w:tblStylePr w:type="band1Vert">
      <w:tblPr>
        <w:tblStyle w:val="32"/>
      </w:tblPr>
      <w:tcPr>
        <w:shd w:val="clear" w:color="auto" w:fill="A5D5E2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>
        <w:tblStyle w:val="32"/>
      </w:tblPr>
      <w:tcPr>
        <w:shd w:val="clear" w:color="auto" w:fill="FFFFFF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="Calibri" w:hAnsi="Calibri" w:eastAsia="MS Gothic" w:cs="Times New Roman"/>
      <w:color w:val="000000"/>
    </w:rPr>
    <w:tblPr>
      <w:tblStyle w:val="32"/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color w:val="000000"/>
      </w:rPr>
      <w:tblPr>
        <w:tblStyle w:val="32"/>
      </w:tblPr>
      <w:tcPr>
        <w:shd w:val="clear" w:color="auto" w:fill="FEF4EC"/>
      </w:tcPr>
    </w:tblStylePr>
    <w:tblStylePr w:type="lastRow">
      <w:rPr>
        <w:b/>
        <w:bCs/>
        <w:color w:val="000000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9D9"/>
      </w:tcPr>
    </w:tblStylePr>
    <w:tblStylePr w:type="band1Vert">
      <w:tblPr>
        <w:tblStyle w:val="32"/>
      </w:tblPr>
      <w:tcPr>
        <w:shd w:val="clear" w:color="auto" w:fill="FBCAA2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>
        <w:tblStyle w:val="32"/>
      </w:tblPr>
      <w:tcPr>
        <w:shd w:val="clear" w:color="auto" w:fill="FFFFFF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Style w:val="3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/>
    </w:tcPr>
    <w:tblStylePr w:type="fir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7F7F7F"/>
      </w:tcPr>
    </w:tblStylePr>
    <w:tblStylePr w:type="band1Horz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7F7F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Style w:val="3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C0DE"/>
      </w:tcPr>
    </w:tblStylePr>
    <w:tblStylePr w:type="band1Horz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C0DE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Style w:val="3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/>
    </w:tcPr>
    <w:tblStylePr w:type="fir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Style w:val="3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Style w:val="3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Style w:val="3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/>
    </w:tcPr>
    <w:tblStylePr w:type="fir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Style w:val="32"/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/>
    </w:tcPr>
    <w:tblStylePr w:type="fir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>
        <w:tblStyle w:val="32"/>
      </w:tbl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>
        <w:tblStyle w:val="32"/>
      </w:tbl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>
        <w:tblStyle w:val="32"/>
      </w:tblPr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3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>
        <w:tblStyle w:val="3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3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1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lastCol">
      <w:tblPr>
        <w:tblStyle w:val="3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6091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3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lastCol">
      <w:tblPr>
        <w:tblStyle w:val="3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734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3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7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>
        <w:tblStyle w:val="3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3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051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>
        <w:tblStyle w:val="3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3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>
        <w:tblStyle w:val="3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>
        <w:tblStyle w:val="32"/>
      </w:tblPr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>
        <w:tblStyle w:val="32"/>
      </w:tblPr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lastCol">
      <w:tblPr>
        <w:tblStyle w:val="32"/>
      </w:tblPr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  <w:tblStylePr w:type="band1Horz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9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/>
    </w:rPr>
    <w:tblPr>
      <w:tblStyle w:val="32"/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3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>
        <w:tblStyle w:val="32"/>
      </w:tblPr>
      <w:tcPr>
        <w:shd w:val="clear" w:color="auto" w:fill="999999"/>
      </w:tcPr>
    </w:tblStylePr>
    <w:tblStylePr w:type="band1Horz">
      <w:tblPr>
        <w:tblStyle w:val="32"/>
      </w:tblPr>
      <w:tcPr>
        <w:shd w:val="clear" w:color="auto" w:fill="7F7F7F"/>
      </w:tcPr>
    </w:tblStylePr>
    <w:tblStylePr w:type="neCell">
      <w:rPr>
        <w:color w:val="000000"/>
      </w:rPr>
      <w:tblPr>
        <w:tblStyle w:val="32"/>
      </w:tblPr>
    </w:tblStylePr>
    <w:tblStylePr w:type="nwCell">
      <w:rPr>
        <w:color w:val="000000"/>
      </w:rPr>
      <w:tblPr>
        <w:tblStyle w:val="32"/>
      </w:tbl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/>
    </w:rPr>
    <w:tblPr>
      <w:tblStyle w:val="32"/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3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fir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B4D74"/>
      </w:tcPr>
    </w:tblStylePr>
    <w:tblStylePr w:type="la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B4D74"/>
      </w:tcPr>
    </w:tblStylePr>
    <w:tblStylePr w:type="band1Vert">
      <w:tblPr>
        <w:tblStyle w:val="32"/>
      </w:tblPr>
      <w:tcPr>
        <w:shd w:val="clear" w:color="auto" w:fill="B8CCE4"/>
      </w:tcPr>
    </w:tblStylePr>
    <w:tblStylePr w:type="band1Horz">
      <w:tblPr>
        <w:tblStyle w:val="32"/>
      </w:tblPr>
      <w:tcPr>
        <w:shd w:val="clear" w:color="auto" w:fill="A7C0DE"/>
      </w:tcPr>
    </w:tblStylePr>
    <w:tblStylePr w:type="neCell">
      <w:rPr>
        <w:color w:val="000000"/>
      </w:rPr>
      <w:tblPr>
        <w:tblStyle w:val="32"/>
      </w:tblPr>
    </w:tblStylePr>
    <w:tblStylePr w:type="nwCell">
      <w:rPr>
        <w:color w:val="000000"/>
      </w:rPr>
      <w:tblPr>
        <w:tblStyle w:val="32"/>
      </w:tbl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/>
    </w:rPr>
    <w:tblPr>
      <w:tblStyle w:val="32"/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3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band1Vert">
      <w:tblPr>
        <w:tblStyle w:val="32"/>
      </w:tblPr>
      <w:tcPr>
        <w:shd w:val="clear" w:color="auto" w:fill="E5B8B7"/>
      </w:tcPr>
    </w:tblStylePr>
    <w:tblStylePr w:type="band1Horz">
      <w:tblPr>
        <w:tblStyle w:val="32"/>
      </w:tblPr>
      <w:tcPr>
        <w:shd w:val="clear" w:color="auto" w:fill="DFA7A6"/>
      </w:tcPr>
    </w:tblStylePr>
    <w:tblStylePr w:type="neCell">
      <w:rPr>
        <w:color w:val="000000"/>
      </w:rPr>
      <w:tblPr>
        <w:tblStyle w:val="32"/>
      </w:tblPr>
    </w:tblStylePr>
    <w:tblStylePr w:type="nwCell">
      <w:rPr>
        <w:color w:val="000000"/>
      </w:rPr>
      <w:tblPr>
        <w:tblStyle w:val="32"/>
      </w:tbl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/>
    </w:rPr>
    <w:tblPr>
      <w:tblStyle w:val="32"/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3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band1Vert">
      <w:tblPr>
        <w:tblStyle w:val="32"/>
      </w:tblPr>
      <w:tcPr>
        <w:shd w:val="clear" w:color="auto" w:fill="D6E3BC"/>
      </w:tcPr>
    </w:tblStylePr>
    <w:tblStylePr w:type="band1Horz">
      <w:tblPr>
        <w:tblStyle w:val="32"/>
      </w:tblPr>
      <w:tcPr>
        <w:shd w:val="clear" w:color="auto" w:fill="CDDDAC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/>
    </w:rPr>
    <w:tblPr>
      <w:tblStyle w:val="32"/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3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fir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A62"/>
      </w:tcPr>
    </w:tblStylePr>
    <w:tblStylePr w:type="la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A62"/>
      </w:tcPr>
    </w:tblStylePr>
    <w:tblStylePr w:type="band1Vert">
      <w:tblPr>
        <w:tblStyle w:val="32"/>
      </w:tblPr>
      <w:tcPr>
        <w:shd w:val="clear" w:color="auto" w:fill="CCC0D9"/>
      </w:tcPr>
    </w:tblStylePr>
    <w:tblStylePr w:type="band1Horz">
      <w:tblPr>
        <w:tblStyle w:val="32"/>
      </w:tblPr>
      <w:tcPr>
        <w:shd w:val="clear" w:color="auto" w:fill="BFB1D0"/>
      </w:tcPr>
    </w:tblStylePr>
    <w:tblStylePr w:type="neCell">
      <w:rPr>
        <w:color w:val="000000"/>
      </w:rPr>
      <w:tblPr>
        <w:tblStyle w:val="32"/>
      </w:tblPr>
    </w:tblStylePr>
    <w:tblStylePr w:type="nwCell">
      <w:rPr>
        <w:color w:val="000000"/>
      </w:rPr>
      <w:tblPr>
        <w:tblStyle w:val="32"/>
      </w:tbl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/>
    </w:rPr>
    <w:tblPr>
      <w:tblStyle w:val="32"/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3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band1Vert">
      <w:tblPr>
        <w:tblStyle w:val="32"/>
      </w:tblPr>
      <w:tcPr>
        <w:shd w:val="clear" w:color="auto" w:fill="B6DDE8"/>
      </w:tcPr>
    </w:tblStylePr>
    <w:tblStylePr w:type="band1Horz">
      <w:tblPr>
        <w:tblStyle w:val="32"/>
      </w:tblPr>
      <w:tcPr>
        <w:shd w:val="clear" w:color="auto" w:fill="A5D5E2"/>
      </w:tcPr>
    </w:tblStylePr>
    <w:tblStylePr w:type="neCell">
      <w:rPr>
        <w:color w:val="000000"/>
      </w:rPr>
      <w:tblPr>
        <w:tblStyle w:val="32"/>
      </w:tblPr>
    </w:tblStylePr>
    <w:tblStylePr w:type="nwCell">
      <w:rPr>
        <w:color w:val="000000"/>
      </w:rPr>
      <w:tblPr>
        <w:tblStyle w:val="32"/>
      </w:tbl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/>
    </w:rPr>
    <w:tblPr>
      <w:tblStyle w:val="32"/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</w:rPr>
      <w:tblPr>
        <w:tblStyle w:val="32"/>
      </w:tblPr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>
        <w:tblStyle w:val="32"/>
      </w:tbl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fir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7"/>
      </w:tcPr>
    </w:tblStylePr>
    <w:tblStylePr w:type="lastCol">
      <w:rPr>
        <w:color w:val="FFFFFF"/>
      </w:rPr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7"/>
      </w:tcPr>
    </w:tblStylePr>
    <w:tblStylePr w:type="band1Vert">
      <w:tblPr>
        <w:tblStyle w:val="32"/>
      </w:tblPr>
      <w:tcPr>
        <w:shd w:val="clear" w:color="auto" w:fill="FBD4B4"/>
      </w:tcPr>
    </w:tblStylePr>
    <w:tblStylePr w:type="band1Horz">
      <w:tblPr>
        <w:tblStyle w:val="32"/>
      </w:tblPr>
      <w:tcPr>
        <w:shd w:val="clear" w:color="auto" w:fill="FBCAA2"/>
      </w:tcPr>
    </w:tblStylePr>
    <w:tblStylePr w:type="neCell">
      <w:rPr>
        <w:color w:val="000000"/>
      </w:rPr>
      <w:tblPr>
        <w:tblStyle w:val="32"/>
      </w:tblPr>
    </w:tblStylePr>
    <w:tblStylePr w:type="nwCell">
      <w:rPr>
        <w:color w:val="000000"/>
      </w:rPr>
      <w:tblPr>
        <w:tblStyle w:val="32"/>
      </w:tbl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/>
    </w:tcPr>
    <w:tblStylePr w:type="firstRow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FBFBF"/>
      </w:tcPr>
    </w:tblStylePr>
    <w:tblStylePr w:type="band1Horz">
      <w:tblPr>
        <w:tblStyle w:val="32"/>
      </w:tblPr>
      <w:tcPr>
        <w:shd w:val="clear" w:color="auto" w:fill="CCCCCC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/>
    </w:tcPr>
    <w:tblStylePr w:type="firstRow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>
        <w:tblStyle w:val="32"/>
      </w:tblPr>
      <w:tcPr>
        <w:shd w:val="clear" w:color="auto" w:fill="DBE5F1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/>
    </w:tcPr>
    <w:tblStylePr w:type="firstRow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FD3D3"/>
      </w:tcPr>
    </w:tblStylePr>
    <w:tblStylePr w:type="band1Horz">
      <w:tblPr>
        <w:tblStyle w:val="32"/>
      </w:tblPr>
      <w:tcPr>
        <w:shd w:val="clear" w:color="auto" w:fill="F2DBDB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/>
    </w:tcPr>
    <w:tblStylePr w:type="firstRow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>
        <w:tblStyle w:val="32"/>
      </w:tblPr>
      <w:tcPr>
        <w:shd w:val="clear" w:color="auto" w:fill="EAF1DD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/>
    </w:tcPr>
    <w:tblStylePr w:type="firstRow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>
        <w:tblStyle w:val="32"/>
      </w:tblPr>
      <w:tcPr>
        <w:shd w:val="clear" w:color="auto" w:fill="E5DFEC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/>
    </w:tcPr>
    <w:tblStylePr w:type="firstRow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3730A"/>
      </w:tcPr>
    </w:tblStylePr>
    <w:tblStylePr w:type="lastRow">
      <w:rPr>
        <w:b/>
        <w:bCs/>
        <w:color w:val="F3730A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D2EAF0"/>
      </w:tcPr>
    </w:tblStylePr>
    <w:tblStylePr w:type="band1Horz">
      <w:tblPr>
        <w:tblStyle w:val="32"/>
      </w:tblPr>
      <w:tcPr>
        <w:shd w:val="clear" w:color="auto" w:fill="DAEEF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/>
    </w:rPr>
    <w:tblPr>
      <w:tblStyle w:val="32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/>
    </w:tcPr>
    <w:tblStylePr w:type="firstRow">
      <w:rPr>
        <w:b/>
        <w:bCs/>
        <w:color w:val="FFFFFF"/>
      </w:rPr>
      <w:tblPr>
        <w:tblStyle w:val="32"/>
      </w:tbl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>
        <w:tblStyle w:val="32"/>
      </w:tbl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  <w:tblPr>
        <w:tblStyle w:val="32"/>
      </w:tblPr>
    </w:tblStylePr>
    <w:tblStylePr w:type="lastCol">
      <w:rPr>
        <w:b/>
        <w:bCs/>
      </w:rPr>
      <w:tblPr>
        <w:tblStyle w:val="32"/>
      </w:tblPr>
    </w:tblStylePr>
    <w:tblStylePr w:type="band1Vert">
      <w:tblPr>
        <w:tblStyle w:val="32"/>
      </w:tblPr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DE5D1"/>
      </w:tcPr>
    </w:tblStylePr>
    <w:tblStylePr w:type="band1Horz">
      <w:tblPr>
        <w:tblStyle w:val="32"/>
      </w:tblPr>
      <w:tcPr>
        <w:shd w:val="clear" w:color="auto" w:fill="FDE9D9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/>
    </w:rPr>
    <w:tblPr>
      <w:tblStyle w:val="32"/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/>
    </w:tcPr>
    <w:tblStylePr w:type="firstRow">
      <w:rPr>
        <w:b/>
        <w:bCs/>
      </w:rPr>
      <w:tblPr>
        <w:tblStyle w:val="32"/>
      </w:tblPr>
      <w:tcPr>
        <w:shd w:val="clear" w:color="auto" w:fill="999999"/>
      </w:tcPr>
    </w:tblStylePr>
    <w:tblStylePr w:type="lastRow">
      <w:rPr>
        <w:b/>
        <w:bCs/>
        <w:color w:val="000000"/>
      </w:rPr>
      <w:tblPr>
        <w:tblStyle w:val="32"/>
      </w:tblPr>
      <w:tcPr>
        <w:shd w:val="clear" w:color="auto" w:fill="999999"/>
      </w:tcPr>
    </w:tblStylePr>
    <w:tblStylePr w:type="firstCol">
      <w:rPr>
        <w:color w:val="FFFFFF"/>
      </w:rPr>
      <w:tblPr>
        <w:tblStyle w:val="32"/>
      </w:tblPr>
      <w:tcPr>
        <w:shd w:val="clear" w:color="auto" w:fill="000000"/>
      </w:tcPr>
    </w:tblStylePr>
    <w:tblStylePr w:type="lastCol">
      <w:rPr>
        <w:color w:val="FFFFFF"/>
      </w:rPr>
      <w:tblPr>
        <w:tblStyle w:val="32"/>
      </w:tblPr>
      <w:tcPr>
        <w:shd w:val="clear" w:color="auto" w:fill="000000"/>
      </w:tcPr>
    </w:tblStylePr>
    <w:tblStylePr w:type="band1Vert">
      <w:tblPr>
        <w:tblStyle w:val="32"/>
      </w:tblPr>
      <w:tcPr>
        <w:shd w:val="clear" w:color="auto" w:fill="7F7F7F"/>
      </w:tcPr>
    </w:tblStylePr>
    <w:tblStylePr w:type="band1Horz">
      <w:tblPr>
        <w:tblStyle w:val="32"/>
      </w:tblPr>
      <w:tcPr>
        <w:shd w:val="clear" w:color="auto" w:fill="7F7F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/>
    </w:rPr>
    <w:tblPr>
      <w:tblStyle w:val="32"/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/>
    </w:tcPr>
    <w:tblStylePr w:type="firstRow">
      <w:rPr>
        <w:b/>
        <w:bCs/>
      </w:rPr>
      <w:tblPr>
        <w:tblStyle w:val="32"/>
      </w:tblPr>
      <w:tcPr>
        <w:shd w:val="clear" w:color="auto" w:fill="B8CCE4"/>
      </w:tcPr>
    </w:tblStylePr>
    <w:tblStylePr w:type="lastRow">
      <w:rPr>
        <w:b/>
        <w:bCs/>
        <w:color w:val="000000"/>
      </w:rPr>
      <w:tblPr>
        <w:tblStyle w:val="32"/>
      </w:tblPr>
      <w:tcPr>
        <w:shd w:val="clear" w:color="auto" w:fill="B8CCE4"/>
      </w:tcPr>
    </w:tblStylePr>
    <w:tblStylePr w:type="firstCol">
      <w:rPr>
        <w:color w:val="FFFFFF"/>
      </w:rPr>
      <w:tblPr>
        <w:tblStyle w:val="32"/>
      </w:tblPr>
      <w:tcPr>
        <w:shd w:val="clear" w:color="auto" w:fill="366091"/>
      </w:tcPr>
    </w:tblStylePr>
    <w:tblStylePr w:type="lastCol">
      <w:rPr>
        <w:color w:val="FFFFFF"/>
      </w:rPr>
      <w:tblPr>
        <w:tblStyle w:val="32"/>
      </w:tblPr>
      <w:tcPr>
        <w:shd w:val="clear" w:color="auto" w:fill="366091"/>
      </w:tcPr>
    </w:tblStylePr>
    <w:tblStylePr w:type="band1Vert">
      <w:tblPr>
        <w:tblStyle w:val="32"/>
      </w:tblPr>
      <w:tcPr>
        <w:shd w:val="clear" w:color="auto" w:fill="A7C0DE"/>
      </w:tcPr>
    </w:tblStylePr>
    <w:tblStylePr w:type="band1Horz">
      <w:tblPr>
        <w:tblStyle w:val="32"/>
      </w:tblPr>
      <w:tcPr>
        <w:shd w:val="clear" w:color="auto" w:fill="A7C0DE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/>
    </w:rPr>
    <w:tblPr>
      <w:tblStyle w:val="32"/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/>
    </w:tcPr>
    <w:tblStylePr w:type="firstRow">
      <w:rPr>
        <w:b/>
        <w:bCs/>
      </w:rPr>
      <w:tblPr>
        <w:tblStyle w:val="32"/>
      </w:tblPr>
      <w:tcPr>
        <w:shd w:val="clear" w:color="auto" w:fill="E5B8B7"/>
      </w:tcPr>
    </w:tblStylePr>
    <w:tblStylePr w:type="lastRow">
      <w:rPr>
        <w:b/>
        <w:bCs/>
        <w:color w:val="000000"/>
      </w:rPr>
      <w:tblPr>
        <w:tblStyle w:val="32"/>
      </w:tblPr>
      <w:tcPr>
        <w:shd w:val="clear" w:color="auto" w:fill="E5B8B7"/>
      </w:tcPr>
    </w:tblStylePr>
    <w:tblStylePr w:type="firstCol">
      <w:rPr>
        <w:color w:val="FFFFFF"/>
      </w:rPr>
      <w:tblPr>
        <w:tblStyle w:val="32"/>
      </w:tblPr>
      <w:tcPr>
        <w:shd w:val="clear" w:color="auto" w:fill="943734"/>
      </w:tcPr>
    </w:tblStylePr>
    <w:tblStylePr w:type="lastCol">
      <w:rPr>
        <w:color w:val="FFFFFF"/>
      </w:rPr>
      <w:tblPr>
        <w:tblStyle w:val="32"/>
      </w:tblPr>
      <w:tcPr>
        <w:shd w:val="clear" w:color="auto" w:fill="943734"/>
      </w:tcPr>
    </w:tblStylePr>
    <w:tblStylePr w:type="band1Vert">
      <w:tblPr>
        <w:tblStyle w:val="32"/>
      </w:tblPr>
      <w:tcPr>
        <w:shd w:val="clear" w:color="auto" w:fill="DFA7A6"/>
      </w:tcPr>
    </w:tblStylePr>
    <w:tblStylePr w:type="band1Horz">
      <w:tblPr>
        <w:tblStyle w:val="32"/>
      </w:tblPr>
      <w:tcPr>
        <w:shd w:val="clear" w:color="auto" w:fill="DFA7A6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/>
    </w:rPr>
    <w:tblPr>
      <w:tblStyle w:val="32"/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/>
    </w:tcPr>
    <w:tblStylePr w:type="firstRow">
      <w:rPr>
        <w:b/>
        <w:bCs/>
      </w:rPr>
      <w:tblPr>
        <w:tblStyle w:val="32"/>
      </w:tblPr>
      <w:tcPr>
        <w:shd w:val="clear" w:color="auto" w:fill="D6E3BC"/>
      </w:tcPr>
    </w:tblStylePr>
    <w:tblStylePr w:type="lastRow">
      <w:rPr>
        <w:b/>
        <w:bCs/>
        <w:color w:val="000000"/>
      </w:rPr>
      <w:tblPr>
        <w:tblStyle w:val="32"/>
      </w:tblPr>
      <w:tcPr>
        <w:shd w:val="clear" w:color="auto" w:fill="D6E3BC"/>
      </w:tcPr>
    </w:tblStylePr>
    <w:tblStylePr w:type="firstCol">
      <w:rPr>
        <w:color w:val="FFFFFF"/>
      </w:rPr>
      <w:tblPr>
        <w:tblStyle w:val="32"/>
      </w:tblPr>
      <w:tcPr>
        <w:shd w:val="clear" w:color="auto" w:fill="76923C"/>
      </w:tcPr>
    </w:tblStylePr>
    <w:tblStylePr w:type="lastCol">
      <w:rPr>
        <w:color w:val="FFFFFF"/>
      </w:rPr>
      <w:tblPr>
        <w:tblStyle w:val="32"/>
      </w:tblPr>
      <w:tcPr>
        <w:shd w:val="clear" w:color="auto" w:fill="76923C"/>
      </w:tcPr>
    </w:tblStylePr>
    <w:tblStylePr w:type="band1Vert">
      <w:tblPr>
        <w:tblStyle w:val="32"/>
      </w:tblPr>
      <w:tcPr>
        <w:shd w:val="clear" w:color="auto" w:fill="CDDDAC"/>
      </w:tcPr>
    </w:tblStylePr>
    <w:tblStylePr w:type="band1Horz">
      <w:tblPr>
        <w:tblStyle w:val="32"/>
      </w:tblPr>
      <w:tcPr>
        <w:shd w:val="clear" w:color="auto" w:fill="CDDDAC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/>
    </w:rPr>
    <w:tblPr>
      <w:tblStyle w:val="32"/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/>
    </w:tcPr>
    <w:tblStylePr w:type="firstRow">
      <w:rPr>
        <w:b/>
        <w:bCs/>
      </w:rPr>
      <w:tblPr>
        <w:tblStyle w:val="32"/>
      </w:tblPr>
      <w:tcPr>
        <w:shd w:val="clear" w:color="auto" w:fill="CCC0D9"/>
      </w:tcPr>
    </w:tblStylePr>
    <w:tblStylePr w:type="lastRow">
      <w:rPr>
        <w:b/>
        <w:bCs/>
        <w:color w:val="000000"/>
      </w:rPr>
      <w:tblPr>
        <w:tblStyle w:val="32"/>
      </w:tblPr>
      <w:tcPr>
        <w:shd w:val="clear" w:color="auto" w:fill="CCC0D9"/>
      </w:tcPr>
    </w:tblStylePr>
    <w:tblStylePr w:type="firstCol">
      <w:rPr>
        <w:color w:val="FFFFFF"/>
      </w:rPr>
      <w:tblPr>
        <w:tblStyle w:val="32"/>
      </w:tblPr>
      <w:tcPr>
        <w:shd w:val="clear" w:color="auto" w:fill="5F497A"/>
      </w:tcPr>
    </w:tblStylePr>
    <w:tblStylePr w:type="lastCol">
      <w:rPr>
        <w:color w:val="FFFFFF"/>
      </w:rPr>
      <w:tblPr>
        <w:tblStyle w:val="32"/>
      </w:tblPr>
      <w:tcPr>
        <w:shd w:val="clear" w:color="auto" w:fill="5F497A"/>
      </w:tcPr>
    </w:tblStylePr>
    <w:tblStylePr w:type="band1Vert">
      <w:tblPr>
        <w:tblStyle w:val="32"/>
      </w:tblPr>
      <w:tcPr>
        <w:shd w:val="clear" w:color="auto" w:fill="BFB1D0"/>
      </w:tcPr>
    </w:tblStylePr>
    <w:tblStylePr w:type="band1Horz">
      <w:tblPr>
        <w:tblStyle w:val="32"/>
      </w:tblPr>
      <w:tcPr>
        <w:shd w:val="clear" w:color="auto" w:fill="BFB1D0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/>
    </w:rPr>
    <w:tblPr>
      <w:tblStyle w:val="32"/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/>
    </w:tcPr>
    <w:tblStylePr w:type="firstRow">
      <w:rPr>
        <w:b/>
        <w:bCs/>
      </w:rPr>
      <w:tblPr>
        <w:tblStyle w:val="32"/>
      </w:tblPr>
      <w:tcPr>
        <w:shd w:val="clear" w:color="auto" w:fill="B6DDE8"/>
      </w:tcPr>
    </w:tblStylePr>
    <w:tblStylePr w:type="lastRow">
      <w:rPr>
        <w:b/>
        <w:bCs/>
        <w:color w:val="000000"/>
      </w:rPr>
      <w:tblPr>
        <w:tblStyle w:val="32"/>
      </w:tblPr>
      <w:tcPr>
        <w:shd w:val="clear" w:color="auto" w:fill="B6DDE8"/>
      </w:tcPr>
    </w:tblStylePr>
    <w:tblStylePr w:type="firstCol">
      <w:rPr>
        <w:color w:val="FFFFFF"/>
      </w:rPr>
      <w:tblPr>
        <w:tblStyle w:val="32"/>
      </w:tblPr>
      <w:tcPr>
        <w:shd w:val="clear" w:color="auto" w:fill="31849B"/>
      </w:tcPr>
    </w:tblStylePr>
    <w:tblStylePr w:type="lastCol">
      <w:rPr>
        <w:color w:val="FFFFFF"/>
      </w:rPr>
      <w:tblPr>
        <w:tblStyle w:val="32"/>
      </w:tblPr>
      <w:tcPr>
        <w:shd w:val="clear" w:color="auto" w:fill="31849B"/>
      </w:tcPr>
    </w:tblStylePr>
    <w:tblStylePr w:type="band1Vert">
      <w:tblPr>
        <w:tblStyle w:val="32"/>
      </w:tblPr>
      <w:tcPr>
        <w:shd w:val="clear" w:color="auto" w:fill="A5D5E2"/>
      </w:tcPr>
    </w:tblStylePr>
    <w:tblStylePr w:type="band1Horz">
      <w:tblPr>
        <w:tblStyle w:val="32"/>
      </w:tblPr>
      <w:tcPr>
        <w:shd w:val="clear" w:color="auto" w:fill="A5D5E2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/>
    </w:rPr>
    <w:tblPr>
      <w:tblStyle w:val="32"/>
      <w:tblBorders>
        <w:insideH w:val="single" w:color="FFFFFF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/>
    </w:tcPr>
    <w:tblStylePr w:type="firstRow">
      <w:rPr>
        <w:b/>
        <w:bCs/>
      </w:rPr>
      <w:tblPr>
        <w:tblStyle w:val="32"/>
      </w:tblPr>
      <w:tcPr>
        <w:shd w:val="clear" w:color="auto" w:fill="FBD4B4"/>
      </w:tcPr>
    </w:tblStylePr>
    <w:tblStylePr w:type="lastRow">
      <w:rPr>
        <w:b/>
        <w:bCs/>
        <w:color w:val="000000"/>
      </w:rPr>
      <w:tblPr>
        <w:tblStyle w:val="32"/>
      </w:tblPr>
      <w:tcPr>
        <w:shd w:val="clear" w:color="auto" w:fill="FBD4B4"/>
      </w:tcPr>
    </w:tblStylePr>
    <w:tblStylePr w:type="firstCol">
      <w:rPr>
        <w:color w:val="FFFFFF"/>
      </w:rPr>
      <w:tblPr>
        <w:tblStyle w:val="32"/>
      </w:tblPr>
      <w:tcPr>
        <w:shd w:val="clear" w:color="auto" w:fill="E36C09"/>
      </w:tcPr>
    </w:tblStylePr>
    <w:tblStylePr w:type="lastCol">
      <w:rPr>
        <w:color w:val="FFFFFF"/>
      </w:rPr>
      <w:tblPr>
        <w:tblStyle w:val="32"/>
      </w:tblPr>
      <w:tcPr>
        <w:shd w:val="clear" w:color="auto" w:fill="E36C09"/>
      </w:tcPr>
    </w:tblStylePr>
    <w:tblStylePr w:type="band1Vert">
      <w:tblPr>
        <w:tblStyle w:val="32"/>
      </w:tblPr>
      <w:tcPr>
        <w:shd w:val="clear" w:color="auto" w:fill="FBCAA2"/>
      </w:tcPr>
    </w:tblStylePr>
    <w:tblStylePr w:type="band1Horz">
      <w:tblPr>
        <w:tblStyle w:val="32"/>
      </w:tblPr>
      <w:tcPr>
        <w:shd w:val="clear" w:color="auto" w:fill="FBCAA2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character" w:customStyle="1" w:styleId="136">
    <w:name w:val="Heading 1 Char"/>
    <w:basedOn w:val="132"/>
    <w:link w:val="3"/>
    <w:qFormat/>
    <w:uiPriority w:val="9"/>
    <w:rPr>
      <w:rFonts w:ascii="Calibri" w:hAnsi="Calibri" w:eastAsia="MS Gothic" w:cs="Times New Roman"/>
      <w:b/>
      <w:bCs/>
      <w:color w:val="366091"/>
      <w:sz w:val="28"/>
      <w:szCs w:val="28"/>
    </w:rPr>
  </w:style>
  <w:style w:type="character" w:customStyle="1" w:styleId="137">
    <w:name w:val="Heading 2 Char"/>
    <w:basedOn w:val="132"/>
    <w:link w:val="4"/>
    <w:qFormat/>
    <w:uiPriority w:val="9"/>
    <w:rPr>
      <w:rFonts w:ascii="Calibri" w:hAnsi="Calibri" w:eastAsia="MS Gothic" w:cs="Times New Roman"/>
      <w:b/>
      <w:bCs/>
      <w:color w:val="4F81BD"/>
      <w:sz w:val="26"/>
      <w:szCs w:val="26"/>
    </w:rPr>
  </w:style>
  <w:style w:type="character" w:customStyle="1" w:styleId="138">
    <w:name w:val="Heading 3 Char"/>
    <w:basedOn w:val="132"/>
    <w:link w:val="5"/>
    <w:qFormat/>
    <w:uiPriority w:val="9"/>
    <w:rPr>
      <w:rFonts w:ascii="Calibri" w:hAnsi="Calibri" w:eastAsia="MS Gothic" w:cs="Times New Roman"/>
      <w:b/>
      <w:bCs/>
      <w:color w:val="4F81BD"/>
    </w:rPr>
  </w:style>
  <w:style w:type="character" w:customStyle="1" w:styleId="139">
    <w:name w:val="Heading 4 Char"/>
    <w:basedOn w:val="132"/>
    <w:link w:val="6"/>
    <w:semiHidden/>
    <w:uiPriority w:val="9"/>
    <w:rPr>
      <w:rFonts w:ascii="Calibri" w:hAnsi="Calibri" w:eastAsia="MS Gothic" w:cs="Times New Roman"/>
      <w:b/>
      <w:bCs/>
      <w:i/>
      <w:iCs/>
      <w:color w:val="4F81BD"/>
    </w:rPr>
  </w:style>
  <w:style w:type="character" w:customStyle="1" w:styleId="140">
    <w:name w:val="Heading 5 Char"/>
    <w:basedOn w:val="132"/>
    <w:link w:val="7"/>
    <w:semiHidden/>
    <w:qFormat/>
    <w:uiPriority w:val="9"/>
    <w:rPr>
      <w:rFonts w:ascii="Calibri" w:hAnsi="Calibri" w:eastAsia="MS Gothic" w:cs="Times New Roman"/>
      <w:color w:val="243F61"/>
    </w:rPr>
  </w:style>
  <w:style w:type="character" w:customStyle="1" w:styleId="141">
    <w:name w:val="Heading 6 Char"/>
    <w:basedOn w:val="132"/>
    <w:link w:val="8"/>
    <w:semiHidden/>
    <w:qFormat/>
    <w:uiPriority w:val="9"/>
    <w:rPr>
      <w:rFonts w:ascii="Calibri" w:hAnsi="Calibri" w:eastAsia="MS Gothic" w:cs="Times New Roman"/>
      <w:i/>
      <w:iCs/>
      <w:color w:val="243F61"/>
    </w:rPr>
  </w:style>
  <w:style w:type="character" w:customStyle="1" w:styleId="142">
    <w:name w:val="Heading 7 Char"/>
    <w:basedOn w:val="132"/>
    <w:link w:val="9"/>
    <w:semiHidden/>
    <w:qFormat/>
    <w:uiPriority w:val="9"/>
    <w:rPr>
      <w:rFonts w:ascii="Calibri" w:hAnsi="Calibri" w:eastAsia="MS Gothic" w:cs="Times New Roman"/>
      <w:i/>
      <w:iCs/>
      <w:color w:val="3F3F3F"/>
    </w:rPr>
  </w:style>
  <w:style w:type="character" w:customStyle="1" w:styleId="143">
    <w:name w:val="Heading 8 Char"/>
    <w:basedOn w:val="132"/>
    <w:link w:val="10"/>
    <w:semiHidden/>
    <w:qFormat/>
    <w:uiPriority w:val="9"/>
    <w:rPr>
      <w:rFonts w:ascii="Calibri" w:hAnsi="Calibri" w:eastAsia="MS Gothic" w:cs="Times New Roman"/>
      <w:color w:val="4F81BD"/>
      <w:sz w:val="20"/>
      <w:szCs w:val="20"/>
    </w:rPr>
  </w:style>
  <w:style w:type="character" w:customStyle="1" w:styleId="144">
    <w:name w:val="Heading 9 Char"/>
    <w:basedOn w:val="132"/>
    <w:link w:val="11"/>
    <w:semiHidden/>
    <w:qFormat/>
    <w:uiPriority w:val="9"/>
    <w:rPr>
      <w:rFonts w:ascii="Calibri" w:hAnsi="Calibri" w:eastAsia="MS Gothic" w:cs="Times New Roman"/>
      <w:i/>
      <w:iCs/>
      <w:color w:val="3F3F3F"/>
      <w:sz w:val="20"/>
      <w:szCs w:val="20"/>
    </w:rPr>
  </w:style>
  <w:style w:type="character" w:customStyle="1" w:styleId="145">
    <w:name w:val="Body Text 3 Char"/>
    <w:basedOn w:val="132"/>
    <w:link w:val="17"/>
    <w:uiPriority w:val="99"/>
    <w:rPr>
      <w:sz w:val="16"/>
      <w:szCs w:val="16"/>
    </w:rPr>
  </w:style>
  <w:style w:type="character" w:customStyle="1" w:styleId="146">
    <w:name w:val="Body Text Char"/>
    <w:basedOn w:val="132"/>
    <w:link w:val="19"/>
    <w:uiPriority w:val="99"/>
  </w:style>
  <w:style w:type="character" w:customStyle="1" w:styleId="147">
    <w:name w:val="Footer Char"/>
    <w:basedOn w:val="132"/>
    <w:link w:val="24"/>
    <w:uiPriority w:val="99"/>
  </w:style>
  <w:style w:type="character" w:customStyle="1" w:styleId="148">
    <w:name w:val="Header Char"/>
    <w:basedOn w:val="132"/>
    <w:link w:val="25"/>
    <w:uiPriority w:val="99"/>
  </w:style>
  <w:style w:type="character" w:customStyle="1" w:styleId="149">
    <w:name w:val="Subtitle Char"/>
    <w:basedOn w:val="132"/>
    <w:link w:val="26"/>
    <w:uiPriority w:val="11"/>
    <w:rPr>
      <w:rFonts w:ascii="Calibri" w:hAnsi="Calibri" w:eastAsia="MS Gothic" w:cs="Times New Roman"/>
      <w:i/>
      <w:iCs/>
      <w:color w:val="4F81BD"/>
      <w:spacing w:val="15"/>
      <w:sz w:val="24"/>
      <w:szCs w:val="24"/>
    </w:rPr>
  </w:style>
  <w:style w:type="character" w:customStyle="1" w:styleId="150">
    <w:name w:val="Body Text 2 Char"/>
    <w:basedOn w:val="132"/>
    <w:link w:val="28"/>
    <w:qFormat/>
    <w:uiPriority w:val="99"/>
  </w:style>
  <w:style w:type="character" w:customStyle="1" w:styleId="151">
    <w:name w:val="Title Char"/>
    <w:basedOn w:val="132"/>
    <w:link w:val="31"/>
    <w:uiPriority w:val="10"/>
    <w:rPr>
      <w:rFonts w:ascii="Calibri" w:hAnsi="Calibri" w:eastAsia="MS Gothic" w:cs="Times New Roman"/>
      <w:color w:val="17365D"/>
      <w:spacing w:val="5"/>
      <w:kern w:val="28"/>
      <w:sz w:val="52"/>
      <w:szCs w:val="52"/>
    </w:rPr>
  </w:style>
  <w:style w:type="paragraph" w:styleId="152">
    <w:name w:val="No Spacing"/>
    <w:qFormat/>
    <w:uiPriority w:val="1"/>
    <w:pPr>
      <w:spacing w:after="0" w:line="240" w:lineRule="auto"/>
    </w:pPr>
    <w:rPr>
      <w:rFonts w:ascii="Cambria" w:hAnsi="Cambria" w:eastAsia="ＭＳ 明朝" w:cs="Times New Roman"/>
      <w:sz w:val="22"/>
      <w:szCs w:val="22"/>
      <w:lang w:val="en-US" w:eastAsia="en-US" w:bidi="ar-SA"/>
    </w:rPr>
  </w:style>
  <w:style w:type="paragraph" w:styleId="153">
    <w:name w:val="List Paragraph"/>
    <w:basedOn w:val="1"/>
    <w:qFormat/>
    <w:uiPriority w:val="34"/>
    <w:pPr>
      <w:ind w:left="720"/>
      <w:contextualSpacing/>
    </w:pPr>
  </w:style>
  <w:style w:type="paragraph" w:styleId="154">
    <w:name w:val="Quote"/>
    <w:basedOn w:val="1"/>
    <w:next w:val="1"/>
    <w:link w:val="155"/>
    <w:qFormat/>
    <w:uiPriority w:val="29"/>
    <w:rPr>
      <w:i/>
      <w:iCs/>
      <w:color w:val="000000"/>
    </w:rPr>
  </w:style>
  <w:style w:type="character" w:customStyle="1" w:styleId="155">
    <w:name w:val="Quote Char"/>
    <w:basedOn w:val="132"/>
    <w:link w:val="154"/>
    <w:qFormat/>
    <w:uiPriority w:val="29"/>
    <w:rPr>
      <w:i/>
      <w:iCs/>
      <w:color w:val="000000"/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sz="4" w:space="4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/>
    </w:rPr>
  </w:style>
  <w:style w:type="character" w:customStyle="1" w:styleId="158">
    <w:name w:val="Subtle Emphasis"/>
    <w:basedOn w:val="132"/>
    <w:qFormat/>
    <w:uiPriority w:val="19"/>
    <w:rPr>
      <w:i/>
      <w:iCs/>
      <w:color w:val="7F7F7F"/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/>
    </w:rPr>
  </w:style>
  <w:style w:type="character" w:customStyle="1" w:styleId="160">
    <w:name w:val="Subtle Reference"/>
    <w:basedOn w:val="132"/>
    <w:qFormat/>
    <w:uiPriority w:val="31"/>
    <w:rPr>
      <w:smallCaps/>
      <w:color w:val="C0504D"/>
      <w:u w:val="single"/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/>
      <w:spacing w:val="5"/>
      <w:u w:val="single"/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1002</Words>
  <Characters>1173</Characters>
  <Lines>0</Lines>
  <Paragraphs>0</Paragraphs>
  <TotalTime>0</TotalTime>
  <ScaleCrop>false</ScaleCrop>
  <LinksUpToDate>false</LinksUpToDate>
  <CharactersWithSpaces>1242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M</cp:lastModifiedBy>
  <dcterms:modified xsi:type="dcterms:W3CDTF">2026-08-13T06:15:18Z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DAA0DE0C1BCF4BF79233D06C4ABC6C74_13</vt:lpwstr>
  </property>
</Properties>
</file>