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3A6E"/>
          <w:sz w:val="36"/>
        </w:rPr>
        <w:t>UNIVERSITAS TULUNGAGUNG</w:t>
      </w:r>
    </w:p>
    <w:p>
      <w:pPr>
        <w:jc w:val="center"/>
      </w:pPr>
      <w:r>
        <w:rPr>
          <w:color w:val="386EE6"/>
          <w:sz w:val="26"/>
        </w:rPr>
        <w:t>PUSAT PENJAMINAN MUTU (PPM)</w:t>
      </w:r>
    </w:p>
    <w:p>
      <w:pPr>
        <w:spacing w:before="400" w:after="400"/>
        <w:jc w:val="center"/>
      </w:pPr>
      <w:r>
        <w:rPr>
          <w:color w:val="386EE6"/>
        </w:rPr>
        <w:t>━━━━━━━━━━━━━━━━━━━━━━━━━━━━━━━━━━━━━</w:t>
      </w:r>
    </w:p>
    <w:p/>
    <w:p/>
    <w:p>
      <w:pPr>
        <w:jc w:val="center"/>
      </w:pPr>
      <w:r>
        <w:rPr>
          <w:b/>
          <w:color w:val="1A3A6E"/>
          <w:sz w:val="40"/>
        </w:rPr>
        <w:t>RENCANA TINDAK LANJUT (RTL)</w:t>
        <w:br/>
        <w:t>HASIL RAPAT TINJAUAN MANAJEMEN (RTM)</w:t>
      </w:r>
    </w:p>
    <w:p>
      <w:pPr>
        <w:spacing w:before="240"/>
        <w:jc w:val="center"/>
      </w:pPr>
      <w:r>
        <w:rPr>
          <w:b/>
          <w:color w:val="386EE6"/>
          <w:sz w:val="32"/>
        </w:rPr>
        <w:t>PERIODE SEMESTER GANJIL</w:t>
      </w:r>
    </w:p>
    <w:p>
      <w:pPr>
        <w:jc w:val="center"/>
      </w:pPr>
      <w:r>
        <w:rPr>
          <w:color w:val="1F2937"/>
          <w:sz w:val="28"/>
        </w:rPr>
        <w:t>TAHUN AKADEMIK 2024/2025</w:t>
      </w:r>
    </w:p>
    <w:p/>
    <w:p/>
    <w:p/>
    <w:p>
      <w:pPr>
        <w:spacing w:before="600"/>
        <w:jc w:val="center"/>
      </w:pPr>
      <w:r>
        <w:rPr>
          <w:i/>
          <w:color w:val="6B7280"/>
          <w:sz w:val="24"/>
        </w:rPr>
        <w:t>Siklus PPEPP — Tahap Peningkatan (P)</w:t>
      </w:r>
    </w:p>
    <w:p>
      <w:pPr>
        <w:jc w:val="center"/>
      </w:pPr>
      <w:r>
        <w:rPr>
          <w:color w:val="6B7280"/>
          <w:sz w:val="22"/>
        </w:rPr>
        <w:t>Berbasis Peraturan Menteri Pendidikan Tinggi No. 39 Tahun 2025</w:t>
      </w:r>
    </w:p>
    <w:p/>
    <w:p/>
    <w:p/>
    <w:p/>
    <w:p>
      <w:pPr>
        <w:jc w:val="center"/>
      </w:pPr>
      <w:r>
        <w:rPr>
          <w:b/>
          <w:color w:val="1A3A6E"/>
          <w:sz w:val="26"/>
        </w:rPr>
        <w:t>TULUNGAGUNG</w:t>
        <w:br/>
        <w:t>2025</w:t>
      </w:r>
    </w:p>
    <w:p>
      <w:r>
        <w:br w:type="page"/>
      </w:r>
    </w:p>
    <w:p>
      <w:pPr>
        <w:keepNext/>
        <w:spacing w:before="360" w:after="160"/>
        <w:jc w:val="center"/>
      </w:pPr>
      <w:r>
        <w:rPr>
          <w:rFonts w:ascii="Calibri" w:hAnsi="Calibri"/>
          <w:b/>
          <w:color w:val="1A3A6E"/>
          <w:sz w:val="40"/>
        </w:rPr>
        <w:t>BAB I</w:t>
        <w:br/>
        <w:t>PENDAHULUAN</w:t>
      </w:r>
    </w:p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1.1 Latar Belakang</w:t>
      </w:r>
    </w:p>
    <w:p>
      <w:pPr>
        <w:spacing w:after="120" w:line="312" w:lineRule="auto"/>
        <w:ind w:firstLine="567"/>
        <w:jc w:val="both"/>
      </w:pPr>
      <w:r>
        <w:rPr>
          <w:rFonts w:ascii="Calibri" w:hAnsi="Calibri"/>
          <w:b w:val="0"/>
          <w:color w:val="1F2937"/>
          <w:sz w:val="22"/>
        </w:rPr>
        <w:t>Rencana Tindak Lanjut (RTL) ini disusun sebagai tindak lanjut dari hasil Rapat Tinjauan Manajemen (RTM) periode GANJIL Tahun Akademik 2024/2025 yang diselenggarakan pada 15 Februari 2025. RTL merupakan bentuk pelaksanaan tahap Peningkatan (P) dalam siklus PPEPP Sistem Penjaminan Mutu Internal (SPMI) Universitas Tulungagung.</w:t>
      </w:r>
    </w:p>
    <w:p>
      <w:pPr>
        <w:spacing w:after="120" w:line="312" w:lineRule="auto"/>
        <w:ind w:firstLine="567"/>
        <w:jc w:val="both"/>
      </w:pPr>
      <w:r>
        <w:rPr>
          <w:rFonts w:ascii="Calibri" w:hAnsi="Calibri"/>
          <w:b w:val="0"/>
          <w:color w:val="1F2937"/>
          <w:sz w:val="22"/>
        </w:rPr>
        <w:t>RTL berisi rencana aksi perbaikan dan peningkatan atas temuan dan Permintaan Tindakan Koreksi (PTK) yang teridentifikasi dari hasil Audit Mutu Internal (AMI) periode ganjil TA 2024/2025. Setiap tindak lanjut dilengkapi dengan penanggung jawab (PIC), target waktu, dan indikator capaian.</w:t>
      </w:r>
    </w:p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1.2 Tujuan RTL</w:t>
      </w:r>
    </w:p>
    <w:p>
      <w:pPr>
        <w:pStyle w:val="ListBullet"/>
        <w:spacing w:after="60" w:line="312" w:lineRule="auto"/>
        <w:ind w:left="567"/>
      </w:pPr>
      <w:r>
        <w:rPr>
          <w:rFonts w:ascii="Calibri" w:hAnsi="Calibri"/>
          <w:sz w:val="22"/>
        </w:rPr>
        <w:t>Menyediakan rencana aksi konkret untuk penyelesaian temuan dan PTK hasil AMI periode ganjil.</w:t>
      </w:r>
    </w:p>
    <w:p>
      <w:pPr>
        <w:pStyle w:val="ListBullet"/>
        <w:spacing w:after="60" w:line="312" w:lineRule="auto"/>
        <w:ind w:left="567"/>
      </w:pPr>
      <w:r>
        <w:rPr>
          <w:rFonts w:ascii="Calibri" w:hAnsi="Calibri"/>
          <w:sz w:val="22"/>
        </w:rPr>
        <w:t>Menetapkan penanggung jawab dan target waktu pelaksanaan tindak lanjut.</w:t>
      </w:r>
    </w:p>
    <w:p>
      <w:pPr>
        <w:pStyle w:val="ListBullet"/>
        <w:spacing w:after="60" w:line="312" w:lineRule="auto"/>
        <w:ind w:left="567"/>
      </w:pPr>
      <w:r>
        <w:rPr>
          <w:rFonts w:ascii="Calibri" w:hAnsi="Calibri"/>
          <w:sz w:val="22"/>
        </w:rPr>
        <w:t>Menjadi dasar monitoring dan evaluasi pelaksanaan tindak lanjut oleh PPM.</w:t>
      </w:r>
    </w:p>
    <w:p>
      <w:pPr>
        <w:pStyle w:val="ListBullet"/>
        <w:spacing w:after="60" w:line="312" w:lineRule="auto"/>
        <w:ind w:left="567"/>
      </w:pPr>
      <w:r>
        <w:rPr>
          <w:rFonts w:ascii="Calibri" w:hAnsi="Calibri"/>
          <w:sz w:val="22"/>
        </w:rPr>
        <w:t>Mewujudkan peningkatan mutu berkelanjutan sesuai amanat Permen 39/2025.</w:t>
      </w:r>
    </w:p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1.3 Ruang Lingkup RTL</w:t>
      </w:r>
    </w:p>
    <w:p>
      <w:pPr>
        <w:spacing w:after="120" w:line="312" w:lineRule="auto"/>
        <w:ind w:firstLine="567"/>
        <w:jc w:val="both"/>
      </w:pPr>
      <w:r>
        <w:rPr>
          <w:rFonts w:ascii="Calibri" w:hAnsi="Calibri"/>
          <w:b w:val="0"/>
          <w:color w:val="1F2937"/>
          <w:sz w:val="22"/>
        </w:rPr>
        <w:t>Ruang lingkup RTL meliputi seluruh temuan dan PTK dari 5 standar yang diaudit pada periode ganjil TA 2024/2025. RTL disusun per kategori standar (Pendidikan, Penelitian, PkM, dan Tambahan) dengan prioritas penanganan berdasarkan tingkat urgensi dan dampak terhadap mutu.</w:t>
      </w:r>
    </w:p>
    <w:p>
      <w:r>
        <w:br w:type="page"/>
      </w:r>
    </w:p>
    <w:p>
      <w:pPr>
        <w:keepNext/>
        <w:spacing w:before="360" w:after="160"/>
        <w:jc w:val="center"/>
      </w:pPr>
      <w:r>
        <w:rPr>
          <w:rFonts w:ascii="Calibri" w:hAnsi="Calibri"/>
          <w:b/>
          <w:color w:val="1A3A6E"/>
          <w:sz w:val="40"/>
        </w:rPr>
        <w:t>BAB II</w:t>
        <w:br/>
        <w:t>RINCIAN RENCANA TINDAK LANJUT</w:t>
      </w:r>
    </w:p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2.1 Tabel Rencana Tindak Lanjut</w:t>
      </w:r>
    </w:p>
    <w:p>
      <w:pPr>
        <w:spacing w:after="120" w:line="312" w:lineRule="auto"/>
        <w:ind w:firstLine="567"/>
        <w:jc w:val="both"/>
      </w:pPr>
      <w:r>
        <w:rPr>
          <w:rFonts w:ascii="Calibri" w:hAnsi="Calibri"/>
          <w:b w:val="0"/>
          <w:color w:val="1F2937"/>
          <w:sz w:val="22"/>
        </w:rPr>
        <w:t>Berikut rincian Rencana Tindak Lanjut atas temuan dan PTK hasil AMI periode ganjil TA 2024/2025: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"/>
        <w:gridCol w:w="992"/>
        <w:gridCol w:w="992"/>
        <w:gridCol w:w="992"/>
        <w:gridCol w:w="992"/>
        <w:gridCol w:w="992"/>
        <w:gridCol w:w="992"/>
        <w:gridCol w:w="992"/>
      </w:tblGrid>
      <w:tr>
        <w:tc>
          <w:tcPr>
            <w:tcW w:type="dxa" w:w="992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992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Standar</w:t>
            </w:r>
          </w:p>
        </w:tc>
        <w:tc>
          <w:tcPr>
            <w:tcW w:type="dxa" w:w="992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Skor</w:t>
            </w:r>
          </w:p>
        </w:tc>
        <w:tc>
          <w:tcPr>
            <w:tcW w:type="dxa" w:w="992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992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Prioritas</w:t>
            </w:r>
          </w:p>
        </w:tc>
        <w:tc>
          <w:tcPr>
            <w:tcW w:type="dxa" w:w="992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Tindak Lanjut</w:t>
            </w:r>
          </w:p>
        </w:tc>
        <w:tc>
          <w:tcPr>
            <w:tcW w:type="dxa" w:w="992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PIC</w:t>
            </w:r>
          </w:p>
        </w:tc>
        <w:tc>
          <w:tcPr>
            <w:tcW w:type="dxa" w:w="992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SPB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89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7"/>
              </w:rPr>
              <w:t>SEDANG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Tindak lanjut 4 temuan pada standar Standar Proses Pembelajaran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UPPS / GKM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 bulan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VMTS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89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7"/>
              </w:rPr>
              <w:t>SEDANG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Tindak lanjut 4 temuan pada standar Standar VMTS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Senat Universitas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 bulan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TPTK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90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7"/>
              </w:rPr>
              <w:t>SEDANG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Tindak lanjut 4 temuan pada standar Standar Tata Pamong &amp; Tata Kelola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Senat / SPI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 bulan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MHS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93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7"/>
              </w:rPr>
              <w:t>SEDANG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Tindak lanjut 3 temuan pada standar Standar Mahasiswa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Wakil Rektor III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 bulan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PKM-MHS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88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09881"/>
                <w:sz w:val="17"/>
              </w:rPr>
              <w:t>MS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7"/>
              </w:rPr>
              <w:t>SEDANG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Tindak lanjut 5 temuan pada standar Standar Pelayanan Kepada Mahasiswa</w:t>
            </w:r>
          </w:p>
        </w:tc>
        <w:tc>
          <w:tcPr>
            <w:tcW w:type="dxa" w:w="99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BAA</w:t>
            </w:r>
          </w:p>
        </w:tc>
        <w:tc>
          <w:tcPr>
            <w:tcW w:type="dxa" w:w="992"/>
          </w:tcPr>
          <w:p>
            <w:pPr>
              <w:jc w:val="center"/>
            </w:pPr>
            <w:r/>
            <w:r>
              <w:rPr>
                <w:rFonts w:ascii="Calibri" w:hAnsi="Calibri"/>
                <w:sz w:val="17"/>
              </w:rPr>
              <w:t>2 bulan</w:t>
            </w:r>
          </w:p>
        </w:tc>
      </w:tr>
    </w:tbl>
    <w:p>
      <w:r>
        <w:br w:type="page"/>
      </w:r>
    </w:p>
    <w:p>
      <w:pPr>
        <w:keepNext/>
        <w:spacing w:before="360" w:after="160"/>
        <w:jc w:val="center"/>
      </w:pPr>
      <w:r>
        <w:rPr>
          <w:rFonts w:ascii="Calibri" w:hAnsi="Calibri"/>
          <w:b/>
          <w:color w:val="1A3A6E"/>
          <w:sz w:val="40"/>
        </w:rPr>
        <w:t>BAB III</w:t>
        <w:br/>
        <w:t>DETAIL TINDAK LANJUT PER STANDAR</w:t>
      </w:r>
    </w:p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3.1 Standar Proses Pembelajaran (SPB)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89/100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4 temuan / 3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SEDANG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Tindak lanjut 4 temuan pada standar Standar Proses Pembelajaran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UPPS / GKM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bulan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Penurunan temuan ≥ 50% pada periode berikutnya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Skor rata-rata kepuasan 3,54 (Likert 1-4). Ganjil 3,49 → Genap 3,59. Seluruh fakultas meningkat. Metode daring skor terendah namun di atas rata-rata.</w:t>
      </w:r>
    </w:p>
    <w:p/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3.2 Standar VMTS (VMTS)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89/100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4 temuan / 2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SEDANG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Tindak lanjut 4 temuan pada standar Standar VMTS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Senat Universitas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bulan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Penurunan temuan ≥ 50% pada periode berikutnya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Rata-rata keseluruhan 3,54 (Likert 1-4, Sangat Baik). Dosen 3,54, Tendik 3,48. Sosialisasi VMTS berjalan. Pemahaman civitas akademika baik. Perlu peningkatan metode sosialisasi (skor 3,38).</w:t>
      </w:r>
    </w:p>
    <w:p/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3.3 Standar Tata Pamong &amp; Tata Kelola (TPTK)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90/100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4 temuan / 2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SEDANG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Tindak lanjut 4 temuan pada standar Standar Tata Pamong &amp; Tata Kelola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Senat / SPI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bulan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Penurunan temuan ≥ 50% pada periode berikutnya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Rata-rata keseluruhan 3,59 (Likert 1-4, Sangat Baik). SD 0,58. Tata pamong berjalan baik. Koordinasi antar-unit 3,50. Pelayanan administrasi akademik 3,45 (terendah). Evaluasi ditindaklanjuti 3,52.</w:t>
      </w:r>
    </w:p>
    <w:p/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3.4 Standar Mahasiswa (MHS)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93/100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3 temuan / 2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SEDANG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Tindak lanjut 3 temuan pada standar Standar Mahasiswa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Wakil Rektor III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bulan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Penurunan temuan ≥ 50% pada periode berikutnya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AEE PT 92,50% (≥90%). Lulusan bekerja/wirausaha 84,30% (≥80%). Mahasiswa berkegiatan MBKM 68,40% (≥60%). Program integritas akademik 95,00%. Capaian kompetensi lulusan 91,80%. Semua Tercapai.</w:t>
      </w:r>
    </w:p>
    <w:p/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3.5 Standar Pelayanan Kepada Mahasiswa (PKM-MHS)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968"/>
            <w:shd w:fill="1A3A6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</w:tcPr>
          <w:p/>
        </w:tc>
        <w:tc>
          <w:tcPr>
            <w:tcW w:type="dxa" w:w="3968"/>
          </w:tcPr>
          <w:p/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Skor AMI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88/100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MS (Mencapai Standar)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Temuan / PTK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5 temuan / 3 PTK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Prioritas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SEDANG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Rencana Tindak Lanjut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Tindak lanjut 5 temuan pada standar Standar Pelayanan Kepada Mahasiswa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Penanggung Jawab (PIC)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BAA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Target Waktu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2 bulan</w:t>
            </w:r>
          </w:p>
        </w:tc>
      </w:tr>
      <w:tr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Indikator Capaian</w:t>
            </w:r>
          </w:p>
        </w:tc>
        <w:tc>
          <w:tcPr>
            <w:tcW w:type="dxa" w:w="3968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Penurunan temuan ≥ 50% pada periode berikutnya</w:t>
            </w:r>
          </w:p>
        </w:tc>
      </w:tr>
    </w:tbl>
    <w:p>
      <w:pPr>
        <w:spacing w:before="120" w:after="80" w:line="312" w:lineRule="auto"/>
        <w:jc w:val="both"/>
      </w:pPr>
      <w:r>
        <w:rPr>
          <w:b/>
          <w:color w:val="1A3A6E"/>
          <w:sz w:val="20"/>
        </w:rPr>
        <w:t xml:space="preserve">Catatan AMI: </w:t>
      </w:r>
      <w:r>
        <w:rPr>
          <w:sz w:val="20"/>
        </w:rPr>
        <w:t>Ganjil 3,48 → Genap 3,58 (Likert 1-4, Sangat Baik). 17/20 indikator Sangat Baik (Genap). Tren: 3,42 (2023-1) → 3,48 (2024-1) → 3,58 (2024-2). Info akademik SIAKAD 3,70. Prioritas perbaikan: beasiswa, ...</w:t>
      </w:r>
    </w:p>
    <w:p/>
    <w:p>
      <w:r>
        <w:br w:type="page"/>
      </w:r>
    </w:p>
    <w:p>
      <w:pPr>
        <w:keepNext/>
        <w:spacing w:before="360" w:after="160"/>
        <w:jc w:val="center"/>
      </w:pPr>
      <w:r>
        <w:rPr>
          <w:rFonts w:ascii="Calibri" w:hAnsi="Calibri"/>
          <w:b/>
          <w:color w:val="1A3A6E"/>
          <w:sz w:val="40"/>
        </w:rPr>
        <w:t>BAB IV</w:t>
        <w:br/>
        <w:t>DOKUMENTASI PELAKSANAAN RTL</w:t>
      </w:r>
    </w:p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4.1 Foto Bukti Pelaksanaan Tindak Lanjut</w:t>
      </w:r>
    </w:p>
    <w:p>
      <w:pPr>
        <w:spacing w:after="120" w:line="312" w:lineRule="auto"/>
        <w:ind w:firstLine="567"/>
        <w:jc w:val="both"/>
      </w:pPr>
      <w:r>
        <w:rPr>
          <w:rFonts w:ascii="Calibri" w:hAnsi="Calibri"/>
          <w:b w:val="0"/>
          <w:color w:val="1F2937"/>
          <w:sz w:val="22"/>
        </w:rPr>
        <w:t>Berikut dokumentasi pelaksanaan Rencana Tindak Lanjut (RTL) periode GANJIL TA 2024/2025: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rPr>
          <w:trHeight w:val="3969" w:hRule="atLeast"/>
        </w:trPr>
        <w:tc>
          <w:tcPr>
            <w:tcW w:type="dxa" w:w="7370"/>
            <w:tcBorders>
              <w:top w:val="dashed" w:sz="12" w:color="386EE6"/>
              <w:left w:val="dashed" w:sz="12" w:color="386EE6"/>
              <w:bottom w:val="dashed" w:sz="12" w:color="386EE6"/>
              <w:right w:val="dashed" w:sz="12" w:color="386EE6"/>
            </w:tcBorders>
            <w:shd w:fill="F0F4FF"/>
          </w:tcPr>
          <w:p>
            <w:pPr>
              <w:spacing w:before="1960" w:after="1960"/>
              <w:jc w:val="center"/>
            </w:pPr>
            <w:r/>
            <w:r>
              <w:rPr>
                <w:rFonts w:ascii="Calibri" w:hAnsi="Calibri"/>
                <w:b/>
                <w:color w:val="386EE6"/>
                <w:sz w:val="28"/>
              </w:rPr>
              <w:t>[ FOTO BUKTI PELAKSANAAN RTL GANJIL - 1 ]</w:t>
            </w:r>
          </w:p>
          <w:p>
            <w:pPr>
              <w:jc w:val="center"/>
            </w:pPr>
            <w:r>
              <w:rPr>
                <w:rFonts w:ascii="Calibri" w:hAnsi="Calibri"/>
                <w:i/>
                <w:color w:val="6B7280"/>
                <w:sz w:val="20"/>
              </w:rPr>
              <w:t>Tempel foto bukti rapat di sini</w:t>
            </w:r>
          </w:p>
        </w:tc>
      </w:tr>
    </w:tbl>
    <w:p>
      <w:pPr>
        <w:spacing w:before="80"/>
        <w:jc w:val="center"/>
      </w:pPr>
      <w:r>
        <w:rPr>
          <w:i/>
          <w:color w:val="6B7280"/>
          <w:sz w:val="20"/>
        </w:rPr>
        <w:t>Foto 1: Rapat koordinasi pelaksanaan RTL GANJIL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rPr>
          <w:trHeight w:val="3969" w:hRule="atLeast"/>
        </w:trPr>
        <w:tc>
          <w:tcPr>
            <w:tcW w:type="dxa" w:w="7370"/>
            <w:tcBorders>
              <w:top w:val="dashed" w:sz="12" w:color="386EE6"/>
              <w:left w:val="dashed" w:sz="12" w:color="386EE6"/>
              <w:bottom w:val="dashed" w:sz="12" w:color="386EE6"/>
              <w:right w:val="dashed" w:sz="12" w:color="386EE6"/>
            </w:tcBorders>
            <w:shd w:fill="F0F4FF"/>
          </w:tcPr>
          <w:p>
            <w:pPr>
              <w:spacing w:before="1960" w:after="1960"/>
              <w:jc w:val="center"/>
            </w:pPr>
            <w:r/>
            <w:r>
              <w:rPr>
                <w:rFonts w:ascii="Calibri" w:hAnsi="Calibri"/>
                <w:b/>
                <w:color w:val="386EE6"/>
                <w:sz w:val="28"/>
              </w:rPr>
              <w:t>[ FOTO BUKTI PELAKSANAAN RTL GANJIL - 2 ]</w:t>
            </w:r>
          </w:p>
          <w:p>
            <w:pPr>
              <w:jc w:val="center"/>
            </w:pPr>
            <w:r>
              <w:rPr>
                <w:rFonts w:ascii="Calibri" w:hAnsi="Calibri"/>
                <w:i/>
                <w:color w:val="6B7280"/>
                <w:sz w:val="20"/>
              </w:rPr>
              <w:t>Tempel foto bukti rapat di sini</w:t>
            </w:r>
          </w:p>
        </w:tc>
      </w:tr>
    </w:tbl>
    <w:p>
      <w:pPr>
        <w:spacing w:before="80"/>
        <w:jc w:val="center"/>
      </w:pPr>
      <w:r>
        <w:rPr>
          <w:i/>
          <w:color w:val="6B7280"/>
          <w:sz w:val="20"/>
        </w:rPr>
        <w:t>Foto 2: Pelaksanaan tindak lanjut oleh unit kerja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rPr>
          <w:trHeight w:val="3969" w:hRule="atLeast"/>
        </w:trPr>
        <w:tc>
          <w:tcPr>
            <w:tcW w:type="dxa" w:w="7370"/>
            <w:tcBorders>
              <w:top w:val="dashed" w:sz="12" w:color="386EE6"/>
              <w:left w:val="dashed" w:sz="12" w:color="386EE6"/>
              <w:bottom w:val="dashed" w:sz="12" w:color="386EE6"/>
              <w:right w:val="dashed" w:sz="12" w:color="386EE6"/>
            </w:tcBorders>
            <w:shd w:fill="F0F4FF"/>
          </w:tcPr>
          <w:p>
            <w:pPr>
              <w:spacing w:before="1960" w:after="1960"/>
              <w:jc w:val="center"/>
            </w:pPr>
            <w:r/>
            <w:r>
              <w:rPr>
                <w:rFonts w:ascii="Calibri" w:hAnsi="Calibri"/>
                <w:b/>
                <w:color w:val="386EE6"/>
                <w:sz w:val="28"/>
              </w:rPr>
              <w:t>[ FOTO KEGIATAN TINDAK LANJUT GANJIL ]</w:t>
            </w:r>
          </w:p>
          <w:p>
            <w:pPr>
              <w:jc w:val="center"/>
            </w:pPr>
            <w:r>
              <w:rPr>
                <w:rFonts w:ascii="Calibri" w:hAnsi="Calibri"/>
                <w:i/>
                <w:color w:val="6B7280"/>
                <w:sz w:val="20"/>
              </w:rPr>
              <w:t>Tempel foto bukti rapat di sini</w:t>
            </w:r>
          </w:p>
        </w:tc>
      </w:tr>
    </w:tbl>
    <w:p>
      <w:pPr>
        <w:spacing w:before="80"/>
        <w:jc w:val="center"/>
      </w:pPr>
      <w:r>
        <w:rPr>
          <w:i/>
          <w:color w:val="6B7280"/>
          <w:sz w:val="20"/>
        </w:rPr>
        <w:t>Foto 3: Dokumentasi kegiatan tindak lanjut (pelatihan/workshop/koordinasi)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rPr>
          <w:trHeight w:val="3969" w:hRule="atLeast"/>
        </w:trPr>
        <w:tc>
          <w:tcPr>
            <w:tcW w:type="dxa" w:w="7370"/>
            <w:tcBorders>
              <w:top w:val="dashed" w:sz="12" w:color="386EE6"/>
              <w:left w:val="dashed" w:sz="12" w:color="386EE6"/>
              <w:bottom w:val="dashed" w:sz="12" w:color="386EE6"/>
              <w:right w:val="dashed" w:sz="12" w:color="386EE6"/>
            </w:tcBorders>
            <w:shd w:fill="F0F4FF"/>
          </w:tcPr>
          <w:p>
            <w:pPr>
              <w:spacing w:before="1960" w:after="1960"/>
              <w:jc w:val="center"/>
            </w:pPr>
            <w:r/>
            <w:r>
              <w:rPr>
                <w:rFonts w:ascii="Calibri" w:hAnsi="Calibri"/>
                <w:b/>
                <w:color w:val="386EE6"/>
                <w:sz w:val="28"/>
              </w:rPr>
              <w:t>[ FOTO BERITA ACARA RTL GANJIL ]</w:t>
            </w:r>
          </w:p>
          <w:p>
            <w:pPr>
              <w:jc w:val="center"/>
            </w:pPr>
            <w:r>
              <w:rPr>
                <w:rFonts w:ascii="Calibri" w:hAnsi="Calibri"/>
                <w:i/>
                <w:color w:val="6B7280"/>
                <w:sz w:val="20"/>
              </w:rPr>
              <w:t>Tempel foto bukti rapat di sini</w:t>
            </w:r>
          </w:p>
        </w:tc>
      </w:tr>
    </w:tbl>
    <w:p>
      <w:pPr>
        <w:spacing w:before="80"/>
        <w:jc w:val="center"/>
      </w:pPr>
      <w:r>
        <w:rPr>
          <w:i/>
          <w:color w:val="6B7280"/>
          <w:sz w:val="20"/>
        </w:rPr>
        <w:t>Foto 4: Berita acara pelaksanaan RTL</w:t>
      </w:r>
    </w:p>
    <w:p>
      <w:r>
        <w:br w:type="page"/>
      </w:r>
    </w:p>
    <w:p>
      <w:pPr>
        <w:keepNext/>
        <w:spacing w:before="360" w:after="160"/>
        <w:jc w:val="center"/>
      </w:pPr>
      <w:r>
        <w:rPr>
          <w:rFonts w:ascii="Calibri" w:hAnsi="Calibri"/>
          <w:b/>
          <w:color w:val="1A3A6E"/>
          <w:sz w:val="40"/>
        </w:rPr>
        <w:t>BAB V</w:t>
        <w:br/>
        <w:t>MONITORING DAN EVALUASI RTL</w:t>
      </w:r>
    </w:p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5.1 Mekanisme Monitoring</w:t>
      </w:r>
    </w:p>
    <w:p>
      <w:pPr>
        <w:spacing w:after="120" w:line="312" w:lineRule="auto"/>
        <w:ind w:firstLine="567"/>
        <w:jc w:val="both"/>
      </w:pPr>
      <w:r>
        <w:rPr>
          <w:rFonts w:ascii="Calibri" w:hAnsi="Calibri"/>
          <w:b w:val="0"/>
          <w:color w:val="1F2937"/>
          <w:sz w:val="22"/>
        </w:rPr>
        <w:t>Monitoring pelaksanaan RTL dilakukan oleh Pusat Penjaminan Mutu (PPM) dengan mekanisme sebagai berikut:</w:t>
      </w:r>
    </w:p>
    <w:p>
      <w:pPr>
        <w:pStyle w:val="ListBullet"/>
        <w:spacing w:after="60" w:line="312" w:lineRule="auto"/>
        <w:ind w:left="567"/>
      </w:pPr>
      <w:r>
        <w:rPr>
          <w:rFonts w:ascii="Calibri" w:hAnsi="Calibri"/>
          <w:sz w:val="22"/>
        </w:rPr>
        <w:t>Laporan progres RTL dari setiap PIC disampaikan ke PPM setiap bulan.</w:t>
      </w:r>
    </w:p>
    <w:p>
      <w:pPr>
        <w:pStyle w:val="ListBullet"/>
        <w:spacing w:after="60" w:line="312" w:lineRule="auto"/>
        <w:ind w:left="567"/>
      </w:pPr>
      <w:r>
        <w:rPr>
          <w:rFonts w:ascii="Calibri" w:hAnsi="Calibri"/>
          <w:sz w:val="22"/>
        </w:rPr>
        <w:t>PPM mengkompilasi laporan progres dan menyampaikan ke Wakil Rektor I setiap 2 bulan.</w:t>
      </w:r>
    </w:p>
    <w:p>
      <w:pPr>
        <w:pStyle w:val="ListBullet"/>
        <w:spacing w:after="60" w:line="312" w:lineRule="auto"/>
        <w:ind w:left="567"/>
      </w:pPr>
      <w:r>
        <w:rPr>
          <w:rFonts w:ascii="Calibri" w:hAnsi="Calibri"/>
          <w:sz w:val="22"/>
        </w:rPr>
        <w:t>Evaluasi akhir pelaksanaan RTL dilakukan dalam RTM periode berikutnya.</w:t>
      </w:r>
    </w:p>
    <w:p>
      <w:pPr>
        <w:keepNext/>
        <w:spacing w:before="240" w:after="160"/>
      </w:pPr>
      <w:r>
        <w:rPr>
          <w:rFonts w:ascii="Calibri" w:hAnsi="Calibri"/>
          <w:b/>
          <w:color w:val="1A3A6E"/>
          <w:sz w:val="26"/>
        </w:rPr>
        <w:t>5.2 Indikator Keberhasilan</w:t>
      </w:r>
    </w:p>
    <w:p>
      <w:pPr>
        <w:spacing w:after="120" w:line="312" w:lineRule="auto"/>
        <w:ind w:firstLine="567"/>
        <w:jc w:val="both"/>
      </w:pPr>
      <w:r>
        <w:rPr>
          <w:rFonts w:ascii="Calibri" w:hAnsi="Calibri"/>
          <w:b w:val="0"/>
          <w:color w:val="1F2937"/>
          <w:sz w:val="22"/>
        </w:rPr>
        <w:t>Keberhasilan pelaksanaan RTL diukur berdasarkan indikator berikut:</w:t>
      </w:r>
    </w:p>
    <w:p>
      <w:pPr>
        <w:pStyle w:val="ListBullet"/>
        <w:spacing w:after="60" w:line="312" w:lineRule="auto"/>
        <w:ind w:left="567"/>
      </w:pPr>
      <w:r>
        <w:rPr>
          <w:rFonts w:ascii="Calibri" w:hAnsi="Calibri"/>
          <w:sz w:val="22"/>
        </w:rPr>
        <w:t>Persentase PTK yang diselesaikan ≥ 90% pada akhir periode RTL.</w:t>
      </w:r>
    </w:p>
    <w:p>
      <w:pPr>
        <w:pStyle w:val="ListBullet"/>
        <w:spacing w:after="60" w:line="312" w:lineRule="auto"/>
        <w:ind w:left="567"/>
      </w:pPr>
      <w:r>
        <w:rPr>
          <w:rFonts w:ascii="Calibri" w:hAnsi="Calibri"/>
          <w:sz w:val="22"/>
        </w:rPr>
        <w:t>Kenaikan skor AMI pada standar yang menjadi prioritas.</w:t>
      </w:r>
    </w:p>
    <w:p>
      <w:pPr>
        <w:pStyle w:val="ListBullet"/>
        <w:spacing w:after="60" w:line="312" w:lineRule="auto"/>
        <w:ind w:left="567"/>
      </w:pPr>
      <w:r>
        <w:rPr>
          <w:rFonts w:ascii="Calibri" w:hAnsi="Calibri"/>
          <w:sz w:val="22"/>
        </w:rPr>
        <w:t>Penurunan jumlah temuan pada periode AMI berikutnya.</w:t>
      </w:r>
    </w:p>
    <w:p>
      <w:pPr>
        <w:pStyle w:val="ListBullet"/>
        <w:spacing w:after="60" w:line="312" w:lineRule="auto"/>
        <w:ind w:left="567"/>
      </w:pPr>
      <w:r>
        <w:rPr>
          <w:rFonts w:ascii="Calibri" w:hAnsi="Calibri"/>
          <w:sz w:val="22"/>
        </w:rPr>
        <w:t>Tersedianya bukti dokumen pelaksanaan tindak lanjut.</w:t>
      </w:r>
    </w:p>
    <w:p/>
    <w:p/>
    <w:p>
      <w:pPr>
        <w:jc w:val="right"/>
      </w:pPr>
      <w:r>
        <w:rPr>
          <w:sz w:val="22"/>
        </w:rPr>
        <w:t>Tulungagung, 15 Februari 2025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3A6E"/>
                <w:sz w:val="22"/>
              </w:rPr>
              <w:t>Penyusun RTL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3A6E"/>
                <w:sz w:val="22"/>
              </w:rPr>
              <w:t>Mengetahui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A3A6E"/>
                <w:sz w:val="22"/>
              </w:rPr>
              <w:t>Menyetujui</w:t>
            </w:r>
          </w:p>
        </w:tc>
      </w:tr>
      <w:tr>
        <w:tc>
          <w:tcPr>
            <w:tcW w:type="dxa" w:w="2551"/>
          </w:tcPr>
          <w:p>
            <w:pPr>
              <w:spacing w:before="800" w:after="400"/>
              <w:jc w:val="center"/>
            </w:pPr>
            <w:r/>
            <w:r/>
          </w:p>
        </w:tc>
        <w:tc>
          <w:tcPr>
            <w:tcW w:type="dxa" w:w="2551"/>
          </w:tcPr>
          <w:p>
            <w:pPr>
              <w:spacing w:before="800" w:after="400"/>
              <w:jc w:val="center"/>
            </w:pPr>
            <w:r/>
            <w:r/>
          </w:p>
        </w:tc>
        <w:tc>
          <w:tcPr>
            <w:tcW w:type="dxa" w:w="2551"/>
          </w:tcPr>
          <w:p>
            <w:pPr>
              <w:spacing w:before="800" w:after="400"/>
              <w:jc w:val="center"/>
            </w:pPr>
            <w:r/>
            <w:r/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2937"/>
                <w:sz w:val="22"/>
              </w:rPr>
              <w:t>Dra. Dwi Iriani Margayaningsih, M.AP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2937"/>
                <w:sz w:val="22"/>
              </w:rPr>
              <w:t>Dr. Anang Sugeng C., S.AP., M.Si.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2937"/>
                <w:sz w:val="22"/>
              </w:rPr>
              <w:t>Dr. Muharsono, M.Si.</w:t>
            </w:r>
          </w:p>
        </w:tc>
      </w:tr>
    </w:tbl>
    <w:sectPr w:rsidR="00FC693F" w:rsidRPr="0006063C" w:rsidSect="00034616"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