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A6E"/>
          <w:sz w:val="36"/>
        </w:rPr>
        <w:t>UNIVERSITAS TULUNGAGUNG</w:t>
      </w:r>
    </w:p>
    <w:p>
      <w:pPr>
        <w:jc w:val="center"/>
      </w:pPr>
      <w:r>
        <w:rPr>
          <w:color w:val="386EE6"/>
          <w:sz w:val="26"/>
        </w:rPr>
        <w:t>PUSAT PENJAMINAN MUTU (PPM)</w:t>
      </w:r>
    </w:p>
    <w:p>
      <w:pPr>
        <w:spacing w:before="400" w:after="400"/>
        <w:jc w:val="center"/>
      </w:pPr>
      <w:r>
        <w:rPr>
          <w:color w:val="386EE6"/>
        </w:rPr>
        <w:t>━━━━━━━━━━━━━━━━━━━━━━━━━━━━━━━━━━━━━</w:t>
      </w:r>
    </w:p>
    <w:p/>
    <w:p/>
    <w:p>
      <w:pPr>
        <w:jc w:val="center"/>
      </w:pPr>
      <w:r>
        <w:rPr>
          <w:b/>
          <w:color w:val="1A3A6E"/>
          <w:sz w:val="40"/>
        </w:rPr>
        <w:t>RENCANA TINDAK LANJUT (RTL)</w:t>
        <w:br/>
        <w:t>HASIL RAPAT TINJAUAN MANAJEMEN (RTM)</w:t>
      </w:r>
    </w:p>
    <w:p>
      <w:pPr>
        <w:spacing w:before="240"/>
        <w:jc w:val="center"/>
      </w:pPr>
      <w:r>
        <w:rPr>
          <w:b/>
          <w:color w:val="386EE6"/>
          <w:sz w:val="32"/>
        </w:rPr>
        <w:t>PERIODE SEMESTER GENAP</w:t>
      </w:r>
    </w:p>
    <w:p>
      <w:pPr>
        <w:jc w:val="center"/>
      </w:pPr>
      <w:r>
        <w:rPr>
          <w:color w:val="1F2937"/>
          <w:sz w:val="28"/>
        </w:rPr>
        <w:t>TAHUN AKADEMIK 2024/2025</w:t>
      </w:r>
    </w:p>
    <w:p/>
    <w:p/>
    <w:p/>
    <w:p>
      <w:pPr>
        <w:spacing w:before="600"/>
        <w:jc w:val="center"/>
      </w:pPr>
      <w:r>
        <w:rPr>
          <w:i/>
          <w:color w:val="6B7280"/>
          <w:sz w:val="24"/>
        </w:rPr>
        <w:t>Siklus PPEPP — Tahap Peningkatan (P)</w:t>
      </w:r>
    </w:p>
    <w:p>
      <w:pPr>
        <w:jc w:val="center"/>
      </w:pPr>
      <w:r>
        <w:rPr>
          <w:color w:val="6B7280"/>
          <w:sz w:val="22"/>
        </w:rPr>
        <w:t>Berbasis Peraturan Menteri Pendidikan Tinggi No. 39 Tahun 2025</w:t>
      </w:r>
    </w:p>
    <w:p/>
    <w:p/>
    <w:p/>
    <w:p/>
    <w:p>
      <w:pPr>
        <w:jc w:val="center"/>
      </w:pPr>
      <w:r>
        <w:rPr>
          <w:b/>
          <w:color w:val="1A3A6E"/>
          <w:sz w:val="26"/>
        </w:rPr>
        <w:t>TULUNGAGUNG</w:t>
        <w:br/>
        <w:t>2025</w:t>
      </w:r>
    </w:p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I</w:t>
        <w:br/>
        <w:t>PENDAHULUAN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1.1 Latar Belakang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Rencana Tindak Lanjut (RTL) ini disusun sebagai tindak lanjut dari hasil Rapat Tinjauan Manajemen (RTM) periode GENAP Tahun Akademik 2024/2025 yang diselenggarakan pada 15 September 2025. RTL merupakan bentuk pelaksanaan tahap Peningkatan (P) dalam siklus PPEPP Sistem Penjaminan Mutu Internal (SPMI) Universitas Tulungagung.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RTL berisi rencana aksi perbaikan dan peningkatan atas temuan dan Permintaan Tindakan Koreksi (PTK) yang teridentifikasi dari hasil Audit Mutu Internal (AMI) periode genap TA 2024/2025. Setiap tindak lanjut dilengkapi dengan penanggung jawab (PIC), target waktu, dan indikator capaian.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1.2 Tujuan RTL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Menyediakan rencana aksi konkret untuk penyelesaian temuan dan PTK hasil AMI periode genap.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Menetapkan penanggung jawab dan target waktu pelaksanaan tindak lanjut.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Menjadi dasar monitoring dan evaluasi pelaksanaan tindak lanjut oleh PPM.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Mewujudkan peningkatan mutu berkelanjutan sesuai amanat Permen 39/2025.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1.3 Ruang Lingkup RTL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Ruang lingkup RTL meliputi seluruh temuan dan PTK dari 28 standar yang diaudit pada periode genap TA 2024/2025. RTL disusun per kategori standar (Pendidikan, Penelitian, PkM, dan Tambahan) dengan prioritas penanganan berdasarkan tingkat urgensi dan dampak terhadap mutu.</w:t>
      </w:r>
    </w:p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II</w:t>
        <w:br/>
        <w:t>RINCIAN RENCANA TINDAK LANJUT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2.1 Tabel Rencana Tindak Lanjut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Berikut rincian Rencana Tindak Lanjut atas temuan dan PTK hasil AMI periode genap TA 2024/2025: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Standar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Skor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Tindak Lanjut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PIC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SKL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87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Kompetensi Lulusan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UPPS / GKM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SPN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5 temuan pada standar Standar Penilaian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GKM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SPP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84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5 temuan pada standar Standar Pengelolaan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UPPS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SIS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83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5 temuan pada standar Standar Isi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UPPS / GKM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SDT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89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Penyelesaian 4 PTK pada standar Standar Dosen &amp; Tenaga Kependidikan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BAKU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SSP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Sarana &amp; Prasarana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BAU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SPM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Pembiayaan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BAKU / SPI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PEN-LRN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94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Luaran Penelitian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PEN-PRS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color w:val="109881"/>
                <w:sz w:val="17"/>
              </w:rPr>
              <w:t>RENDAH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Pertahankan capaian standar Standar Proses Penelitian (skor 95)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Berkelanjutan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PEN-MSK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91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4 temuan pada standar Standar Masukan Penelitian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 / BAKU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PEN-HSL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92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Hasil Penelitian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PEN-PUB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94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Publikasi Ilmiah Penelitian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PEN-PTN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93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Paten &amp; HKI Penelitian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PEN-DSM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90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4 temuan pada standar Standar Diseminasi Penelitian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PEN-KLB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89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4 temuan pada standar Standar Kolaborasi Penelitian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PKM-LRN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color w:val="109881"/>
                <w:sz w:val="17"/>
              </w:rPr>
              <w:t>RENDAH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Pertahankan capaian standar Standar Luaran PkM (skor 95)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Berkelanjutan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PKM-PRS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96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color w:val="109881"/>
                <w:sz w:val="17"/>
              </w:rPr>
              <w:t>RENDAH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Pertahankan capaian standar Standar Proses PkM (skor 96)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Berkelanjutan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18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PKM-MSK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92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Masukan PkM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 / BAKU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19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PKM-HSL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94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color w:val="109881"/>
                <w:sz w:val="17"/>
              </w:rPr>
              <w:t>RENDAH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Pertahankan capaian standar Standar Hasil PkM (skor 94)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Berkelanjutan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PKM-PUB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93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Publikasi PkM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PKM-PRD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92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Produk &amp; Jasa PkM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22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PKM-DSM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91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Diseminasi PkM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23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PKM-KLB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89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4 temuan pada standar Standar Kolaborasi PkM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SDM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89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Penyelesaian 4 PTK pada standar Standar Sumber Daya Manusia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BAKU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KSP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Keuangan, Sarana, Prasarana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BAKU / BAU / SPI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KJS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80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BS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43F5E"/>
                <w:sz w:val="17"/>
              </w:rPr>
              <w:t>TINGGI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Perbaikan capaian standar Standar Kerjasama agar mencapai skor ≥ 75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BAU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3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27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MBKM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96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color w:val="109881"/>
                <w:sz w:val="17"/>
              </w:rPr>
              <w:t>RENDAH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Pertahankan capaian standar Standar MBKM (skor 96)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UPPS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Berkelanjutan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28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LCT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88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4 temuan pada standar Standar Luaran &amp; Capaian Tridharma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PPM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</w:tbl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III</w:t>
        <w:br/>
        <w:t>DETAIL TINDAK LANJUT PER STANDAR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 Standar Kompetensi Lulusan (SKL)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87/100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Kompetensi Lulusan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UPPS / GKM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Lulusan terserap DUDI 86,50%, IPK rata-rata 3,48, masa studi 3,8 thn, masa tunggu 3,2 bln. Lulusan wirausahawan 18,20%. Semua indikator Tercapai.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 Standar Penilaian (SPN)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85/100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5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5 temuan pada standar Standar Penilaian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GKM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Penilaian di SIAKAD tervalidasi. Feedback dosen terdokumentasi. Rubrik penilaian berbasis OBE mulai diterapkan. Beberapa prodi belum konsisten rubrik.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3.3 Standar Pengelolaan (SPP)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84/100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5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5 temuan pada standar Standar Pengelolaan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UPPS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Rasio mahasiswa per dosen pembimbing 16:1 (target ≤20:1). Dashboard SPMI mulai berfungsi. Mekanisme PPEPP terintegrasi.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3.4 Standar Isi (SIS)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83/100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5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5 temuan pada standar Standar Isi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UPPS / GKM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Ketersediaan dokumen kurikulum 100%. Frekuensi tinjauan kurikulum 2x/tahun. Rasio dosen pembimbing TA 8:1 (dari 12:1). OBE mulai diterapkan.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3.5 Standar Dosen &amp; Tenaga Kependidikan (SDT)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89/100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6 temuan / 4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Penyelesaian 4 PTK pada standar Standar Dosen &amp; Tenaga Kependidikan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BAKU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0 PTK outstanding pada laporan RTL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Total SDM 93 orang. Sertifikasi pendidik 94,60% (target 100%, BELUM TERCAPAI). Dosen Lektor+ 78,40%. Tendik kualifikasi S2 96,40% (BELUM TERCAPAI). Realisasi anggaran SDM 88,70%. 16/18 indikator Terca...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3.6 Standar Sarana &amp; Prasarana (SSP)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95/100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Sarana &amp; Prasarana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BAU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Sarana baik 95,20% (dari 83% di 2023). Prasarana baik 95,80% (dari 84%). Peningkatan signifikan. Beberapa scanner, stand LCD, diesel perlu perbaikan.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3.7 Standar Pembiayaan (SPM)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95/100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Pembiayaan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BAKU / SPI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Realisasi pendapatan 95,20% dari target RENOP. Belanja operasional 94,80%. Belanja kemahasiswaan 95,60%. Belanja penelitian 96,10%. Total pendapatan target Rp28.400 juta. Semua indikator Tercapai.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3.8 Standar Luaran Penelitian (PEN-LRN)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94/100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Luaran Penelitian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Publikasi ilmiah 95,60% (10 dokumen/prodi). HKI 93,40% (meningkat/tahun). Sitasi 90,80%. Adopsi industri 88,50%. Semua Tercapai.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3.9 Standar Proses Penelitian (PEN-PRS)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95/100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temuan / 1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RENDAH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Pertahankan capaian standar Standar Proses Penelitian (skor 95)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Berkelanjutan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 periode berikutnya ≥ 95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Panduan penelitian tersedia 100%. Sosialisasi terlaksana 100%. Laporan akhir 96,80%. Integrasi ke RPS 93,50%. Kesesuaian roadmap 97,20%.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3.10 Standar Masukan Penelitian (PEN-MSK)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91/100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4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4 temuan pada standar Standar Masukan Penelitian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 / BAKU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Pendanaan penelitian dari RENOP. Fasilitas dan infrastruktur penelitian memadai. SDM peneliti tersertifikasi. Sistem informasi terintegrasi.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3.11 Standar Hasil Penelitian (PEN-HSL)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92/100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Hasil Penelitian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Adopsi industri 88,50%. Sitasi 90,80%. Integrasi RPS 93,50%. Hasil penelitian diadopsi untuk pembelajaran dan masyarakat.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3.12 Standar Publikasi Ilmiah Penelitian (PEN-PUB)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94/100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Publikasi Ilmiah Penelitian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Publikasi 95,60% (10 dokumen/prodi/tahun). Sitasi 90,80%. Buku ilmiah meningkat. Semua indikator Tercapai.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3.13 Standar Paten &amp; HKI Penelitian (PEN-PTN)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93/100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Paten &amp; HKI Penelitian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HKI (Paten, Hak Cipta, Desain) 93,40% (meningkat/tahun). Adopsi industri 88,50%. Semua Tercapai.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3.14 Standar Diseminasi Penelitian (PEN-DSM)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90/100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4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4 temuan pada standar Standar Diseminasi Penelitian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Sosialisasi dan pelatihan terkait penelitian terlaksana 100%. Diseminasi melalui seminar dan forum ilmiah. Perlu peningkatan forum internasional.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3.15 Standar Kolaborasi Penelitian (PEN-KLB)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89/100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4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4 temuan pada standar Standar Kolaborasi Penelitian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Proporsi skema penelitian 96,80%. Kerjasama dengan mitra industri perlu peningkatan. Kolaborasi antar-prodi mulai berkembang.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3.16 Standar Luaran PkM (PKM-LRN)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95/100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temuan / 1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RENDAH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Pertahankan capaian standar Standar Luaran PkM (skor 95)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Berkelanjutan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 periode berikutnya ≥ 95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Publikasi PkM 94,50%. HKI/TTG 93,80%. Adopsi masyarakat 91,20%. Penyelesaian masalah mitra 96,80%. Semua Tercapai.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3.17 Standar Proses PkM (PKM-PRS)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96/100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temuan / 1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RENDAH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Pertahankan capaian standar Standar Proses PkM (skor 96)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Berkelanjutan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 periode berikutnya ≥ 96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Panduan PkM tersedia 100%. Sosialisasi 100%. Laporan akhir 96,20%. Integrasi ke RPS 92,80%. Kesesuaian roadmap 95,40%.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3.18 Standar Masukan PkM (PKM-MSK)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92/100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Masukan PkM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 / BAKU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Pendanaan PkM dari RENOP. SDM pengabdi tersertifikasi. Fasilitas penunjang PkM memadai. Sistem informasi PkM mulai berfungsi.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3.19 Standar Hasil PkM (PKM-HSL)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94/100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temuan / 1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RENDAH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Pertahankan capaian standar Standar Hasil PkM (skor 94)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Berkelanjutan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 periode berikutnya ≥ 94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Adopsi hasil PkM oleh masyarakat 91,20%. Penyelesaian masalah mitra 96,80%. TTG meningkat dari 20% (2023). Semua Tercapai.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3.20 Standar Publikasi PkM (PKM-PUB)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93/100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Publikasi PkM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Publikasi ilmiah dari PkM 94,50% (meningkat/tahun). Diseminasi melalui forum dan media. Perlu peningkatan publikasi internasional.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3.21 Standar Produk &amp; Jasa PkM (PKM-PRD)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92/100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Produk &amp; Jasa PkM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HKI/TTG 93,80% (meningkat/tahun). Produk PkM diadopsi masyarakat. TTG masih perlu peningkatan dari 20% (2023).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3.22 Standar Diseminasi PkM (PKM-DSM)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91/100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Diseminasi PkM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Sosialisasi dan pelatihan PkM 100%. Diseminasi melalui seminar dan media. Perlu peningkatan forum diseminasi tingkat nasional.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3.23 Standar Kolaborasi PkM (PKM-KLB)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89/100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4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4 temuan pada standar Standar Kolaborasi PkM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Proporsi skema PkM 95,60%. Jumlah kegiatan PkM progresif 94,20%. Kerjasama dengan mitra luar perlu peningkatan.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3.24 Standar Sumber Daya Manusia (SDM)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89/100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6 temuan / 4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Penyelesaian 4 PTK pada standar Standar Sumber Daya Manusia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BAKU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0 PTK outstanding pada laporan RTL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Total SDM 93 orang. Sertifikasi pendidik 94,60% (BELUM TERCAPAI, target 100%). Dosen Lektor+ 78,40%. Tendik S2 96,40% (BELUM TERCAPAI). Realisasi anggaran SDM 88,70%. 16/18 indikator Tercapai, 2 Belum...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3.25 Standar Keuangan, Sarana, Prasarana (KSP)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95/100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Keuangan, Sarana, Prasarana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BAKU / BAU / SPI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Keuangan: realisasi pendapatan 95,20%, belanja operasional 94,80%, kemahasiswaan 95,60%, penelitian 96,10%. Sarana: 95,20% baik (dari 83%). Prasarana: 95,80% baik (dari 84%). Target pendapatan Rp28.40...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3.26 Standar Kerjasama (KJS)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80/100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BS (Belum 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 temuan / 5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TINGGI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Perbaikan capaian standar Standar Kerjasama agar mencapai skor ≥ 75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BAU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 periode berikutnya ≥ 75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Tidak ada AMI khusus Kerjasama. Data dari AMI MBKM: kerjasama mitra 92,40%. MoU/MoA aktif namun implementasi perlu peningkatan. Perlu AMI khusus untuk Kerjasama.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3.27 Standar MBKM (MBKM)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96/100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temuan / 1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RENDAH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Pertahankan capaian standar Standar MBKM (skor 96)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UPPS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Berkelanjutan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 periode berikutnya ≥ 96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Dokumen Standar MBKM 100. Buku Panduan MBKM 100. Pemetaan Mitra 94,20. Kerjasama mitra 92,40. Rata-rata capaian 95,50 (Sangat Baik). Rekognisi &amp; konversi nilai 96,90. SKPI 95,40. Semua indikator Sanga...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3.28 Standar Luaran &amp; Capaian Tridharma (LCT)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88/100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4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4 temuan pada standar Standar Luaran &amp; Capaian Tridharma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PPM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Lulusan terserap 86,50%. IPK 3,48. Publikasi penelitian 95,60%. Publikasi PkM 94,50%. HKI penelitian 93,40%. HKI/TTG PkM 93,80%. Berdasarkan AMI Pendidikan, Penelitian, dan PkM.</w:t>
      </w:r>
    </w:p>
    <w:p/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IV</w:t>
        <w:br/>
        <w:t>DOKUMENTASI PELAKSANAAN RTL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4.1 Foto Bukti Pelaksanaan Tindak Lanjut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Berikut dokumentasi pelaksanaan Rencana Tindak Lanjut (RTL) periode GENAP TA 2024/2025: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trHeight w:val="3969" w:hRule="atLeast"/>
        </w:trPr>
        <w:tc>
          <w:tcPr>
            <w:tcW w:type="dxa" w:w="7370"/>
            <w:tcBorders>
              <w:top w:val="dashed" w:sz="12" w:color="386EE6"/>
              <w:left w:val="dashed" w:sz="12" w:color="386EE6"/>
              <w:bottom w:val="dashed" w:sz="12" w:color="386EE6"/>
              <w:right w:val="dashed" w:sz="12" w:color="386EE6"/>
            </w:tcBorders>
            <w:shd w:fill="F0F4FF"/>
          </w:tcPr>
          <w:p>
            <w:pPr>
              <w:spacing w:before="1960" w:after="1960"/>
              <w:jc w:val="center"/>
            </w:pPr>
            <w:r/>
            <w:r>
              <w:rPr>
                <w:rFonts w:ascii="Calibri" w:hAnsi="Calibri"/>
                <w:b/>
                <w:color w:val="386EE6"/>
                <w:sz w:val="28"/>
              </w:rPr>
              <w:t>[ FOTO BUKTI PELAKSANAAN RTL GENAP - 1 ]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B7280"/>
                <w:sz w:val="20"/>
              </w:rPr>
              <w:t>Tempel foto bukti rapat di sini</w:t>
            </w:r>
          </w:p>
        </w:tc>
      </w:tr>
    </w:tbl>
    <w:p>
      <w:pPr>
        <w:spacing w:before="80"/>
        <w:jc w:val="center"/>
      </w:pPr>
      <w:r>
        <w:rPr>
          <w:i/>
          <w:color w:val="6B7280"/>
          <w:sz w:val="20"/>
        </w:rPr>
        <w:t>Foto 1: Rapat koordinasi pelaksanaan RTL GENAP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trHeight w:val="3969" w:hRule="atLeast"/>
        </w:trPr>
        <w:tc>
          <w:tcPr>
            <w:tcW w:type="dxa" w:w="7370"/>
            <w:tcBorders>
              <w:top w:val="dashed" w:sz="12" w:color="386EE6"/>
              <w:left w:val="dashed" w:sz="12" w:color="386EE6"/>
              <w:bottom w:val="dashed" w:sz="12" w:color="386EE6"/>
              <w:right w:val="dashed" w:sz="12" w:color="386EE6"/>
            </w:tcBorders>
            <w:shd w:fill="F0F4FF"/>
          </w:tcPr>
          <w:p>
            <w:pPr>
              <w:spacing w:before="1960" w:after="1960"/>
              <w:jc w:val="center"/>
            </w:pPr>
            <w:r/>
            <w:r>
              <w:rPr>
                <w:rFonts w:ascii="Calibri" w:hAnsi="Calibri"/>
                <w:b/>
                <w:color w:val="386EE6"/>
                <w:sz w:val="28"/>
              </w:rPr>
              <w:t>[ FOTO BUKTI PELAKSANAAN RTL GENAP - 2 ]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B7280"/>
                <w:sz w:val="20"/>
              </w:rPr>
              <w:t>Tempel foto bukti rapat di sini</w:t>
            </w:r>
          </w:p>
        </w:tc>
      </w:tr>
    </w:tbl>
    <w:p>
      <w:pPr>
        <w:spacing w:before="80"/>
        <w:jc w:val="center"/>
      </w:pPr>
      <w:r>
        <w:rPr>
          <w:i/>
          <w:color w:val="6B7280"/>
          <w:sz w:val="20"/>
        </w:rPr>
        <w:t>Foto 2: Pelaksanaan tindak lanjut oleh unit kerja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trHeight w:val="3969" w:hRule="atLeast"/>
        </w:trPr>
        <w:tc>
          <w:tcPr>
            <w:tcW w:type="dxa" w:w="7370"/>
            <w:tcBorders>
              <w:top w:val="dashed" w:sz="12" w:color="386EE6"/>
              <w:left w:val="dashed" w:sz="12" w:color="386EE6"/>
              <w:bottom w:val="dashed" w:sz="12" w:color="386EE6"/>
              <w:right w:val="dashed" w:sz="12" w:color="386EE6"/>
            </w:tcBorders>
            <w:shd w:fill="F0F4FF"/>
          </w:tcPr>
          <w:p>
            <w:pPr>
              <w:spacing w:before="1960" w:after="1960"/>
              <w:jc w:val="center"/>
            </w:pPr>
            <w:r/>
            <w:r>
              <w:rPr>
                <w:rFonts w:ascii="Calibri" w:hAnsi="Calibri"/>
                <w:b/>
                <w:color w:val="386EE6"/>
                <w:sz w:val="28"/>
              </w:rPr>
              <w:t>[ FOTO KEGIATAN TINDAK LANJUT GENAP ]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B7280"/>
                <w:sz w:val="20"/>
              </w:rPr>
              <w:t>Tempel foto bukti rapat di sini</w:t>
            </w:r>
          </w:p>
        </w:tc>
      </w:tr>
    </w:tbl>
    <w:p>
      <w:pPr>
        <w:spacing w:before="80"/>
        <w:jc w:val="center"/>
      </w:pPr>
      <w:r>
        <w:rPr>
          <w:i/>
          <w:color w:val="6B7280"/>
          <w:sz w:val="20"/>
        </w:rPr>
        <w:t>Foto 3: Dokumentasi kegiatan tindak lanjut (pelatihan/workshop/koordinasi)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trHeight w:val="3969" w:hRule="atLeast"/>
        </w:trPr>
        <w:tc>
          <w:tcPr>
            <w:tcW w:type="dxa" w:w="7370"/>
            <w:tcBorders>
              <w:top w:val="dashed" w:sz="12" w:color="386EE6"/>
              <w:left w:val="dashed" w:sz="12" w:color="386EE6"/>
              <w:bottom w:val="dashed" w:sz="12" w:color="386EE6"/>
              <w:right w:val="dashed" w:sz="12" w:color="386EE6"/>
            </w:tcBorders>
            <w:shd w:fill="F0F4FF"/>
          </w:tcPr>
          <w:p>
            <w:pPr>
              <w:spacing w:before="1960" w:after="1960"/>
              <w:jc w:val="center"/>
            </w:pPr>
            <w:r/>
            <w:r>
              <w:rPr>
                <w:rFonts w:ascii="Calibri" w:hAnsi="Calibri"/>
                <w:b/>
                <w:color w:val="386EE6"/>
                <w:sz w:val="28"/>
              </w:rPr>
              <w:t>[ FOTO BERITA ACARA RTL GENAP ]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B7280"/>
                <w:sz w:val="20"/>
              </w:rPr>
              <w:t>Tempel foto bukti rapat di sini</w:t>
            </w:r>
          </w:p>
        </w:tc>
      </w:tr>
    </w:tbl>
    <w:p>
      <w:pPr>
        <w:spacing w:before="80"/>
        <w:jc w:val="center"/>
      </w:pPr>
      <w:r>
        <w:rPr>
          <w:i/>
          <w:color w:val="6B7280"/>
          <w:sz w:val="20"/>
        </w:rPr>
        <w:t>Foto 4: Berita acara pelaksanaan RTL</w:t>
      </w:r>
    </w:p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V</w:t>
        <w:br/>
        <w:t>MONITORING DAN EVALUASI RTL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5.1 Mekanisme Monitoring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Monitoring pelaksanaan RTL dilakukan oleh Pusat Penjaminan Mutu (PPM) dengan mekanisme sebagai berikut: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Laporan progres RTL dari setiap PIC disampaikan ke PPM setiap bulan.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PPM mengkompilasi laporan progres dan menyampaikan ke Wakil Rektor I setiap 2 bulan.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Evaluasi akhir pelaksanaan RTL dilakukan dalam RTM periode berikutnya.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5.2 Indikator Keberhasilan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Keberhasilan pelaksanaan RTL diukur berdasarkan indikator berikut: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Persentase PTK yang diselesaikan ≥ 90% pada akhir periode RTL.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Kenaikan skor AMI pada standar yang menjadi prioritas.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Penurunan jumlah temuan pada periode AMI berikutnya.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Tersedianya bukti dokumen pelaksanaan tindak lanjut.</w:t>
      </w:r>
    </w:p>
    <w:p/>
    <w:p/>
    <w:p>
      <w:pPr>
        <w:jc w:val="right"/>
      </w:pPr>
      <w:r>
        <w:rPr>
          <w:sz w:val="22"/>
        </w:rPr>
        <w:t>Tulungagung, 15 September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3A6E"/>
                <w:sz w:val="22"/>
              </w:rPr>
              <w:t>Penyusun RTL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3A6E"/>
                <w:sz w:val="22"/>
              </w:rPr>
              <w:t>Mengetahui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3A6E"/>
                <w:sz w:val="22"/>
              </w:rPr>
              <w:t>Menyetujui</w:t>
            </w:r>
          </w:p>
        </w:tc>
      </w:tr>
      <w:tr>
        <w:tc>
          <w:tcPr>
            <w:tcW w:type="dxa" w:w="2551"/>
          </w:tcPr>
          <w:p>
            <w:pPr>
              <w:spacing w:before="800" w:after="400"/>
              <w:jc w:val="center"/>
            </w:pPr>
            <w:r/>
            <w:r/>
          </w:p>
        </w:tc>
        <w:tc>
          <w:tcPr>
            <w:tcW w:type="dxa" w:w="2551"/>
          </w:tcPr>
          <w:p>
            <w:pPr>
              <w:spacing w:before="800" w:after="400"/>
              <w:jc w:val="center"/>
            </w:pPr>
            <w:r/>
            <w:r/>
          </w:p>
        </w:tc>
        <w:tc>
          <w:tcPr>
            <w:tcW w:type="dxa" w:w="2551"/>
          </w:tcPr>
          <w:p>
            <w:pPr>
              <w:spacing w:before="800" w:after="400"/>
              <w:jc w:val="center"/>
            </w:pPr>
            <w:r/>
            <w:r/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2937"/>
                <w:sz w:val="22"/>
              </w:rPr>
              <w:t>Dra. Dwi Iriani Margayaningsih, M.AP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2937"/>
                <w:sz w:val="22"/>
              </w:rPr>
              <w:t>Dr. Anang Sugeng C., S.AP., M.Si.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2937"/>
                <w:sz w:val="22"/>
              </w:rPr>
              <w:t>Dr. Muharsono, M.Si.</w:t>
            </w:r>
          </w:p>
        </w:tc>
      </w:tr>
    </w:tbl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