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color w:val="1A3A6E"/>
          <w:sz w:val="36"/>
        </w:rPr>
        <w:t>UNIVERSITAS TULUNGAGUNG</w:t>
      </w:r>
    </w:p>
    <w:p>
      <w:pPr>
        <w:jc w:val="center"/>
      </w:pPr>
      <w:r>
        <w:rPr>
          <w:rFonts w:ascii="Calibri" w:hAnsi="Calibri"/>
          <w:color w:val="386EE6"/>
          <w:sz w:val="26"/>
        </w:rPr>
        <w:t>PUSAT PENJAMINAN MUTU (PPM)</w:t>
      </w:r>
    </w:p>
    <w:p>
      <w:pPr>
        <w:spacing w:before="400" w:after="400"/>
        <w:jc w:val="center"/>
      </w:pPr>
      <w:r>
        <w:rPr>
          <w:color w:val="386EE6"/>
        </w:rPr>
        <w:t>━━━━━━━━━━━━━━━━━━━━━━━━━━━━━━━━━━━━━</w:t>
      </w:r>
    </w:p>
    <w:p/>
    <w:p/>
    <w:p>
      <w:pPr>
        <w:jc w:val="center"/>
      </w:pPr>
      <w:r>
        <w:rPr>
          <w:rFonts w:ascii="Calibri" w:hAnsi="Calibri"/>
          <w:b/>
          <w:color w:val="1A3A6E"/>
          <w:sz w:val="44"/>
        </w:rPr>
        <w:t>BERITA ACARA</w:t>
        <w:br/>
        <w:t>RAPAT TINJAUAN MANAJEMEN (RTM)</w:t>
      </w:r>
    </w:p>
    <w:p>
      <w:pPr>
        <w:spacing w:before="240"/>
        <w:jc w:val="center"/>
      </w:pPr>
      <w:r>
        <w:rPr>
          <w:rFonts w:ascii="Calibri" w:hAnsi="Calibri"/>
          <w:b/>
          <w:color w:val="386EE6"/>
          <w:sz w:val="32"/>
        </w:rPr>
        <w:t>PERIODE SEMESTER GANJIL</w:t>
      </w:r>
    </w:p>
    <w:p>
      <w:pPr>
        <w:jc w:val="center"/>
      </w:pPr>
      <w:r>
        <w:rPr>
          <w:rFonts w:ascii="Calibri" w:hAnsi="Calibri"/>
          <w:color w:val="1F2937"/>
          <w:sz w:val="28"/>
        </w:rPr>
        <w:t>TAHUN AKADEMIK 2024/2025</w:t>
      </w:r>
    </w:p>
    <w:p/>
    <w:p/>
    <w:p/>
    <w:p>
      <w:pPr>
        <w:spacing w:before="600"/>
        <w:jc w:val="center"/>
      </w:pPr>
      <w:r>
        <w:rPr>
          <w:i/>
          <w:color w:val="6B7280"/>
          <w:sz w:val="24"/>
        </w:rPr>
        <w:t>Siklus PPEPP — Tahap Pengendalian (P)</w:t>
      </w:r>
    </w:p>
    <w:p>
      <w:pPr>
        <w:jc w:val="center"/>
      </w:pPr>
      <w:r>
        <w:rPr>
          <w:color w:val="6B7280"/>
          <w:sz w:val="22"/>
        </w:rPr>
        <w:t>Berbasis Peraturan Menteri Pendidikan Tinggi No. 39 Tahun 2025</w:t>
      </w:r>
    </w:p>
    <w:p/>
    <w:p/>
    <w:p/>
    <w:p/>
    <w:p>
      <w:pPr>
        <w:jc w:val="center"/>
      </w:pPr>
      <w:r>
        <w:rPr>
          <w:b/>
          <w:color w:val="1A3A6E"/>
          <w:sz w:val="26"/>
        </w:rPr>
        <w:t>TULUNGAGUNG</w:t>
        <w:br/>
        <w:t>2025</w:t>
      </w:r>
    </w:p>
    <w:p>
      <w:r>
        <w:br w:type="page"/>
      </w:r>
    </w:p>
    <w:p>
      <w:pPr>
        <w:keepNext/>
        <w:spacing w:before="360" w:after="160"/>
        <w:jc w:val="center"/>
      </w:pPr>
      <w:r>
        <w:rPr>
          <w:rFonts w:ascii="Calibri" w:hAnsi="Calibri"/>
          <w:b/>
          <w:color w:val="1A3A6E"/>
          <w:sz w:val="40"/>
        </w:rPr>
        <w:t>BAB I</w:t>
        <w:br/>
        <w:t>PENDAHULUAN</w:t>
      </w:r>
    </w:p>
    <w:p>
      <w:pPr>
        <w:keepNext/>
        <w:spacing w:before="240" w:after="160"/>
      </w:pPr>
      <w:r>
        <w:rPr>
          <w:rFonts w:ascii="Calibri" w:hAnsi="Calibri"/>
          <w:b/>
          <w:color w:val="1A3A6E"/>
          <w:sz w:val="26"/>
        </w:rPr>
        <w:t>1.1 Latar Belakang</w:t>
      </w:r>
    </w:p>
    <w:p>
      <w:pPr>
        <w:spacing w:after="120" w:line="312" w:lineRule="auto"/>
        <w:ind w:firstLine="567"/>
        <w:jc w:val="both"/>
      </w:pPr>
      <w:r>
        <w:rPr>
          <w:rFonts w:ascii="Calibri" w:hAnsi="Calibri"/>
          <w:b w:val="0"/>
          <w:color w:val="1F2937"/>
          <w:sz w:val="22"/>
        </w:rPr>
        <w:t>Rapat Tinjauan Manajemen (RTM) periode Semester Ganjil Tahun Akademik 2024/2025 diselenggarakan sebagai bentuk pelaksanaan tahap Pengendalian (P) dalam siklus PPEPP Sistem Penjaminan Mutu Internal (SPMI) Universitas Tulungagung. RTM ini membahas hasil Audit Mutu Internal (AMI) periode September 2024 sampai dengan Januari 2025 yang mencakup audit terhadap standar-standar yang dilaksanakan pada semester ganjil.</w:t>
      </w:r>
    </w:p>
    <w:p>
      <w:pPr>
        <w:spacing w:after="120" w:line="312" w:lineRule="auto"/>
        <w:ind w:firstLine="567"/>
        <w:jc w:val="both"/>
      </w:pPr>
      <w:r>
        <w:rPr>
          <w:rFonts w:ascii="Calibri" w:hAnsi="Calibri"/>
          <w:b w:val="0"/>
          <w:color w:val="1F2937"/>
          <w:sz w:val="22"/>
        </w:rPr>
        <w:t>RTM merupakan forum evaluasi kinerja institusi yang dipimpin oleh Rektor dan dihadiri oleh pimpinan universitas, dekan, ketua program studi, serta penanggung jawab unit penjaminan mutu. Hasil RTM menjadi dasar penyusunan Rencana Tindak Lanjut (RTL) untuk perbaikan dan peningkatan mutu secara berkelanjutan.</w:t>
      </w:r>
    </w:p>
    <w:p>
      <w:pPr>
        <w:keepNext/>
        <w:spacing w:before="240" w:after="160"/>
      </w:pPr>
      <w:r>
        <w:rPr>
          <w:rFonts w:ascii="Calibri" w:hAnsi="Calibri"/>
          <w:b/>
          <w:color w:val="1A3A6E"/>
          <w:sz w:val="26"/>
        </w:rPr>
        <w:t>1.2 Dasar Hukum</w:t>
      </w:r>
    </w:p>
    <w:p>
      <w:pPr>
        <w:pStyle w:val="ListBullet"/>
        <w:spacing w:after="60" w:line="312" w:lineRule="auto"/>
        <w:ind w:left="567"/>
      </w:pPr>
      <w:r>
        <w:rPr>
          <w:rFonts w:ascii="Calibri" w:hAnsi="Calibri"/>
          <w:sz w:val="22"/>
        </w:rPr>
        <w:t>Undang-Undang Republik Indonesia Nomor 12 Tahun 2012 tentang Pendidikan Tinggi</w:t>
      </w:r>
    </w:p>
    <w:p>
      <w:pPr>
        <w:pStyle w:val="ListBullet"/>
        <w:spacing w:after="60" w:line="312" w:lineRule="auto"/>
        <w:ind w:left="567"/>
      </w:pPr>
      <w:r>
        <w:rPr>
          <w:rFonts w:ascii="Calibri" w:hAnsi="Calibri"/>
          <w:sz w:val="22"/>
        </w:rPr>
        <w:t>Peraturan Pemerintah Republik Indonesia No. 4 Tahun 2014 tentang Penyelenggaraan Pendidikan Tinggi</w:t>
      </w:r>
    </w:p>
    <w:p>
      <w:pPr>
        <w:pStyle w:val="ListBullet"/>
        <w:spacing w:after="60" w:line="312" w:lineRule="auto"/>
        <w:ind w:left="567"/>
      </w:pPr>
      <w:r>
        <w:rPr>
          <w:rFonts w:ascii="Calibri" w:hAnsi="Calibri"/>
          <w:sz w:val="22"/>
        </w:rPr>
        <w:t>Peraturan Menteri Pendidikan Tinggi Nomor 39 Tahun 2025 tentang Penjaminan Mutu Pendidikan Tinggi</w:t>
      </w:r>
    </w:p>
    <w:p>
      <w:pPr>
        <w:pStyle w:val="ListBullet"/>
        <w:spacing w:after="60" w:line="312" w:lineRule="auto"/>
        <w:ind w:left="567"/>
      </w:pPr>
      <w:r>
        <w:rPr>
          <w:rFonts w:ascii="Calibri" w:hAnsi="Calibri"/>
          <w:sz w:val="22"/>
        </w:rPr>
        <w:t>SK Rektor UNITA Nomor A/039.A/KEP/UNITA/VIII/2020 tentang Manual Mutu Monev-In</w:t>
      </w:r>
    </w:p>
    <w:p>
      <w:pPr>
        <w:pStyle w:val="ListBullet"/>
        <w:spacing w:after="60" w:line="312" w:lineRule="auto"/>
        <w:ind w:left="567"/>
      </w:pPr>
      <w:r>
        <w:rPr>
          <w:rFonts w:ascii="Calibri" w:hAnsi="Calibri"/>
          <w:sz w:val="22"/>
        </w:rPr>
        <w:t>SK Rektor UNITA Nomor A/026/KEP/UNITA/VI/2022 tentang Pengangkatan Pejabat Penjaminan Mutu</w:t>
      </w:r>
    </w:p>
    <w:p>
      <w:pPr>
        <w:keepNext/>
        <w:spacing w:before="240" w:after="160"/>
      </w:pPr>
      <w:r>
        <w:rPr>
          <w:rFonts w:ascii="Calibri" w:hAnsi="Calibri"/>
          <w:b/>
          <w:color w:val="1A3A6E"/>
          <w:sz w:val="26"/>
        </w:rPr>
        <w:t>1.3 Tujuan RTM</w:t>
      </w:r>
    </w:p>
    <w:p>
      <w:pPr>
        <w:pStyle w:val="ListBullet"/>
        <w:spacing w:after="60" w:line="312" w:lineRule="auto"/>
        <w:ind w:left="567"/>
      </w:pPr>
      <w:r>
        <w:rPr>
          <w:rFonts w:ascii="Calibri" w:hAnsi="Calibri"/>
          <w:sz w:val="22"/>
        </w:rPr>
        <w:t>Membahas dan mengevaluasi hasil Audit Mutu Internal (AMI) periode semester ganjil TA 2024/2025.</w:t>
      </w:r>
    </w:p>
    <w:p>
      <w:pPr>
        <w:pStyle w:val="ListBullet"/>
        <w:spacing w:after="60" w:line="312" w:lineRule="auto"/>
        <w:ind w:left="567"/>
      </w:pPr>
      <w:r>
        <w:rPr>
          <w:rFonts w:ascii="Calibri" w:hAnsi="Calibri"/>
          <w:sz w:val="22"/>
        </w:rPr>
        <w:t>Mengidentifikasi temuan dan Permintaan Tindakan Koreksi (PTK) yang memerlukan tindak lanjut.</w:t>
      </w:r>
    </w:p>
    <w:p>
      <w:pPr>
        <w:pStyle w:val="ListBullet"/>
        <w:spacing w:after="60" w:line="312" w:lineRule="auto"/>
        <w:ind w:left="567"/>
      </w:pPr>
      <w:r>
        <w:rPr>
          <w:rFonts w:ascii="Calibri" w:hAnsi="Calibri"/>
          <w:sz w:val="22"/>
        </w:rPr>
        <w:t>Merumuskan keputusan strategis untuk perbaikan dan peningkatan mutu.</w:t>
      </w:r>
    </w:p>
    <w:p>
      <w:pPr>
        <w:pStyle w:val="ListBullet"/>
        <w:spacing w:after="60" w:line="312" w:lineRule="auto"/>
        <w:ind w:left="567"/>
      </w:pPr>
      <w:r>
        <w:rPr>
          <w:rFonts w:ascii="Calibri" w:hAnsi="Calibri"/>
          <w:sz w:val="22"/>
        </w:rPr>
        <w:t>Menetapkan Rencana Tindak Lanjut (RTL) dengan penanggung jawab dan target waktu yang jelas.</w:t>
      </w:r>
    </w:p>
    <w:p>
      <w:r>
        <w:br w:type="page"/>
      </w:r>
    </w:p>
    <w:p>
      <w:pPr>
        <w:keepNext/>
        <w:spacing w:before="360" w:after="160"/>
        <w:jc w:val="center"/>
      </w:pPr>
      <w:r>
        <w:rPr>
          <w:rFonts w:ascii="Calibri" w:hAnsi="Calibri"/>
          <w:b/>
          <w:color w:val="1A3A6E"/>
          <w:sz w:val="40"/>
        </w:rPr>
        <w:t>BAB II</w:t>
        <w:br/>
        <w:t>PELAKSANAAN RAPAT TINJAUAN MANAJEMEN</w:t>
      </w:r>
    </w:p>
    <w:p>
      <w:pPr>
        <w:keepNext/>
        <w:spacing w:before="240" w:after="160"/>
      </w:pPr>
      <w:r>
        <w:rPr>
          <w:rFonts w:ascii="Calibri" w:hAnsi="Calibri"/>
          <w:b/>
          <w:color w:val="1A3A6E"/>
          <w:sz w:val="26"/>
        </w:rPr>
        <w:t>2.1 Waktu dan Tempat</w:t>
      </w:r>
    </w:p>
    <w:tbl>
      <w:tblPr>
        <w:tblStyle w:val="TableGrid"/>
        <w:tblW w:type="auto" w:w="0"/>
        <w:jc w:val="center"/>
        <w:tblLook w:firstColumn="1" w:firstRow="1" w:lastColumn="0" w:lastRow="0" w:noHBand="0" w:noVBand="1" w:val="04A0"/>
      </w:tblPr>
      <w:tblGrid>
        <w:gridCol w:w="3968"/>
        <w:gridCol w:w="3968"/>
      </w:tblGrid>
      <w:tr>
        <w:tc>
          <w:tcPr>
            <w:tcW w:type="dxa" w:w="3968"/>
            <w:shd w:fill="1A3A6E"/>
            <w:vAlign w:val="center"/>
          </w:tcPr>
          <w:p>
            <w:pPr>
              <w:jc w:val="center"/>
            </w:pPr>
            <w:r/>
            <w:r>
              <w:rPr>
                <w:rFonts w:ascii="Calibri" w:hAnsi="Calibri"/>
                <w:b/>
                <w:color w:val="FFFFFF"/>
                <w:sz w:val="20"/>
              </w:rPr>
              <w:t>Aspek</w:t>
            </w:r>
          </w:p>
        </w:tc>
        <w:tc>
          <w:tcPr>
            <w:tcW w:type="dxa" w:w="3968"/>
            <w:shd w:fill="1A3A6E"/>
            <w:vAlign w:val="center"/>
          </w:tcPr>
          <w:p>
            <w:pPr>
              <w:jc w:val="center"/>
            </w:pPr>
            <w:r/>
            <w:r>
              <w:rPr>
                <w:rFonts w:ascii="Calibri" w:hAnsi="Calibri"/>
                <w:b/>
                <w:color w:val="FFFFFF"/>
                <w:sz w:val="20"/>
              </w:rPr>
              <w:t>Keterangan</w:t>
            </w:r>
          </w:p>
        </w:tc>
      </w:tr>
      <w:tr>
        <w:tc>
          <w:tcPr>
            <w:tcW w:type="dxa" w:w="3968"/>
          </w:tcPr>
          <w:p/>
        </w:tc>
        <w:tc>
          <w:tcPr>
            <w:tcW w:type="dxa" w:w="3968"/>
          </w:tcPr>
          <w:p/>
        </w:tc>
      </w:tr>
      <w:tr>
        <w:tc>
          <w:tcPr>
            <w:tcW w:type="dxa" w:w="3968"/>
          </w:tcPr>
          <w:p/>
        </w:tc>
        <w:tc>
          <w:tcPr>
            <w:tcW w:type="dxa" w:w="3968"/>
          </w:tcPr>
          <w:p/>
        </w:tc>
      </w:tr>
      <w:tr>
        <w:tc>
          <w:tcPr>
            <w:tcW w:type="dxa" w:w="3968"/>
          </w:tcPr>
          <w:p/>
        </w:tc>
        <w:tc>
          <w:tcPr>
            <w:tcW w:type="dxa" w:w="3968"/>
          </w:tcPr>
          <w:p/>
        </w:tc>
      </w:tr>
      <w:tr>
        <w:tc>
          <w:tcPr>
            <w:tcW w:type="dxa" w:w="3968"/>
            <w:vAlign w:val="center"/>
          </w:tcPr>
          <w:p>
            <w:r/>
            <w:r>
              <w:rPr>
                <w:rFonts w:ascii="Calibri" w:hAnsi="Calibri"/>
                <w:b w:val="0"/>
                <w:sz w:val="19"/>
              </w:rPr>
              <w:t>Hari/Tanggal</w:t>
            </w:r>
          </w:p>
        </w:tc>
        <w:tc>
          <w:tcPr>
            <w:tcW w:type="dxa" w:w="3968"/>
            <w:vAlign w:val="center"/>
          </w:tcPr>
          <w:p>
            <w:r/>
            <w:r>
              <w:rPr>
                <w:rFonts w:ascii="Calibri" w:hAnsi="Calibri"/>
                <w:b w:val="0"/>
                <w:sz w:val="19"/>
              </w:rPr>
              <w:t>15 Februari 2025</w:t>
            </w:r>
          </w:p>
        </w:tc>
      </w:tr>
      <w:tr>
        <w:tc>
          <w:tcPr>
            <w:tcW w:type="dxa" w:w="3968"/>
            <w:vAlign w:val="center"/>
          </w:tcPr>
          <w:p>
            <w:r/>
            <w:r>
              <w:rPr>
                <w:rFonts w:ascii="Calibri" w:hAnsi="Calibri"/>
                <w:b w:val="0"/>
                <w:sz w:val="19"/>
              </w:rPr>
              <w:t>Waktu</w:t>
            </w:r>
          </w:p>
        </w:tc>
        <w:tc>
          <w:tcPr>
            <w:tcW w:type="dxa" w:w="3968"/>
            <w:vAlign w:val="center"/>
          </w:tcPr>
          <w:p>
            <w:r/>
            <w:r>
              <w:rPr>
                <w:rFonts w:ascii="Calibri" w:hAnsi="Calibri"/>
                <w:b w:val="0"/>
                <w:sz w:val="19"/>
              </w:rPr>
              <w:t>09.00 WIB - selesai</w:t>
            </w:r>
          </w:p>
        </w:tc>
      </w:tr>
      <w:tr>
        <w:tc>
          <w:tcPr>
            <w:tcW w:type="dxa" w:w="3968"/>
            <w:vAlign w:val="center"/>
          </w:tcPr>
          <w:p>
            <w:r/>
            <w:r>
              <w:rPr>
                <w:rFonts w:ascii="Calibri" w:hAnsi="Calibri"/>
                <w:b w:val="0"/>
                <w:sz w:val="19"/>
              </w:rPr>
              <w:t>Tempat</w:t>
            </w:r>
          </w:p>
        </w:tc>
        <w:tc>
          <w:tcPr>
            <w:tcW w:type="dxa" w:w="3968"/>
            <w:vAlign w:val="center"/>
          </w:tcPr>
          <w:p>
            <w:r/>
            <w:r>
              <w:rPr>
                <w:rFonts w:ascii="Calibri" w:hAnsi="Calibri"/>
                <w:b w:val="0"/>
                <w:sz w:val="19"/>
              </w:rPr>
              <w:t>Ruang Rapat Rektorat Universitas Tulungagung</w:t>
            </w:r>
          </w:p>
        </w:tc>
      </w:tr>
    </w:tbl>
    <w:p/>
    <w:p>
      <w:pPr>
        <w:keepNext/>
        <w:spacing w:before="240" w:after="160"/>
      </w:pPr>
      <w:r>
        <w:rPr>
          <w:rFonts w:ascii="Calibri" w:hAnsi="Calibri"/>
          <w:b/>
          <w:color w:val="1A3A6E"/>
          <w:sz w:val="26"/>
        </w:rPr>
        <w:t>2.2 Peserta Rapat</w:t>
      </w:r>
    </w:p>
    <w:tbl>
      <w:tblPr>
        <w:tblStyle w:val="TableGrid"/>
        <w:tblW w:type="auto" w:w="0"/>
        <w:jc w:val="center"/>
        <w:tblLook w:firstColumn="1" w:firstRow="1" w:lastColumn="0" w:lastRow="0" w:noHBand="0" w:noVBand="1" w:val="04A0"/>
      </w:tblPr>
      <w:tblGrid>
        <w:gridCol w:w="1984"/>
        <w:gridCol w:w="1984"/>
        <w:gridCol w:w="1984"/>
        <w:gridCol w:w="1984"/>
      </w:tblGrid>
      <w:tr>
        <w:tc>
          <w:tcPr>
            <w:tcW w:type="dxa" w:w="1984"/>
            <w:shd w:fill="1A3A6E"/>
            <w:vAlign w:val="center"/>
          </w:tcPr>
          <w:p>
            <w:pPr>
              <w:jc w:val="center"/>
            </w:pPr>
            <w:r/>
            <w:r>
              <w:rPr>
                <w:rFonts w:ascii="Calibri" w:hAnsi="Calibri"/>
                <w:b/>
                <w:color w:val="FFFFFF"/>
                <w:sz w:val="20"/>
              </w:rPr>
              <w:t>No</w:t>
            </w:r>
          </w:p>
        </w:tc>
        <w:tc>
          <w:tcPr>
            <w:tcW w:type="dxa" w:w="1984"/>
            <w:shd w:fill="1A3A6E"/>
            <w:vAlign w:val="center"/>
          </w:tcPr>
          <w:p>
            <w:pPr>
              <w:jc w:val="center"/>
            </w:pPr>
            <w:r/>
            <w:r>
              <w:rPr>
                <w:rFonts w:ascii="Calibri" w:hAnsi="Calibri"/>
                <w:b/>
                <w:color w:val="FFFFFF"/>
                <w:sz w:val="20"/>
              </w:rPr>
              <w:t>Nama</w:t>
            </w:r>
          </w:p>
        </w:tc>
        <w:tc>
          <w:tcPr>
            <w:tcW w:type="dxa" w:w="1984"/>
            <w:shd w:fill="1A3A6E"/>
            <w:vAlign w:val="center"/>
          </w:tcPr>
          <w:p>
            <w:pPr>
              <w:jc w:val="center"/>
            </w:pPr>
            <w:r/>
            <w:r>
              <w:rPr>
                <w:rFonts w:ascii="Calibri" w:hAnsi="Calibri"/>
                <w:b/>
                <w:color w:val="FFFFFF"/>
                <w:sz w:val="20"/>
              </w:rPr>
              <w:t>Jabatan</w:t>
            </w:r>
          </w:p>
        </w:tc>
        <w:tc>
          <w:tcPr>
            <w:tcW w:type="dxa" w:w="1984"/>
            <w:shd w:fill="1A3A6E"/>
            <w:vAlign w:val="center"/>
          </w:tcPr>
          <w:p>
            <w:pPr>
              <w:jc w:val="center"/>
            </w:pPr>
            <w:r/>
            <w:r>
              <w:rPr>
                <w:rFonts w:ascii="Calibri" w:hAnsi="Calibri"/>
                <w:b/>
                <w:color w:val="FFFFFF"/>
                <w:sz w:val="20"/>
              </w:rPr>
              <w:t>Status Kehadiran</w:t>
            </w:r>
          </w:p>
        </w:tc>
      </w:tr>
      <w:tr>
        <w:tc>
          <w:tcPr>
            <w:tcW w:type="dxa" w:w="1984"/>
            <w:vAlign w:val="center"/>
          </w:tcPr>
          <w:p>
            <w:r/>
            <w:r>
              <w:rPr>
                <w:rFonts w:ascii="Calibri" w:hAnsi="Calibri"/>
                <w:b w:val="0"/>
                <w:sz w:val="19"/>
              </w:rPr>
              <w:t>1</w:t>
            </w:r>
          </w:p>
        </w:tc>
        <w:tc>
          <w:tcPr>
            <w:tcW w:type="dxa" w:w="1984"/>
            <w:vAlign w:val="center"/>
          </w:tcPr>
          <w:p>
            <w:r/>
            <w:r>
              <w:rPr>
                <w:rFonts w:ascii="Calibri" w:hAnsi="Calibri"/>
                <w:b w:val="0"/>
                <w:sz w:val="19"/>
              </w:rPr>
              <w:t>Dr. Muharsono, M.Si.</w:t>
            </w:r>
          </w:p>
        </w:tc>
        <w:tc>
          <w:tcPr>
            <w:tcW w:type="dxa" w:w="1984"/>
            <w:vAlign w:val="center"/>
          </w:tcPr>
          <w:p>
            <w:r/>
            <w:r>
              <w:rPr>
                <w:rFonts w:ascii="Calibri" w:hAnsi="Calibri"/>
                <w:b w:val="0"/>
                <w:sz w:val="19"/>
              </w:rPr>
              <w:t>Rektor (Pemimpin Rapat)</w:t>
            </w:r>
          </w:p>
        </w:tc>
        <w:tc>
          <w:tcPr>
            <w:tcW w:type="dxa" w:w="1984"/>
            <w:vAlign w:val="center"/>
          </w:tcPr>
          <w:p>
            <w:r/>
            <w:r>
              <w:rPr>
                <w:rFonts w:ascii="Calibri" w:hAnsi="Calibri"/>
                <w:b w:val="0"/>
                <w:sz w:val="19"/>
              </w:rPr>
              <w:t>Hadir</w:t>
            </w:r>
          </w:p>
        </w:tc>
      </w:tr>
      <w:tr>
        <w:tc>
          <w:tcPr>
            <w:tcW w:type="dxa" w:w="1984"/>
            <w:vAlign w:val="center"/>
          </w:tcPr>
          <w:p>
            <w:r/>
            <w:r>
              <w:rPr>
                <w:rFonts w:ascii="Calibri" w:hAnsi="Calibri"/>
                <w:b w:val="0"/>
                <w:sz w:val="19"/>
              </w:rPr>
              <w:t>2</w:t>
            </w:r>
          </w:p>
        </w:tc>
        <w:tc>
          <w:tcPr>
            <w:tcW w:type="dxa" w:w="1984"/>
            <w:vAlign w:val="center"/>
          </w:tcPr>
          <w:p>
            <w:r/>
            <w:r>
              <w:rPr>
                <w:rFonts w:ascii="Calibri" w:hAnsi="Calibri"/>
                <w:b w:val="0"/>
                <w:sz w:val="19"/>
              </w:rPr>
              <w:t>Dr. Ir. Bambang Tri Kurnianto, Dipl.Inv., M.MA</w:t>
            </w:r>
          </w:p>
        </w:tc>
        <w:tc>
          <w:tcPr>
            <w:tcW w:type="dxa" w:w="1984"/>
            <w:vAlign w:val="center"/>
          </w:tcPr>
          <w:p>
            <w:r/>
            <w:r>
              <w:rPr>
                <w:rFonts w:ascii="Calibri" w:hAnsi="Calibri"/>
                <w:b w:val="0"/>
                <w:sz w:val="19"/>
              </w:rPr>
              <w:t>Wakil Rektor I</w:t>
            </w:r>
          </w:p>
        </w:tc>
        <w:tc>
          <w:tcPr>
            <w:tcW w:type="dxa" w:w="1984"/>
            <w:vAlign w:val="center"/>
          </w:tcPr>
          <w:p>
            <w:r/>
            <w:r>
              <w:rPr>
                <w:rFonts w:ascii="Calibri" w:hAnsi="Calibri"/>
                <w:b w:val="0"/>
                <w:sz w:val="19"/>
              </w:rPr>
              <w:t>Hadir</w:t>
            </w:r>
          </w:p>
        </w:tc>
      </w:tr>
      <w:tr>
        <w:tc>
          <w:tcPr>
            <w:tcW w:type="dxa" w:w="1984"/>
            <w:vAlign w:val="center"/>
          </w:tcPr>
          <w:p>
            <w:r/>
            <w:r>
              <w:rPr>
                <w:rFonts w:ascii="Calibri" w:hAnsi="Calibri"/>
                <w:b w:val="0"/>
                <w:sz w:val="19"/>
              </w:rPr>
              <w:t>3</w:t>
            </w:r>
          </w:p>
        </w:tc>
        <w:tc>
          <w:tcPr>
            <w:tcW w:type="dxa" w:w="1984"/>
            <w:vAlign w:val="center"/>
          </w:tcPr>
          <w:p>
            <w:r/>
            <w:r>
              <w:rPr>
                <w:rFonts w:ascii="Calibri" w:hAnsi="Calibri"/>
                <w:b w:val="0"/>
                <w:sz w:val="19"/>
              </w:rPr>
              <w:t>Dr. Wenni Wahyuandari, SE., M.Ak.</w:t>
            </w:r>
          </w:p>
        </w:tc>
        <w:tc>
          <w:tcPr>
            <w:tcW w:type="dxa" w:w="1984"/>
            <w:vAlign w:val="center"/>
          </w:tcPr>
          <w:p>
            <w:r/>
            <w:r>
              <w:rPr>
                <w:rFonts w:ascii="Calibri" w:hAnsi="Calibri"/>
                <w:b w:val="0"/>
                <w:sz w:val="19"/>
              </w:rPr>
              <w:t>Wakil Rektor II</w:t>
            </w:r>
          </w:p>
        </w:tc>
        <w:tc>
          <w:tcPr>
            <w:tcW w:type="dxa" w:w="1984"/>
            <w:vAlign w:val="center"/>
          </w:tcPr>
          <w:p>
            <w:r/>
            <w:r>
              <w:rPr>
                <w:rFonts w:ascii="Calibri" w:hAnsi="Calibri"/>
                <w:b w:val="0"/>
                <w:sz w:val="19"/>
              </w:rPr>
              <w:t>Hadir</w:t>
            </w:r>
          </w:p>
        </w:tc>
      </w:tr>
      <w:tr>
        <w:tc>
          <w:tcPr>
            <w:tcW w:type="dxa" w:w="1984"/>
            <w:vAlign w:val="center"/>
          </w:tcPr>
          <w:p>
            <w:r/>
            <w:r>
              <w:rPr>
                <w:rFonts w:ascii="Calibri" w:hAnsi="Calibri"/>
                <w:b w:val="0"/>
                <w:sz w:val="19"/>
              </w:rPr>
              <w:t>4</w:t>
            </w:r>
          </w:p>
        </w:tc>
        <w:tc>
          <w:tcPr>
            <w:tcW w:type="dxa" w:w="1984"/>
            <w:vAlign w:val="center"/>
          </w:tcPr>
          <w:p>
            <w:r/>
            <w:r>
              <w:rPr>
                <w:rFonts w:ascii="Calibri" w:hAnsi="Calibri"/>
                <w:b w:val="0"/>
                <w:sz w:val="19"/>
              </w:rPr>
              <w:t>Dr. Widowati, S.H., M.Hum.</w:t>
            </w:r>
          </w:p>
        </w:tc>
        <w:tc>
          <w:tcPr>
            <w:tcW w:type="dxa" w:w="1984"/>
            <w:vAlign w:val="center"/>
          </w:tcPr>
          <w:p>
            <w:r/>
            <w:r>
              <w:rPr>
                <w:rFonts w:ascii="Calibri" w:hAnsi="Calibri"/>
                <w:b w:val="0"/>
                <w:sz w:val="19"/>
              </w:rPr>
              <w:t>Wakil Rektor III</w:t>
            </w:r>
          </w:p>
        </w:tc>
        <w:tc>
          <w:tcPr>
            <w:tcW w:type="dxa" w:w="1984"/>
            <w:vAlign w:val="center"/>
          </w:tcPr>
          <w:p>
            <w:r/>
            <w:r>
              <w:rPr>
                <w:rFonts w:ascii="Calibri" w:hAnsi="Calibri"/>
                <w:b w:val="0"/>
                <w:sz w:val="19"/>
              </w:rPr>
              <w:t>Hadir</w:t>
            </w:r>
          </w:p>
        </w:tc>
      </w:tr>
      <w:tr>
        <w:tc>
          <w:tcPr>
            <w:tcW w:type="dxa" w:w="1984"/>
            <w:vAlign w:val="center"/>
          </w:tcPr>
          <w:p>
            <w:r/>
            <w:r>
              <w:rPr>
                <w:rFonts w:ascii="Calibri" w:hAnsi="Calibri"/>
                <w:b w:val="0"/>
                <w:sz w:val="19"/>
              </w:rPr>
              <w:t>5</w:t>
            </w:r>
          </w:p>
        </w:tc>
        <w:tc>
          <w:tcPr>
            <w:tcW w:type="dxa" w:w="1984"/>
            <w:vAlign w:val="center"/>
          </w:tcPr>
          <w:p>
            <w:r/>
            <w:r>
              <w:rPr>
                <w:rFonts w:ascii="Calibri" w:hAnsi="Calibri"/>
                <w:b w:val="0"/>
                <w:sz w:val="19"/>
              </w:rPr>
              <w:t>Dr. Anang Sugeng Cahoyono, S.AP., S.H., M.Si.</w:t>
            </w:r>
          </w:p>
        </w:tc>
        <w:tc>
          <w:tcPr>
            <w:tcW w:type="dxa" w:w="1984"/>
            <w:vAlign w:val="center"/>
          </w:tcPr>
          <w:p>
            <w:r/>
            <w:r>
              <w:rPr>
                <w:rFonts w:ascii="Calibri" w:hAnsi="Calibri"/>
                <w:b w:val="0"/>
                <w:sz w:val="19"/>
              </w:rPr>
              <w:t>Ketua Pusat Penjaminan Mutu</w:t>
            </w:r>
          </w:p>
        </w:tc>
        <w:tc>
          <w:tcPr>
            <w:tcW w:type="dxa" w:w="1984"/>
            <w:vAlign w:val="center"/>
          </w:tcPr>
          <w:p>
            <w:r/>
            <w:r>
              <w:rPr>
                <w:rFonts w:ascii="Calibri" w:hAnsi="Calibri"/>
                <w:b w:val="0"/>
                <w:sz w:val="19"/>
              </w:rPr>
              <w:t>Hadir</w:t>
            </w:r>
          </w:p>
        </w:tc>
      </w:tr>
      <w:tr>
        <w:tc>
          <w:tcPr>
            <w:tcW w:type="dxa" w:w="1984"/>
            <w:vAlign w:val="center"/>
          </w:tcPr>
          <w:p>
            <w:r/>
            <w:r>
              <w:rPr>
                <w:rFonts w:ascii="Calibri" w:hAnsi="Calibri"/>
                <w:b w:val="0"/>
                <w:sz w:val="19"/>
              </w:rPr>
              <w:t>6</w:t>
            </w:r>
          </w:p>
        </w:tc>
        <w:tc>
          <w:tcPr>
            <w:tcW w:type="dxa" w:w="1984"/>
            <w:vAlign w:val="center"/>
          </w:tcPr>
          <w:p>
            <w:r/>
            <w:r>
              <w:rPr>
                <w:rFonts w:ascii="Calibri" w:hAnsi="Calibri"/>
                <w:b w:val="0"/>
                <w:sz w:val="19"/>
              </w:rPr>
              <w:t>Dekan Fakultas Ekonomi</w:t>
            </w:r>
          </w:p>
        </w:tc>
        <w:tc>
          <w:tcPr>
            <w:tcW w:type="dxa" w:w="1984"/>
            <w:vAlign w:val="center"/>
          </w:tcPr>
          <w:p>
            <w:r/>
            <w:r>
              <w:rPr>
                <w:rFonts w:ascii="Calibri" w:hAnsi="Calibri"/>
                <w:b w:val="0"/>
                <w:sz w:val="19"/>
              </w:rPr>
              <w:t>Dekan FE</w:t>
            </w:r>
          </w:p>
        </w:tc>
        <w:tc>
          <w:tcPr>
            <w:tcW w:type="dxa" w:w="1984"/>
            <w:vAlign w:val="center"/>
          </w:tcPr>
          <w:p>
            <w:r/>
            <w:r>
              <w:rPr>
                <w:rFonts w:ascii="Calibri" w:hAnsi="Calibri"/>
                <w:b w:val="0"/>
                <w:sz w:val="19"/>
              </w:rPr>
              <w:t>Hadir</w:t>
            </w:r>
          </w:p>
        </w:tc>
      </w:tr>
      <w:tr>
        <w:tc>
          <w:tcPr>
            <w:tcW w:type="dxa" w:w="1984"/>
            <w:vAlign w:val="center"/>
          </w:tcPr>
          <w:p>
            <w:r/>
            <w:r>
              <w:rPr>
                <w:rFonts w:ascii="Calibri" w:hAnsi="Calibri"/>
                <w:b w:val="0"/>
                <w:sz w:val="19"/>
              </w:rPr>
              <w:t>7</w:t>
            </w:r>
          </w:p>
        </w:tc>
        <w:tc>
          <w:tcPr>
            <w:tcW w:type="dxa" w:w="1984"/>
            <w:vAlign w:val="center"/>
          </w:tcPr>
          <w:p>
            <w:r/>
            <w:r>
              <w:rPr>
                <w:rFonts w:ascii="Calibri" w:hAnsi="Calibri"/>
                <w:b w:val="0"/>
                <w:sz w:val="19"/>
              </w:rPr>
              <w:t>Dekan Fakultas Hukum</w:t>
            </w:r>
          </w:p>
        </w:tc>
        <w:tc>
          <w:tcPr>
            <w:tcW w:type="dxa" w:w="1984"/>
            <w:vAlign w:val="center"/>
          </w:tcPr>
          <w:p>
            <w:r/>
            <w:r>
              <w:rPr>
                <w:rFonts w:ascii="Calibri" w:hAnsi="Calibri"/>
                <w:b w:val="0"/>
                <w:sz w:val="19"/>
              </w:rPr>
              <w:t>Dekan FH</w:t>
            </w:r>
          </w:p>
        </w:tc>
        <w:tc>
          <w:tcPr>
            <w:tcW w:type="dxa" w:w="1984"/>
            <w:vAlign w:val="center"/>
          </w:tcPr>
          <w:p>
            <w:r/>
            <w:r>
              <w:rPr>
                <w:rFonts w:ascii="Calibri" w:hAnsi="Calibri"/>
                <w:b w:val="0"/>
                <w:sz w:val="19"/>
              </w:rPr>
              <w:t>Hadir</w:t>
            </w:r>
          </w:p>
        </w:tc>
      </w:tr>
      <w:tr>
        <w:tc>
          <w:tcPr>
            <w:tcW w:type="dxa" w:w="1984"/>
            <w:vAlign w:val="center"/>
          </w:tcPr>
          <w:p>
            <w:r/>
            <w:r>
              <w:rPr>
                <w:rFonts w:ascii="Calibri" w:hAnsi="Calibri"/>
                <w:b w:val="0"/>
                <w:sz w:val="19"/>
              </w:rPr>
              <w:t>8</w:t>
            </w:r>
          </w:p>
        </w:tc>
        <w:tc>
          <w:tcPr>
            <w:tcW w:type="dxa" w:w="1984"/>
            <w:vAlign w:val="center"/>
          </w:tcPr>
          <w:p>
            <w:r/>
            <w:r>
              <w:rPr>
                <w:rFonts w:ascii="Calibri" w:hAnsi="Calibri"/>
                <w:b w:val="0"/>
                <w:sz w:val="19"/>
              </w:rPr>
              <w:t>Dekan Fakultas FISIP</w:t>
            </w:r>
          </w:p>
        </w:tc>
        <w:tc>
          <w:tcPr>
            <w:tcW w:type="dxa" w:w="1984"/>
            <w:vAlign w:val="center"/>
          </w:tcPr>
          <w:p>
            <w:r/>
            <w:r>
              <w:rPr>
                <w:rFonts w:ascii="Calibri" w:hAnsi="Calibri"/>
                <w:b w:val="0"/>
                <w:sz w:val="19"/>
              </w:rPr>
              <w:t>Dekan FISIP</w:t>
            </w:r>
          </w:p>
        </w:tc>
        <w:tc>
          <w:tcPr>
            <w:tcW w:type="dxa" w:w="1984"/>
            <w:vAlign w:val="center"/>
          </w:tcPr>
          <w:p>
            <w:r/>
            <w:r>
              <w:rPr>
                <w:rFonts w:ascii="Calibri" w:hAnsi="Calibri"/>
                <w:b w:val="0"/>
                <w:sz w:val="19"/>
              </w:rPr>
              <w:t>Hadir</w:t>
            </w:r>
          </w:p>
        </w:tc>
      </w:tr>
      <w:tr>
        <w:tc>
          <w:tcPr>
            <w:tcW w:type="dxa" w:w="1984"/>
            <w:vAlign w:val="center"/>
          </w:tcPr>
          <w:p>
            <w:r/>
            <w:r>
              <w:rPr>
                <w:rFonts w:ascii="Calibri" w:hAnsi="Calibri"/>
                <w:b w:val="0"/>
                <w:sz w:val="19"/>
              </w:rPr>
              <w:t>9</w:t>
            </w:r>
          </w:p>
        </w:tc>
        <w:tc>
          <w:tcPr>
            <w:tcW w:type="dxa" w:w="1984"/>
            <w:vAlign w:val="center"/>
          </w:tcPr>
          <w:p>
            <w:r/>
            <w:r>
              <w:rPr>
                <w:rFonts w:ascii="Calibri" w:hAnsi="Calibri"/>
                <w:b w:val="0"/>
                <w:sz w:val="19"/>
              </w:rPr>
              <w:t>Dekan Fakultas Pertanian</w:t>
            </w:r>
          </w:p>
        </w:tc>
        <w:tc>
          <w:tcPr>
            <w:tcW w:type="dxa" w:w="1984"/>
            <w:vAlign w:val="center"/>
          </w:tcPr>
          <w:p>
            <w:r/>
            <w:r>
              <w:rPr>
                <w:rFonts w:ascii="Calibri" w:hAnsi="Calibri"/>
                <w:b w:val="0"/>
                <w:sz w:val="19"/>
              </w:rPr>
              <w:t>Dekan FP</w:t>
            </w:r>
          </w:p>
        </w:tc>
        <w:tc>
          <w:tcPr>
            <w:tcW w:type="dxa" w:w="1984"/>
            <w:vAlign w:val="center"/>
          </w:tcPr>
          <w:p>
            <w:r/>
            <w:r>
              <w:rPr>
                <w:rFonts w:ascii="Calibri" w:hAnsi="Calibri"/>
                <w:b w:val="0"/>
                <w:sz w:val="19"/>
              </w:rPr>
              <w:t>Hadir</w:t>
            </w:r>
          </w:p>
        </w:tc>
      </w:tr>
      <w:tr>
        <w:tc>
          <w:tcPr>
            <w:tcW w:type="dxa" w:w="1984"/>
            <w:vAlign w:val="center"/>
          </w:tcPr>
          <w:p>
            <w:r/>
            <w:r>
              <w:rPr>
                <w:rFonts w:ascii="Calibri" w:hAnsi="Calibri"/>
                <w:b w:val="0"/>
                <w:sz w:val="19"/>
              </w:rPr>
              <w:t>10</w:t>
            </w:r>
          </w:p>
        </w:tc>
        <w:tc>
          <w:tcPr>
            <w:tcW w:type="dxa" w:w="1984"/>
            <w:vAlign w:val="center"/>
          </w:tcPr>
          <w:p>
            <w:r/>
            <w:r>
              <w:rPr>
                <w:rFonts w:ascii="Calibri" w:hAnsi="Calibri"/>
                <w:b w:val="0"/>
                <w:sz w:val="19"/>
              </w:rPr>
              <w:t>Dra. Dwi Iriani Margayaningsih, M.AP</w:t>
            </w:r>
          </w:p>
        </w:tc>
        <w:tc>
          <w:tcPr>
            <w:tcW w:type="dxa" w:w="1984"/>
            <w:vAlign w:val="center"/>
          </w:tcPr>
          <w:p>
            <w:r/>
            <w:r>
              <w:rPr>
                <w:rFonts w:ascii="Calibri" w:hAnsi="Calibri"/>
                <w:b w:val="0"/>
                <w:sz w:val="19"/>
              </w:rPr>
              <w:t>Kabag. Pengembangan SPMI</w:t>
            </w:r>
          </w:p>
        </w:tc>
        <w:tc>
          <w:tcPr>
            <w:tcW w:type="dxa" w:w="1984"/>
            <w:vAlign w:val="center"/>
          </w:tcPr>
          <w:p>
            <w:r/>
            <w:r>
              <w:rPr>
                <w:rFonts w:ascii="Calibri" w:hAnsi="Calibri"/>
                <w:b w:val="0"/>
                <w:sz w:val="19"/>
              </w:rPr>
              <w:t>Hadir</w:t>
            </w:r>
          </w:p>
        </w:tc>
      </w:tr>
      <w:tr>
        <w:tc>
          <w:tcPr>
            <w:tcW w:type="dxa" w:w="1984"/>
            <w:vAlign w:val="center"/>
          </w:tcPr>
          <w:p>
            <w:r/>
            <w:r>
              <w:rPr>
                <w:rFonts w:ascii="Calibri" w:hAnsi="Calibri"/>
                <w:b w:val="0"/>
                <w:sz w:val="19"/>
              </w:rPr>
              <w:t>11</w:t>
            </w:r>
          </w:p>
        </w:tc>
        <w:tc>
          <w:tcPr>
            <w:tcW w:type="dxa" w:w="1984"/>
            <w:vAlign w:val="center"/>
          </w:tcPr>
          <w:p>
            <w:r/>
            <w:r>
              <w:rPr>
                <w:rFonts w:ascii="Calibri" w:hAnsi="Calibri"/>
                <w:b w:val="0"/>
                <w:sz w:val="19"/>
              </w:rPr>
              <w:t>Eni Minarni, SE., M.Ak.</w:t>
            </w:r>
          </w:p>
        </w:tc>
        <w:tc>
          <w:tcPr>
            <w:tcW w:type="dxa" w:w="1984"/>
            <w:vAlign w:val="center"/>
          </w:tcPr>
          <w:p>
            <w:r/>
            <w:r>
              <w:rPr>
                <w:rFonts w:ascii="Calibri" w:hAnsi="Calibri"/>
                <w:b w:val="0"/>
                <w:sz w:val="19"/>
              </w:rPr>
              <w:t>Kabag. Audit dan Monev-in</w:t>
            </w:r>
          </w:p>
        </w:tc>
        <w:tc>
          <w:tcPr>
            <w:tcW w:type="dxa" w:w="1984"/>
            <w:vAlign w:val="center"/>
          </w:tcPr>
          <w:p>
            <w:r/>
            <w:r>
              <w:rPr>
                <w:rFonts w:ascii="Calibri" w:hAnsi="Calibri"/>
                <w:b w:val="0"/>
                <w:sz w:val="19"/>
              </w:rPr>
              <w:t>Hadir</w:t>
            </w:r>
          </w:p>
        </w:tc>
      </w:tr>
      <w:tr>
        <w:tc>
          <w:tcPr>
            <w:tcW w:type="dxa" w:w="1984"/>
            <w:vAlign w:val="center"/>
          </w:tcPr>
          <w:p>
            <w:r/>
            <w:r>
              <w:rPr>
                <w:rFonts w:ascii="Calibri" w:hAnsi="Calibri"/>
                <w:b w:val="0"/>
                <w:sz w:val="19"/>
              </w:rPr>
              <w:t>12</w:t>
            </w:r>
          </w:p>
        </w:tc>
        <w:tc>
          <w:tcPr>
            <w:tcW w:type="dxa" w:w="1984"/>
            <w:vAlign w:val="center"/>
          </w:tcPr>
          <w:p>
            <w:r/>
            <w:r>
              <w:rPr>
                <w:rFonts w:ascii="Calibri" w:hAnsi="Calibri"/>
                <w:b w:val="0"/>
                <w:sz w:val="19"/>
              </w:rPr>
              <w:t>Ketua Program Studi (seluruh Prodi)</w:t>
            </w:r>
          </w:p>
        </w:tc>
        <w:tc>
          <w:tcPr>
            <w:tcW w:type="dxa" w:w="1984"/>
            <w:vAlign w:val="center"/>
          </w:tcPr>
          <w:p>
            <w:r/>
            <w:r>
              <w:rPr>
                <w:rFonts w:ascii="Calibri" w:hAnsi="Calibri"/>
                <w:b w:val="0"/>
                <w:sz w:val="19"/>
              </w:rPr>
              <w:t>Ketua Prodi</w:t>
            </w:r>
          </w:p>
        </w:tc>
        <w:tc>
          <w:tcPr>
            <w:tcW w:type="dxa" w:w="1984"/>
            <w:vAlign w:val="center"/>
          </w:tcPr>
          <w:p>
            <w:r/>
            <w:r>
              <w:rPr>
                <w:rFonts w:ascii="Calibri" w:hAnsi="Calibri"/>
                <w:b w:val="0"/>
                <w:sz w:val="19"/>
              </w:rPr>
              <w:t>Hadir</w:t>
            </w:r>
          </w:p>
        </w:tc>
      </w:tr>
    </w:tbl>
    <w:p/>
    <w:p>
      <w:pPr>
        <w:keepNext/>
        <w:spacing w:before="240" w:after="160"/>
      </w:pPr>
      <w:r>
        <w:rPr>
          <w:rFonts w:ascii="Calibri" w:hAnsi="Calibri"/>
          <w:b/>
          <w:color w:val="1A3A6E"/>
          <w:sz w:val="26"/>
        </w:rPr>
        <w:t>2.3 Agenda Rapat</w:t>
      </w:r>
    </w:p>
    <w:p>
      <w:pPr>
        <w:pStyle w:val="ListBullet"/>
        <w:spacing w:after="60" w:line="312" w:lineRule="auto"/>
        <w:ind w:left="567"/>
      </w:pPr>
      <w:r>
        <w:rPr>
          <w:rFonts w:ascii="Calibri" w:hAnsi="Calibri"/>
          <w:sz w:val="22"/>
        </w:rPr>
        <w:t>Pembukaan oleh Rektor selaku pemimpin rapat.</w:t>
      </w:r>
    </w:p>
    <w:p>
      <w:pPr>
        <w:pStyle w:val="ListBullet"/>
        <w:spacing w:after="60" w:line="312" w:lineRule="auto"/>
        <w:ind w:left="567"/>
      </w:pPr>
      <w:r>
        <w:rPr>
          <w:rFonts w:ascii="Calibri" w:hAnsi="Calibri"/>
          <w:sz w:val="22"/>
        </w:rPr>
        <w:t>Laporan hasil AMI periode ganjil TA 2024/2025 oleh Ketua PPM.</w:t>
      </w:r>
    </w:p>
    <w:p>
      <w:pPr>
        <w:pStyle w:val="ListBullet"/>
        <w:spacing w:after="60" w:line="312" w:lineRule="auto"/>
        <w:ind w:left="567"/>
      </w:pPr>
      <w:r>
        <w:rPr>
          <w:rFonts w:ascii="Calibri" w:hAnsi="Calibri"/>
          <w:sz w:val="22"/>
        </w:rPr>
        <w:t>Pembahasan temuan dan PTK per kategori standar.</w:t>
      </w:r>
    </w:p>
    <w:p>
      <w:pPr>
        <w:pStyle w:val="ListBullet"/>
        <w:spacing w:after="60" w:line="312" w:lineRule="auto"/>
        <w:ind w:left="567"/>
      </w:pPr>
      <w:r>
        <w:rPr>
          <w:rFonts w:ascii="Calibri" w:hAnsi="Calibri"/>
          <w:sz w:val="22"/>
        </w:rPr>
        <w:t>Diskusi dan masukan dari peserta rapat.</w:t>
      </w:r>
    </w:p>
    <w:p>
      <w:pPr>
        <w:pStyle w:val="ListBullet"/>
        <w:spacing w:after="60" w:line="312" w:lineRule="auto"/>
        <w:ind w:left="567"/>
      </w:pPr>
      <w:r>
        <w:rPr>
          <w:rFonts w:ascii="Calibri" w:hAnsi="Calibri"/>
          <w:sz w:val="22"/>
        </w:rPr>
        <w:t>Penetapan keputusan RTM dan Rencana Tindak Lanjut (RTL).</w:t>
      </w:r>
    </w:p>
    <w:p>
      <w:pPr>
        <w:pStyle w:val="ListBullet"/>
        <w:spacing w:after="60" w:line="312" w:lineRule="auto"/>
        <w:ind w:left="567"/>
      </w:pPr>
      <w:r>
        <w:rPr>
          <w:rFonts w:ascii="Calibri" w:hAnsi="Calibri"/>
          <w:sz w:val="22"/>
        </w:rPr>
        <w:t>Penutup.</w:t>
      </w:r>
    </w:p>
    <w:p>
      <w:r>
        <w:br w:type="page"/>
      </w:r>
    </w:p>
    <w:p>
      <w:pPr>
        <w:keepNext/>
        <w:spacing w:before="360" w:after="160"/>
        <w:jc w:val="center"/>
      </w:pPr>
      <w:r>
        <w:rPr>
          <w:rFonts w:ascii="Calibri" w:hAnsi="Calibri"/>
          <w:b/>
          <w:color w:val="1A3A6E"/>
          <w:sz w:val="40"/>
        </w:rPr>
        <w:t>BAB III</w:t>
        <w:br/>
        <w:t>HASIL AMI PERIODE GANJIL</w:t>
      </w:r>
    </w:p>
    <w:p>
      <w:pPr>
        <w:keepNext/>
        <w:spacing w:before="240" w:after="160"/>
      </w:pPr>
      <w:r>
        <w:rPr>
          <w:rFonts w:ascii="Calibri" w:hAnsi="Calibri"/>
          <w:b/>
          <w:color w:val="1A3A6E"/>
          <w:sz w:val="26"/>
        </w:rPr>
        <w:t>3.1 Ringkasan Hasil AMI</w:t>
      </w:r>
    </w:p>
    <w:p>
      <w:pPr>
        <w:spacing w:after="120" w:line="312" w:lineRule="auto"/>
        <w:ind w:firstLine="567"/>
        <w:jc w:val="both"/>
      </w:pPr>
      <w:r>
        <w:rPr>
          <w:rFonts w:ascii="Calibri" w:hAnsi="Calibri"/>
          <w:b w:val="0"/>
          <w:color w:val="1F2937"/>
          <w:sz w:val="22"/>
        </w:rPr>
        <w:t>Hasil AMI periode ganjil TA 2024/2025 terhadap 5 standar yang diaudit menunjukkan capaian sebagai berikut:</w:t>
      </w:r>
    </w:p>
    <w:tbl>
      <w:tblPr>
        <w:tblStyle w:val="TableGrid"/>
        <w:tblW w:type="auto" w:w="0"/>
        <w:jc w:val="center"/>
        <w:tblLook w:firstColumn="1" w:firstRow="1" w:lastColumn="0" w:lastRow="0" w:noHBand="0" w:noVBand="1" w:val="04A0"/>
      </w:tblPr>
      <w:tblGrid>
        <w:gridCol w:w="3968"/>
        <w:gridCol w:w="3968"/>
      </w:tblGrid>
      <w:tr>
        <w:tc>
          <w:tcPr>
            <w:tcW w:type="dxa" w:w="3968"/>
            <w:shd w:fill="1A3A6E"/>
            <w:vAlign w:val="center"/>
          </w:tcPr>
          <w:p>
            <w:pPr>
              <w:jc w:val="center"/>
            </w:pPr>
            <w:r/>
            <w:r>
              <w:rPr>
                <w:rFonts w:ascii="Calibri" w:hAnsi="Calibri"/>
                <w:b/>
                <w:color w:val="FFFFFF"/>
                <w:sz w:val="20"/>
              </w:rPr>
              <w:t>Indikator</w:t>
            </w:r>
          </w:p>
        </w:tc>
        <w:tc>
          <w:tcPr>
            <w:tcW w:type="dxa" w:w="3968"/>
            <w:shd w:fill="1A3A6E"/>
            <w:vAlign w:val="center"/>
          </w:tcPr>
          <w:p>
            <w:pPr>
              <w:jc w:val="center"/>
            </w:pPr>
            <w:r/>
            <w:r>
              <w:rPr>
                <w:rFonts w:ascii="Calibri" w:hAnsi="Calibri"/>
                <w:b/>
                <w:color w:val="FFFFFF"/>
                <w:sz w:val="20"/>
              </w:rPr>
              <w:t>Capaian</w:t>
            </w:r>
          </w:p>
        </w:tc>
      </w:tr>
      <w:tr>
        <w:tc>
          <w:tcPr>
            <w:tcW w:type="dxa" w:w="3968"/>
          </w:tcPr>
          <w:p/>
        </w:tc>
        <w:tc>
          <w:tcPr>
            <w:tcW w:type="dxa" w:w="3968"/>
          </w:tcPr>
          <w:p/>
        </w:tc>
      </w:tr>
      <w:tr>
        <w:tc>
          <w:tcPr>
            <w:tcW w:type="dxa" w:w="3968"/>
          </w:tcPr>
          <w:p/>
        </w:tc>
        <w:tc>
          <w:tcPr>
            <w:tcW w:type="dxa" w:w="3968"/>
          </w:tcPr>
          <w:p/>
        </w:tc>
      </w:tr>
      <w:tr>
        <w:tc>
          <w:tcPr>
            <w:tcW w:type="dxa" w:w="3968"/>
          </w:tcPr>
          <w:p/>
        </w:tc>
        <w:tc>
          <w:tcPr>
            <w:tcW w:type="dxa" w:w="3968"/>
          </w:tcPr>
          <w:p/>
        </w:tc>
      </w:tr>
      <w:tr>
        <w:tc>
          <w:tcPr>
            <w:tcW w:type="dxa" w:w="3968"/>
          </w:tcPr>
          <w:p/>
        </w:tc>
        <w:tc>
          <w:tcPr>
            <w:tcW w:type="dxa" w:w="3968"/>
          </w:tcPr>
          <w:p/>
        </w:tc>
      </w:tr>
      <w:tr>
        <w:tc>
          <w:tcPr>
            <w:tcW w:type="dxa" w:w="3968"/>
          </w:tcPr>
          <w:p/>
        </w:tc>
        <w:tc>
          <w:tcPr>
            <w:tcW w:type="dxa" w:w="3968"/>
          </w:tcPr>
          <w:p/>
        </w:tc>
      </w:tr>
      <w:tr>
        <w:tc>
          <w:tcPr>
            <w:tcW w:type="dxa" w:w="3968"/>
          </w:tcPr>
          <w:p/>
        </w:tc>
        <w:tc>
          <w:tcPr>
            <w:tcW w:type="dxa" w:w="3968"/>
          </w:tcPr>
          <w:p/>
        </w:tc>
      </w:tr>
      <w:tr>
        <w:tc>
          <w:tcPr>
            <w:tcW w:type="dxa" w:w="3968"/>
          </w:tcPr>
          <w:p/>
        </w:tc>
        <w:tc>
          <w:tcPr>
            <w:tcW w:type="dxa" w:w="3968"/>
          </w:tcPr>
          <w:p/>
        </w:tc>
      </w:tr>
      <w:tr>
        <w:tc>
          <w:tcPr>
            <w:tcW w:type="dxa" w:w="3968"/>
            <w:vAlign w:val="center"/>
          </w:tcPr>
          <w:p>
            <w:r/>
            <w:r>
              <w:rPr>
                <w:rFonts w:ascii="Calibri" w:hAnsi="Calibri"/>
                <w:b w:val="0"/>
                <w:sz w:val="19"/>
              </w:rPr>
              <w:t>Total Standar Diaudit</w:t>
            </w:r>
          </w:p>
        </w:tc>
        <w:tc>
          <w:tcPr>
            <w:tcW w:type="dxa" w:w="3968"/>
            <w:vAlign w:val="center"/>
          </w:tcPr>
          <w:p>
            <w:r/>
            <w:r>
              <w:rPr>
                <w:rFonts w:ascii="Calibri" w:hAnsi="Calibri"/>
                <w:b w:val="0"/>
                <w:sz w:val="19"/>
              </w:rPr>
              <w:t>5 standar</w:t>
            </w:r>
          </w:p>
        </w:tc>
      </w:tr>
      <w:tr>
        <w:tc>
          <w:tcPr>
            <w:tcW w:type="dxa" w:w="3968"/>
            <w:vAlign w:val="center"/>
          </w:tcPr>
          <w:p>
            <w:r/>
            <w:r>
              <w:rPr>
                <w:rFonts w:ascii="Calibri" w:hAnsi="Calibri"/>
                <w:b w:val="0"/>
                <w:sz w:val="19"/>
              </w:rPr>
              <w:t>Total Dokumen AMI</w:t>
            </w:r>
          </w:p>
        </w:tc>
        <w:tc>
          <w:tcPr>
            <w:tcW w:type="dxa" w:w="3968"/>
            <w:vAlign w:val="center"/>
          </w:tcPr>
          <w:p>
            <w:r/>
            <w:r>
              <w:rPr>
                <w:rFonts w:ascii="Calibri" w:hAnsi="Calibri"/>
                <w:b w:val="0"/>
                <w:sz w:val="19"/>
              </w:rPr>
              <w:t>5 dokumen</w:t>
            </w:r>
          </w:p>
        </w:tc>
      </w:tr>
      <w:tr>
        <w:tc>
          <w:tcPr>
            <w:tcW w:type="dxa" w:w="3968"/>
            <w:vAlign w:val="center"/>
          </w:tcPr>
          <w:p>
            <w:r/>
            <w:r>
              <w:rPr>
                <w:rFonts w:ascii="Calibri" w:hAnsi="Calibri"/>
                <w:b w:val="0"/>
                <w:sz w:val="19"/>
              </w:rPr>
              <w:t>Rata-rata Skor AMI</w:t>
            </w:r>
          </w:p>
        </w:tc>
        <w:tc>
          <w:tcPr>
            <w:tcW w:type="dxa" w:w="3968"/>
            <w:vAlign w:val="center"/>
          </w:tcPr>
          <w:p>
            <w:r/>
            <w:r>
              <w:rPr>
                <w:rFonts w:ascii="Calibri" w:hAnsi="Calibri"/>
                <w:b w:val="0"/>
                <w:sz w:val="19"/>
              </w:rPr>
              <w:t>89.8/100</w:t>
            </w:r>
          </w:p>
        </w:tc>
      </w:tr>
      <w:tr>
        <w:tc>
          <w:tcPr>
            <w:tcW w:type="dxa" w:w="3968"/>
            <w:vAlign w:val="center"/>
          </w:tcPr>
          <w:p>
            <w:r/>
            <w:r>
              <w:rPr>
                <w:rFonts w:ascii="Calibri" w:hAnsi="Calibri"/>
                <w:b w:val="0"/>
                <w:sz w:val="19"/>
              </w:rPr>
              <w:t>Standar MS (Mencapai Standar)</w:t>
            </w:r>
          </w:p>
        </w:tc>
        <w:tc>
          <w:tcPr>
            <w:tcW w:type="dxa" w:w="3968"/>
            <w:vAlign w:val="center"/>
          </w:tcPr>
          <w:p>
            <w:r/>
            <w:r>
              <w:rPr>
                <w:rFonts w:ascii="Calibri" w:hAnsi="Calibri"/>
                <w:b w:val="0"/>
                <w:sz w:val="19"/>
              </w:rPr>
              <w:t>5 standar</w:t>
            </w:r>
          </w:p>
        </w:tc>
      </w:tr>
      <w:tr>
        <w:tc>
          <w:tcPr>
            <w:tcW w:type="dxa" w:w="3968"/>
            <w:vAlign w:val="center"/>
          </w:tcPr>
          <w:p>
            <w:r/>
            <w:r>
              <w:rPr>
                <w:rFonts w:ascii="Calibri" w:hAnsi="Calibri"/>
                <w:b w:val="0"/>
                <w:sz w:val="19"/>
              </w:rPr>
              <w:t>Standar ML (Melampaui Standar)</w:t>
            </w:r>
          </w:p>
        </w:tc>
        <w:tc>
          <w:tcPr>
            <w:tcW w:type="dxa" w:w="3968"/>
            <w:vAlign w:val="center"/>
          </w:tcPr>
          <w:p>
            <w:r/>
            <w:r>
              <w:rPr>
                <w:rFonts w:ascii="Calibri" w:hAnsi="Calibri"/>
                <w:b w:val="0"/>
                <w:sz w:val="19"/>
              </w:rPr>
              <w:t>0 standar</w:t>
            </w:r>
          </w:p>
        </w:tc>
      </w:tr>
      <w:tr>
        <w:tc>
          <w:tcPr>
            <w:tcW w:type="dxa" w:w="3968"/>
            <w:vAlign w:val="center"/>
          </w:tcPr>
          <w:p>
            <w:r/>
            <w:r>
              <w:rPr>
                <w:rFonts w:ascii="Calibri" w:hAnsi="Calibri"/>
                <w:b w:val="0"/>
                <w:sz w:val="19"/>
              </w:rPr>
              <w:t>Standar BS (Belum mencapai Standar)</w:t>
            </w:r>
          </w:p>
        </w:tc>
        <w:tc>
          <w:tcPr>
            <w:tcW w:type="dxa" w:w="3968"/>
            <w:vAlign w:val="center"/>
          </w:tcPr>
          <w:p>
            <w:r/>
            <w:r>
              <w:rPr>
                <w:rFonts w:ascii="Calibri" w:hAnsi="Calibri"/>
                <w:b w:val="0"/>
                <w:sz w:val="19"/>
              </w:rPr>
              <w:t>0 standar</w:t>
            </w:r>
          </w:p>
        </w:tc>
      </w:tr>
      <w:tr>
        <w:tc>
          <w:tcPr>
            <w:tcW w:type="dxa" w:w="3968"/>
            <w:vAlign w:val="center"/>
          </w:tcPr>
          <w:p>
            <w:r/>
            <w:r>
              <w:rPr>
                <w:rFonts w:ascii="Calibri" w:hAnsi="Calibri"/>
                <w:b w:val="0"/>
                <w:sz w:val="19"/>
              </w:rPr>
              <w:t>Total Temuan / PTK</w:t>
            </w:r>
          </w:p>
        </w:tc>
        <w:tc>
          <w:tcPr>
            <w:tcW w:type="dxa" w:w="3968"/>
            <w:vAlign w:val="center"/>
          </w:tcPr>
          <w:p>
            <w:r/>
            <w:r>
              <w:rPr>
                <w:rFonts w:ascii="Calibri" w:hAnsi="Calibri"/>
                <w:b w:val="0"/>
                <w:sz w:val="19"/>
              </w:rPr>
              <w:t>20 temuan / 12 PTK</w:t>
            </w:r>
          </w:p>
        </w:tc>
      </w:tr>
    </w:tbl>
    <w:p/>
    <w:p>
      <w:pPr>
        <w:keepNext/>
        <w:spacing w:before="240" w:after="160"/>
      </w:pPr>
      <w:r>
        <w:rPr>
          <w:rFonts w:ascii="Calibri" w:hAnsi="Calibri"/>
          <w:b/>
          <w:color w:val="1A3A6E"/>
          <w:sz w:val="26"/>
        </w:rPr>
        <w:t>3.2 Detail Hasil AMI per Standar</w:t>
      </w:r>
    </w:p>
    <w:tbl>
      <w:tblPr>
        <w:tblStyle w:val="TableGrid"/>
        <w:tblW w:type="auto" w:w="0"/>
        <w:jc w:val="center"/>
        <w:tblLook w:firstColumn="1" w:firstRow="1" w:lastColumn="0" w:lastRow="0" w:noHBand="0" w:noVBand="1" w:val="04A0"/>
      </w:tblPr>
      <w:tblGrid>
        <w:gridCol w:w="1134"/>
        <w:gridCol w:w="1134"/>
        <w:gridCol w:w="1134"/>
        <w:gridCol w:w="1134"/>
        <w:gridCol w:w="1134"/>
        <w:gridCol w:w="1134"/>
        <w:gridCol w:w="1134"/>
      </w:tblGrid>
      <w:tr>
        <w:tc>
          <w:tcPr>
            <w:tcW w:type="dxa" w:w="1134"/>
            <w:shd w:fill="1A3A6E"/>
            <w:vAlign w:val="center"/>
          </w:tcPr>
          <w:p>
            <w:pPr>
              <w:jc w:val="center"/>
            </w:pPr>
            <w:r/>
            <w:r>
              <w:rPr>
                <w:rFonts w:ascii="Calibri" w:hAnsi="Calibri"/>
                <w:b/>
                <w:color w:val="FFFFFF"/>
                <w:sz w:val="20"/>
              </w:rPr>
              <w:t>No</w:t>
            </w:r>
          </w:p>
        </w:tc>
        <w:tc>
          <w:tcPr>
            <w:tcW w:type="dxa" w:w="1134"/>
            <w:shd w:fill="1A3A6E"/>
            <w:vAlign w:val="center"/>
          </w:tcPr>
          <w:p>
            <w:pPr>
              <w:jc w:val="center"/>
            </w:pPr>
            <w:r/>
            <w:r>
              <w:rPr>
                <w:rFonts w:ascii="Calibri" w:hAnsi="Calibri"/>
                <w:b/>
                <w:color w:val="FFFFFF"/>
                <w:sz w:val="20"/>
              </w:rPr>
              <w:t>Nama Standar</w:t>
            </w:r>
          </w:p>
        </w:tc>
        <w:tc>
          <w:tcPr>
            <w:tcW w:type="dxa" w:w="1134"/>
            <w:shd w:fill="1A3A6E"/>
            <w:vAlign w:val="center"/>
          </w:tcPr>
          <w:p>
            <w:pPr>
              <w:jc w:val="center"/>
            </w:pPr>
            <w:r/>
            <w:r>
              <w:rPr>
                <w:rFonts w:ascii="Calibri" w:hAnsi="Calibri"/>
                <w:b/>
                <w:color w:val="FFFFFF"/>
                <w:sz w:val="20"/>
              </w:rPr>
              <w:t>Kode</w:t>
            </w:r>
          </w:p>
        </w:tc>
        <w:tc>
          <w:tcPr>
            <w:tcW w:type="dxa" w:w="1134"/>
            <w:shd w:fill="1A3A6E"/>
            <w:vAlign w:val="center"/>
          </w:tcPr>
          <w:p>
            <w:pPr>
              <w:jc w:val="center"/>
            </w:pPr>
            <w:r/>
            <w:r>
              <w:rPr>
                <w:rFonts w:ascii="Calibri" w:hAnsi="Calibri"/>
                <w:b/>
                <w:color w:val="FFFFFF"/>
                <w:sz w:val="20"/>
              </w:rPr>
              <w:t>Skor</w:t>
            </w:r>
          </w:p>
        </w:tc>
        <w:tc>
          <w:tcPr>
            <w:tcW w:type="dxa" w:w="1134"/>
            <w:shd w:fill="1A3A6E"/>
            <w:vAlign w:val="center"/>
          </w:tcPr>
          <w:p>
            <w:pPr>
              <w:jc w:val="center"/>
            </w:pPr>
            <w:r/>
            <w:r>
              <w:rPr>
                <w:rFonts w:ascii="Calibri" w:hAnsi="Calibri"/>
                <w:b/>
                <w:color w:val="FFFFFF"/>
                <w:sz w:val="20"/>
              </w:rPr>
              <w:t>Status</w:t>
            </w:r>
          </w:p>
        </w:tc>
        <w:tc>
          <w:tcPr>
            <w:tcW w:type="dxa" w:w="1134"/>
            <w:shd w:fill="1A3A6E"/>
            <w:vAlign w:val="center"/>
          </w:tcPr>
          <w:p>
            <w:pPr>
              <w:jc w:val="center"/>
            </w:pPr>
            <w:r/>
            <w:r>
              <w:rPr>
                <w:rFonts w:ascii="Calibri" w:hAnsi="Calibri"/>
                <w:b/>
                <w:color w:val="FFFFFF"/>
                <w:sz w:val="20"/>
              </w:rPr>
              <w:t>Temuan</w:t>
            </w:r>
          </w:p>
        </w:tc>
        <w:tc>
          <w:tcPr>
            <w:tcW w:type="dxa" w:w="1134"/>
            <w:shd w:fill="1A3A6E"/>
            <w:vAlign w:val="center"/>
          </w:tcPr>
          <w:p>
            <w:pPr>
              <w:jc w:val="center"/>
            </w:pPr>
            <w:r/>
            <w:r>
              <w:rPr>
                <w:rFonts w:ascii="Calibri" w:hAnsi="Calibri"/>
                <w:b/>
                <w:color w:val="FFFFFF"/>
                <w:sz w:val="20"/>
              </w:rPr>
              <w:t>PTK</w:t>
            </w:r>
          </w:p>
        </w:tc>
      </w:tr>
      <w:tr>
        <w:tc>
          <w:tcPr>
            <w:tcW w:type="dxa" w:w="1134"/>
          </w:tcPr>
          <w:p>
            <w:pPr>
              <w:jc w:val="center"/>
            </w:pPr>
            <w:r/>
            <w:r>
              <w:rPr>
                <w:rFonts w:ascii="Calibri" w:hAnsi="Calibri"/>
                <w:sz w:val="18"/>
              </w:rPr>
              <w:t>2</w:t>
            </w:r>
          </w:p>
        </w:tc>
        <w:tc>
          <w:tcPr>
            <w:tcW w:type="dxa" w:w="1134"/>
          </w:tcPr>
          <w:p>
            <w:pPr>
              <w:jc w:val="left"/>
            </w:pPr>
            <w:r/>
            <w:r>
              <w:rPr>
                <w:rFonts w:ascii="Calibri" w:hAnsi="Calibri"/>
                <w:sz w:val="18"/>
              </w:rPr>
              <w:t>Standar Proses Pembelajaran</w:t>
            </w:r>
          </w:p>
        </w:tc>
        <w:tc>
          <w:tcPr>
            <w:tcW w:type="dxa" w:w="1134"/>
          </w:tcPr>
          <w:p>
            <w:pPr>
              <w:jc w:val="center"/>
            </w:pPr>
            <w:r/>
            <w:r>
              <w:rPr>
                <w:rFonts w:ascii="Calibri" w:hAnsi="Calibri"/>
                <w:sz w:val="18"/>
              </w:rPr>
              <w:t>SPB</w:t>
            </w:r>
          </w:p>
        </w:tc>
        <w:tc>
          <w:tcPr>
            <w:tcW w:type="dxa" w:w="1134"/>
          </w:tcPr>
          <w:p>
            <w:pPr>
              <w:jc w:val="center"/>
            </w:pPr>
            <w:r/>
            <w:r>
              <w:rPr>
                <w:rFonts w:ascii="Calibri" w:hAnsi="Calibri"/>
                <w:b/>
                <w:color w:val="109881"/>
                <w:sz w:val="18"/>
              </w:rPr>
              <w:t>89</w:t>
            </w:r>
          </w:p>
        </w:tc>
        <w:tc>
          <w:tcPr>
            <w:tcW w:type="dxa" w:w="1134"/>
          </w:tcPr>
          <w:p>
            <w:pPr>
              <w:jc w:val="center"/>
            </w:pPr>
            <w:r/>
            <w:r>
              <w:rPr>
                <w:rFonts w:ascii="Calibri" w:hAnsi="Calibri"/>
                <w:b/>
                <w:color w:val="109881"/>
                <w:sz w:val="18"/>
              </w:rPr>
              <w:t>MS</w:t>
            </w:r>
          </w:p>
        </w:tc>
        <w:tc>
          <w:tcPr>
            <w:tcW w:type="dxa" w:w="1134"/>
          </w:tcPr>
          <w:p>
            <w:pPr>
              <w:jc w:val="center"/>
            </w:pPr>
            <w:r/>
            <w:r>
              <w:rPr>
                <w:rFonts w:ascii="Calibri" w:hAnsi="Calibri"/>
                <w:sz w:val="18"/>
              </w:rPr>
              <w:t>4</w:t>
            </w:r>
          </w:p>
        </w:tc>
        <w:tc>
          <w:tcPr>
            <w:tcW w:type="dxa" w:w="1134"/>
          </w:tcPr>
          <w:p>
            <w:pPr>
              <w:jc w:val="center"/>
            </w:pPr>
            <w:r/>
            <w:r>
              <w:rPr>
                <w:rFonts w:ascii="Calibri" w:hAnsi="Calibri"/>
                <w:sz w:val="18"/>
              </w:rPr>
              <w:t>3</w:t>
            </w:r>
          </w:p>
        </w:tc>
      </w:tr>
      <w:tr>
        <w:tc>
          <w:tcPr>
            <w:tcW w:type="dxa" w:w="1134"/>
          </w:tcPr>
          <w:p>
            <w:pPr>
              <w:jc w:val="center"/>
            </w:pPr>
            <w:r/>
            <w:r>
              <w:rPr>
                <w:rFonts w:ascii="Calibri" w:hAnsi="Calibri"/>
                <w:sz w:val="18"/>
              </w:rPr>
              <w:t>25</w:t>
            </w:r>
          </w:p>
        </w:tc>
        <w:tc>
          <w:tcPr>
            <w:tcW w:type="dxa" w:w="1134"/>
          </w:tcPr>
          <w:p>
            <w:pPr>
              <w:jc w:val="left"/>
            </w:pPr>
            <w:r/>
            <w:r>
              <w:rPr>
                <w:rFonts w:ascii="Calibri" w:hAnsi="Calibri"/>
                <w:sz w:val="18"/>
              </w:rPr>
              <w:t>Standar VMTS</w:t>
            </w:r>
          </w:p>
        </w:tc>
        <w:tc>
          <w:tcPr>
            <w:tcW w:type="dxa" w:w="1134"/>
          </w:tcPr>
          <w:p>
            <w:pPr>
              <w:jc w:val="center"/>
            </w:pPr>
            <w:r/>
            <w:r>
              <w:rPr>
                <w:rFonts w:ascii="Calibri" w:hAnsi="Calibri"/>
                <w:sz w:val="18"/>
              </w:rPr>
              <w:t>VMTS</w:t>
            </w:r>
          </w:p>
        </w:tc>
        <w:tc>
          <w:tcPr>
            <w:tcW w:type="dxa" w:w="1134"/>
          </w:tcPr>
          <w:p>
            <w:pPr>
              <w:jc w:val="center"/>
            </w:pPr>
            <w:r/>
            <w:r>
              <w:rPr>
                <w:rFonts w:ascii="Calibri" w:hAnsi="Calibri"/>
                <w:b/>
                <w:color w:val="109881"/>
                <w:sz w:val="18"/>
              </w:rPr>
              <w:t>89</w:t>
            </w:r>
          </w:p>
        </w:tc>
        <w:tc>
          <w:tcPr>
            <w:tcW w:type="dxa" w:w="1134"/>
          </w:tcPr>
          <w:p>
            <w:pPr>
              <w:jc w:val="center"/>
            </w:pPr>
            <w:r/>
            <w:r>
              <w:rPr>
                <w:rFonts w:ascii="Calibri" w:hAnsi="Calibri"/>
                <w:b/>
                <w:color w:val="109881"/>
                <w:sz w:val="18"/>
              </w:rPr>
              <w:t>MS</w:t>
            </w:r>
          </w:p>
        </w:tc>
        <w:tc>
          <w:tcPr>
            <w:tcW w:type="dxa" w:w="1134"/>
          </w:tcPr>
          <w:p>
            <w:pPr>
              <w:jc w:val="center"/>
            </w:pPr>
            <w:r/>
            <w:r>
              <w:rPr>
                <w:rFonts w:ascii="Calibri" w:hAnsi="Calibri"/>
                <w:sz w:val="18"/>
              </w:rPr>
              <w:t>4</w:t>
            </w:r>
          </w:p>
        </w:tc>
        <w:tc>
          <w:tcPr>
            <w:tcW w:type="dxa" w:w="1134"/>
          </w:tcPr>
          <w:p>
            <w:pPr>
              <w:jc w:val="center"/>
            </w:pPr>
            <w:r/>
            <w:r>
              <w:rPr>
                <w:rFonts w:ascii="Calibri" w:hAnsi="Calibri"/>
                <w:sz w:val="18"/>
              </w:rPr>
              <w:t>2</w:t>
            </w:r>
          </w:p>
        </w:tc>
      </w:tr>
      <w:tr>
        <w:tc>
          <w:tcPr>
            <w:tcW w:type="dxa" w:w="1134"/>
          </w:tcPr>
          <w:p>
            <w:pPr>
              <w:jc w:val="center"/>
            </w:pPr>
            <w:r/>
            <w:r>
              <w:rPr>
                <w:rFonts w:ascii="Calibri" w:hAnsi="Calibri"/>
                <w:sz w:val="18"/>
              </w:rPr>
              <w:t>26</w:t>
            </w:r>
          </w:p>
        </w:tc>
        <w:tc>
          <w:tcPr>
            <w:tcW w:type="dxa" w:w="1134"/>
          </w:tcPr>
          <w:p>
            <w:pPr>
              <w:jc w:val="left"/>
            </w:pPr>
            <w:r/>
            <w:r>
              <w:rPr>
                <w:rFonts w:ascii="Calibri" w:hAnsi="Calibri"/>
                <w:sz w:val="18"/>
              </w:rPr>
              <w:t>Standar Tata Pamong &amp; Tata Kelola</w:t>
            </w:r>
          </w:p>
        </w:tc>
        <w:tc>
          <w:tcPr>
            <w:tcW w:type="dxa" w:w="1134"/>
          </w:tcPr>
          <w:p>
            <w:pPr>
              <w:jc w:val="center"/>
            </w:pPr>
            <w:r/>
            <w:r>
              <w:rPr>
                <w:rFonts w:ascii="Calibri" w:hAnsi="Calibri"/>
                <w:sz w:val="18"/>
              </w:rPr>
              <w:t>TPTK</w:t>
            </w:r>
          </w:p>
        </w:tc>
        <w:tc>
          <w:tcPr>
            <w:tcW w:type="dxa" w:w="1134"/>
          </w:tcPr>
          <w:p>
            <w:pPr>
              <w:jc w:val="center"/>
            </w:pPr>
            <w:r/>
            <w:r>
              <w:rPr>
                <w:rFonts w:ascii="Calibri" w:hAnsi="Calibri"/>
                <w:b/>
                <w:color w:val="06B6D4"/>
                <w:sz w:val="18"/>
              </w:rPr>
              <w:t>90</w:t>
            </w:r>
          </w:p>
        </w:tc>
        <w:tc>
          <w:tcPr>
            <w:tcW w:type="dxa" w:w="1134"/>
          </w:tcPr>
          <w:p>
            <w:pPr>
              <w:jc w:val="center"/>
            </w:pPr>
            <w:r/>
            <w:r>
              <w:rPr>
                <w:rFonts w:ascii="Calibri" w:hAnsi="Calibri"/>
                <w:b/>
                <w:color w:val="109881"/>
                <w:sz w:val="18"/>
              </w:rPr>
              <w:t>MS</w:t>
            </w:r>
          </w:p>
        </w:tc>
        <w:tc>
          <w:tcPr>
            <w:tcW w:type="dxa" w:w="1134"/>
          </w:tcPr>
          <w:p>
            <w:pPr>
              <w:jc w:val="center"/>
            </w:pPr>
            <w:r/>
            <w:r>
              <w:rPr>
                <w:rFonts w:ascii="Calibri" w:hAnsi="Calibri"/>
                <w:sz w:val="18"/>
              </w:rPr>
              <w:t>4</w:t>
            </w:r>
          </w:p>
        </w:tc>
        <w:tc>
          <w:tcPr>
            <w:tcW w:type="dxa" w:w="1134"/>
          </w:tcPr>
          <w:p>
            <w:pPr>
              <w:jc w:val="center"/>
            </w:pPr>
            <w:r/>
            <w:r>
              <w:rPr>
                <w:rFonts w:ascii="Calibri" w:hAnsi="Calibri"/>
                <w:sz w:val="18"/>
              </w:rPr>
              <w:t>2</w:t>
            </w:r>
          </w:p>
        </w:tc>
      </w:tr>
      <w:tr>
        <w:tc>
          <w:tcPr>
            <w:tcW w:type="dxa" w:w="1134"/>
          </w:tcPr>
          <w:p>
            <w:pPr>
              <w:jc w:val="center"/>
            </w:pPr>
            <w:r/>
            <w:r>
              <w:rPr>
                <w:rFonts w:ascii="Calibri" w:hAnsi="Calibri"/>
                <w:sz w:val="18"/>
              </w:rPr>
              <w:t>27</w:t>
            </w:r>
          </w:p>
        </w:tc>
        <w:tc>
          <w:tcPr>
            <w:tcW w:type="dxa" w:w="1134"/>
          </w:tcPr>
          <w:p>
            <w:pPr>
              <w:jc w:val="left"/>
            </w:pPr>
            <w:r/>
            <w:r>
              <w:rPr>
                <w:rFonts w:ascii="Calibri" w:hAnsi="Calibri"/>
                <w:sz w:val="18"/>
              </w:rPr>
              <w:t>Standar Mahasiswa</w:t>
            </w:r>
          </w:p>
        </w:tc>
        <w:tc>
          <w:tcPr>
            <w:tcW w:type="dxa" w:w="1134"/>
          </w:tcPr>
          <w:p>
            <w:pPr>
              <w:jc w:val="center"/>
            </w:pPr>
            <w:r/>
            <w:r>
              <w:rPr>
                <w:rFonts w:ascii="Calibri" w:hAnsi="Calibri"/>
                <w:sz w:val="18"/>
              </w:rPr>
              <w:t>MHS</w:t>
            </w:r>
          </w:p>
        </w:tc>
        <w:tc>
          <w:tcPr>
            <w:tcW w:type="dxa" w:w="1134"/>
          </w:tcPr>
          <w:p>
            <w:pPr>
              <w:jc w:val="center"/>
            </w:pPr>
            <w:r/>
            <w:r>
              <w:rPr>
                <w:rFonts w:ascii="Calibri" w:hAnsi="Calibri"/>
                <w:b/>
                <w:color w:val="06B6D4"/>
                <w:sz w:val="18"/>
              </w:rPr>
              <w:t>93</w:t>
            </w:r>
          </w:p>
        </w:tc>
        <w:tc>
          <w:tcPr>
            <w:tcW w:type="dxa" w:w="1134"/>
          </w:tcPr>
          <w:p>
            <w:pPr>
              <w:jc w:val="center"/>
            </w:pPr>
            <w:r/>
            <w:r>
              <w:rPr>
                <w:rFonts w:ascii="Calibri" w:hAnsi="Calibri"/>
                <w:b/>
                <w:color w:val="109881"/>
                <w:sz w:val="18"/>
              </w:rPr>
              <w:t>MS</w:t>
            </w:r>
          </w:p>
        </w:tc>
        <w:tc>
          <w:tcPr>
            <w:tcW w:type="dxa" w:w="1134"/>
          </w:tcPr>
          <w:p>
            <w:pPr>
              <w:jc w:val="center"/>
            </w:pPr>
            <w:r/>
            <w:r>
              <w:rPr>
                <w:rFonts w:ascii="Calibri" w:hAnsi="Calibri"/>
                <w:sz w:val="18"/>
              </w:rPr>
              <w:t>3</w:t>
            </w:r>
          </w:p>
        </w:tc>
        <w:tc>
          <w:tcPr>
            <w:tcW w:type="dxa" w:w="1134"/>
          </w:tcPr>
          <w:p>
            <w:pPr>
              <w:jc w:val="center"/>
            </w:pPr>
            <w:r/>
            <w:r>
              <w:rPr>
                <w:rFonts w:ascii="Calibri" w:hAnsi="Calibri"/>
                <w:sz w:val="18"/>
              </w:rPr>
              <w:t>2</w:t>
            </w:r>
          </w:p>
        </w:tc>
      </w:tr>
      <w:tr>
        <w:tc>
          <w:tcPr>
            <w:tcW w:type="dxa" w:w="1134"/>
          </w:tcPr>
          <w:p>
            <w:pPr>
              <w:jc w:val="center"/>
            </w:pPr>
            <w:r/>
            <w:r>
              <w:rPr>
                <w:rFonts w:ascii="Calibri" w:hAnsi="Calibri"/>
                <w:sz w:val="18"/>
              </w:rPr>
              <w:t>33</w:t>
            </w:r>
          </w:p>
        </w:tc>
        <w:tc>
          <w:tcPr>
            <w:tcW w:type="dxa" w:w="1134"/>
          </w:tcPr>
          <w:p>
            <w:pPr>
              <w:jc w:val="left"/>
            </w:pPr>
            <w:r/>
            <w:r>
              <w:rPr>
                <w:rFonts w:ascii="Calibri" w:hAnsi="Calibri"/>
                <w:sz w:val="18"/>
              </w:rPr>
              <w:t>Standar Pelayanan Kepada Mahasiswa</w:t>
            </w:r>
          </w:p>
        </w:tc>
        <w:tc>
          <w:tcPr>
            <w:tcW w:type="dxa" w:w="1134"/>
          </w:tcPr>
          <w:p>
            <w:pPr>
              <w:jc w:val="center"/>
            </w:pPr>
            <w:r/>
            <w:r>
              <w:rPr>
                <w:rFonts w:ascii="Calibri" w:hAnsi="Calibri"/>
                <w:sz w:val="18"/>
              </w:rPr>
              <w:t>PKM-MHS</w:t>
            </w:r>
          </w:p>
        </w:tc>
        <w:tc>
          <w:tcPr>
            <w:tcW w:type="dxa" w:w="1134"/>
          </w:tcPr>
          <w:p>
            <w:pPr>
              <w:jc w:val="center"/>
            </w:pPr>
            <w:r/>
            <w:r>
              <w:rPr>
                <w:rFonts w:ascii="Calibri" w:hAnsi="Calibri"/>
                <w:b/>
                <w:color w:val="109881"/>
                <w:sz w:val="18"/>
              </w:rPr>
              <w:t>88</w:t>
            </w:r>
          </w:p>
        </w:tc>
        <w:tc>
          <w:tcPr>
            <w:tcW w:type="dxa" w:w="1134"/>
          </w:tcPr>
          <w:p>
            <w:pPr>
              <w:jc w:val="center"/>
            </w:pPr>
            <w:r/>
            <w:r>
              <w:rPr>
                <w:rFonts w:ascii="Calibri" w:hAnsi="Calibri"/>
                <w:b/>
                <w:color w:val="109881"/>
                <w:sz w:val="18"/>
              </w:rPr>
              <w:t>MS</w:t>
            </w:r>
          </w:p>
        </w:tc>
        <w:tc>
          <w:tcPr>
            <w:tcW w:type="dxa" w:w="1134"/>
          </w:tcPr>
          <w:p>
            <w:pPr>
              <w:jc w:val="center"/>
            </w:pPr>
            <w:r/>
            <w:r>
              <w:rPr>
                <w:rFonts w:ascii="Calibri" w:hAnsi="Calibri"/>
                <w:sz w:val="18"/>
              </w:rPr>
              <w:t>5</w:t>
            </w:r>
          </w:p>
        </w:tc>
        <w:tc>
          <w:tcPr>
            <w:tcW w:type="dxa" w:w="1134"/>
          </w:tcPr>
          <w:p>
            <w:pPr>
              <w:jc w:val="center"/>
            </w:pPr>
            <w:r/>
            <w:r>
              <w:rPr>
                <w:rFonts w:ascii="Calibri" w:hAnsi="Calibri"/>
                <w:sz w:val="18"/>
              </w:rPr>
              <w:t>3</w:t>
            </w:r>
          </w:p>
        </w:tc>
      </w:tr>
    </w:tbl>
    <w:p/>
    <w:p>
      <w:pPr>
        <w:keepNext/>
        <w:spacing w:before="240" w:after="160"/>
      </w:pPr>
      <w:r>
        <w:rPr>
          <w:rFonts w:ascii="Calibri" w:hAnsi="Calibri"/>
          <w:b/>
          <w:color w:val="1A3A6E"/>
          <w:sz w:val="26"/>
        </w:rPr>
        <w:t>3.3 Catatan Temuan Utama</w:t>
      </w:r>
    </w:p>
    <w:p>
      <w:pPr>
        <w:spacing w:after="120" w:line="312" w:lineRule="auto"/>
        <w:ind w:firstLine="567"/>
        <w:jc w:val="both"/>
      </w:pPr>
      <w:r>
        <w:rPr>
          <w:rFonts w:ascii="Calibri" w:hAnsi="Calibri"/>
          <w:b w:val="0"/>
          <w:color w:val="1F2937"/>
          <w:sz w:val="22"/>
        </w:rPr>
        <w:t>Seluruh standar pada periode ini telah Mencapai Standar (MS) atau Melampaui Standar (ML). Tidak ada temuan kritis yang memerlukan tindakan korektif segera.</w:t>
      </w:r>
    </w:p>
    <w:p>
      <w:r>
        <w:br w:type="page"/>
      </w:r>
    </w:p>
    <w:p>
      <w:pPr>
        <w:keepNext/>
        <w:spacing w:before="360" w:after="160"/>
        <w:jc w:val="center"/>
      </w:pPr>
      <w:r>
        <w:rPr>
          <w:rFonts w:ascii="Calibri" w:hAnsi="Calibri"/>
          <w:b/>
          <w:color w:val="1A3A6E"/>
          <w:sz w:val="40"/>
        </w:rPr>
        <w:t>BAB IV</w:t>
        <w:br/>
        <w:t>PEMBAHASAN RTM</w:t>
      </w:r>
    </w:p>
    <w:p>
      <w:pPr>
        <w:keepNext/>
        <w:spacing w:before="240" w:after="160"/>
      </w:pPr>
      <w:r>
        <w:rPr>
          <w:rFonts w:ascii="Calibri" w:hAnsi="Calibri"/>
          <w:b/>
          <w:color w:val="1A3A6E"/>
          <w:sz w:val="26"/>
        </w:rPr>
        <w:t>4.1 Paparan Hasil AMI</w:t>
      </w:r>
    </w:p>
    <w:p>
      <w:pPr>
        <w:spacing w:after="120" w:line="312" w:lineRule="auto"/>
        <w:ind w:firstLine="567"/>
        <w:jc w:val="both"/>
      </w:pPr>
      <w:r>
        <w:rPr>
          <w:rFonts w:ascii="Calibri" w:hAnsi="Calibri"/>
          <w:b w:val="0"/>
          <w:color w:val="1F2937"/>
          <w:sz w:val="22"/>
        </w:rPr>
        <w:t>Ketua Pusat Penjaminan Mutu menyampaikan paparan hasil AMI periode ganjil TA 2024/2025. Paparan mencakup metodologi audit, instrumen yang digunakan, responden, serta capaian per standar. Hasil paparan menunjukkan bahwa secara umum sistem penjaminan mutu internal Universitas Tulungagung telah berjalan dengan baik, dengan rata-rata skor AMI sebesar 89.8/100.</w:t>
      </w:r>
    </w:p>
    <w:p>
      <w:pPr>
        <w:keepNext/>
        <w:spacing w:before="240" w:after="160"/>
      </w:pPr>
      <w:r>
        <w:rPr>
          <w:rFonts w:ascii="Calibri" w:hAnsi="Calibri"/>
          <w:b/>
          <w:color w:val="1A3A6E"/>
          <w:sz w:val="26"/>
        </w:rPr>
        <w:t>4.2 Diskusi dan Masukan Peserta</w:t>
      </w:r>
    </w:p>
    <w:p>
      <w:pPr>
        <w:spacing w:after="120" w:line="312" w:lineRule="auto"/>
        <w:ind w:firstLine="567"/>
        <w:jc w:val="both"/>
      </w:pPr>
      <w:r>
        <w:rPr>
          <w:rFonts w:ascii="Calibri" w:hAnsi="Calibri"/>
          <w:b w:val="0"/>
          <w:color w:val="1F2937"/>
          <w:sz w:val="22"/>
        </w:rPr>
        <w:t>Peserta rapat memberikan masukan dan diskusi terkait hasil AMI sebagai berikut:</w:t>
      </w:r>
    </w:p>
    <w:p>
      <w:pPr>
        <w:pStyle w:val="ListBullet"/>
        <w:spacing w:after="60" w:line="312" w:lineRule="auto"/>
        <w:ind w:left="567"/>
      </w:pPr>
      <w:r>
        <w:rPr>
          <w:rFonts w:ascii="Calibri" w:hAnsi="Calibri"/>
          <w:sz w:val="22"/>
        </w:rPr>
        <w:t>Pimpinan universitas menekankan pentingnya tindak lanjut atas temuan dan PTK yang teridentifikasi.</w:t>
      </w:r>
    </w:p>
    <w:p>
      <w:pPr>
        <w:pStyle w:val="ListBullet"/>
        <w:spacing w:after="60" w:line="312" w:lineRule="auto"/>
        <w:ind w:left="567"/>
      </w:pPr>
      <w:r>
        <w:rPr>
          <w:rFonts w:ascii="Calibri" w:hAnsi="Calibri"/>
          <w:sz w:val="22"/>
        </w:rPr>
        <w:t>Dekan dan Ketua Program Studi berkomitmen untuk mendukung pelaksanaan RTL di tingkat fakultas dan prodi.</w:t>
      </w:r>
    </w:p>
    <w:p>
      <w:pPr>
        <w:pStyle w:val="ListBullet"/>
        <w:spacing w:after="60" w:line="312" w:lineRule="auto"/>
        <w:ind w:left="567"/>
      </w:pPr>
      <w:r>
        <w:rPr>
          <w:rFonts w:ascii="Calibri" w:hAnsi="Calibri"/>
          <w:sz w:val="22"/>
        </w:rPr>
        <w:t>Diperlukan koordinasi antar unit kerja untuk penyelesaian PTK yang bersifat lintas standar.</w:t>
      </w:r>
    </w:p>
    <w:p>
      <w:pPr>
        <w:pStyle w:val="ListBullet"/>
        <w:spacing w:after="60" w:line="312" w:lineRule="auto"/>
        <w:ind w:left="567"/>
      </w:pPr>
      <w:r>
        <w:rPr>
          <w:rFonts w:ascii="Calibri" w:hAnsi="Calibri"/>
          <w:sz w:val="22"/>
        </w:rPr>
        <w:t>Diperlukan pengembangan kapasitas SDM melalui pelatihan dan sertifikasi untuk meningkatkan kualitas pelaksanaan standar.</w:t>
      </w:r>
    </w:p>
    <w:p>
      <w:pPr>
        <w:keepNext/>
        <w:spacing w:before="240" w:after="160"/>
      </w:pPr>
      <w:r>
        <w:rPr>
          <w:rFonts w:ascii="Calibri" w:hAnsi="Calibri"/>
          <w:b/>
          <w:color w:val="1A3A6E"/>
          <w:sz w:val="26"/>
        </w:rPr>
        <w:t>4.3 Keputusan RTM</w:t>
      </w:r>
    </w:p>
    <w:p>
      <w:pPr>
        <w:spacing w:after="120" w:line="312" w:lineRule="auto"/>
        <w:ind w:firstLine="567"/>
        <w:jc w:val="both"/>
      </w:pPr>
      <w:r>
        <w:rPr>
          <w:rFonts w:ascii="Calibri" w:hAnsi="Calibri"/>
          <w:b w:val="0"/>
          <w:color w:val="1F2937"/>
          <w:sz w:val="22"/>
        </w:rPr>
        <w:t>Berdasarkan pembahasan, RTM memutuskan:</w:t>
      </w:r>
    </w:p>
    <w:p>
      <w:pPr>
        <w:pStyle w:val="ListBullet"/>
        <w:spacing w:after="60" w:line="312" w:lineRule="auto"/>
        <w:ind w:left="567"/>
      </w:pPr>
      <w:r>
        <w:rPr>
          <w:rFonts w:ascii="Calibri" w:hAnsi="Calibri"/>
          <w:sz w:val="22"/>
        </w:rPr>
        <w:t>Menerima hasil AMI periode ganjil TA 2024/2025 sebagai bahan pengendalian mutu.</w:t>
      </w:r>
    </w:p>
    <w:p>
      <w:pPr>
        <w:pStyle w:val="ListBullet"/>
        <w:spacing w:after="60" w:line="312" w:lineRule="auto"/>
        <w:ind w:left="567"/>
      </w:pPr>
      <w:r>
        <w:rPr>
          <w:rFonts w:ascii="Calibri" w:hAnsi="Calibri"/>
          <w:sz w:val="22"/>
        </w:rPr>
        <w:t>Menugaskan PPM untuk menyusun Rencana Tindak Lanjut (RTL) atas seluruh temuan dan PTK.</w:t>
      </w:r>
    </w:p>
    <w:p>
      <w:pPr>
        <w:pStyle w:val="ListBullet"/>
        <w:spacing w:after="60" w:line="312" w:lineRule="auto"/>
        <w:ind w:left="567"/>
      </w:pPr>
      <w:r>
        <w:rPr>
          <w:rFonts w:ascii="Calibri" w:hAnsi="Calibri"/>
          <w:sz w:val="22"/>
        </w:rPr>
        <w:t>Menugaskan penanggung jawab standar untuk melaksanakan RTL sesuai target waktu yang ditetapkan.</w:t>
      </w:r>
    </w:p>
    <w:p>
      <w:pPr>
        <w:pStyle w:val="ListBullet"/>
        <w:spacing w:after="60" w:line="312" w:lineRule="auto"/>
        <w:ind w:left="567"/>
      </w:pPr>
      <w:r>
        <w:rPr>
          <w:rFonts w:ascii="Calibri" w:hAnsi="Calibri"/>
          <w:sz w:val="22"/>
        </w:rPr>
        <w:t>Menyepakati tenggat waktu pelaksanaan RTL maksimal 3 bulan setelah RTM (Oktober 2025).</w:t>
      </w:r>
    </w:p>
    <w:p>
      <w:pPr>
        <w:pStyle w:val="ListBullet"/>
        <w:spacing w:after="60" w:line="312" w:lineRule="auto"/>
        <w:ind w:left="567"/>
      </w:pPr>
      <w:r>
        <w:rPr>
          <w:rFonts w:ascii="Calibri" w:hAnsi="Calibri"/>
          <w:sz w:val="22"/>
        </w:rPr>
        <w:t>Meminta laporan progres RTL kepada PPM setiap bulan sampai dengan selesai.</w:t>
      </w:r>
    </w:p>
    <w:p>
      <w:r>
        <w:br w:type="page"/>
      </w:r>
    </w:p>
    <w:p>
      <w:pPr>
        <w:keepNext/>
        <w:spacing w:before="360" w:after="160"/>
        <w:jc w:val="center"/>
      </w:pPr>
      <w:r>
        <w:rPr>
          <w:rFonts w:ascii="Calibri" w:hAnsi="Calibri"/>
          <w:b/>
          <w:color w:val="1A3A6E"/>
          <w:sz w:val="40"/>
        </w:rPr>
        <w:t>BAB V</w:t>
        <w:br/>
        <w:t>DOKUMENTASI RAPAT</w:t>
      </w:r>
    </w:p>
    <w:p>
      <w:pPr>
        <w:keepNext/>
        <w:spacing w:before="240" w:after="160"/>
      </w:pPr>
      <w:r>
        <w:rPr>
          <w:rFonts w:ascii="Calibri" w:hAnsi="Calibri"/>
          <w:b/>
          <w:color w:val="1A3A6E"/>
          <w:sz w:val="26"/>
        </w:rPr>
        <w:t>5.1 Foto Bukti Rapat</w:t>
      </w:r>
    </w:p>
    <w:p>
      <w:pPr>
        <w:spacing w:after="120" w:line="312" w:lineRule="auto"/>
        <w:ind w:firstLine="567"/>
        <w:jc w:val="both"/>
      </w:pPr>
      <w:r>
        <w:rPr>
          <w:rFonts w:ascii="Calibri" w:hAnsi="Calibri"/>
          <w:b w:val="0"/>
          <w:color w:val="1F2937"/>
          <w:sz w:val="22"/>
        </w:rPr>
        <w:t>Berikut dokumentasi pelaksanaan Rapat Tinjauan Manajemen (RTM) periode GANJIL TA 2024/2025:</w:t>
      </w:r>
    </w:p>
    <w:p/>
    <w:tbl>
      <w:tblPr>
        <w:tblW w:type="auto" w:w="0"/>
        <w:jc w:val="center"/>
        <w:tblLook w:firstColumn="1" w:firstRow="1" w:lastColumn="0" w:lastRow="0" w:noHBand="0" w:noVBand="1" w:val="04A0"/>
      </w:tblPr>
      <w:tblGrid>
        <w:gridCol w:w="7937"/>
      </w:tblGrid>
      <w:tr>
        <w:trPr>
          <w:trHeight w:val="4536" w:hRule="atLeast"/>
        </w:trPr>
        <w:tc>
          <w:tcPr>
            <w:tcW w:type="dxa" w:w="7370"/>
            <w:tcBorders>
              <w:top w:val="dashed" w:sz="12" w:color="386EE6"/>
              <w:left w:val="dashed" w:sz="12" w:color="386EE6"/>
              <w:bottom w:val="dashed" w:sz="12" w:color="386EE6"/>
              <w:right w:val="dashed" w:sz="12" w:color="386EE6"/>
            </w:tcBorders>
            <w:shd w:fill="F0F4FF"/>
          </w:tcPr>
          <w:p>
            <w:pPr>
              <w:spacing w:before="2240" w:after="2240"/>
              <w:jc w:val="center"/>
            </w:pPr>
            <w:r/>
            <w:r>
              <w:rPr>
                <w:rFonts w:ascii="Calibri" w:hAnsi="Calibri"/>
                <w:b/>
                <w:color w:val="386EE6"/>
                <w:sz w:val="28"/>
              </w:rPr>
              <w:t>[ FOTO BUKTI RTM GANJIL - 1 ]</w:t>
            </w:r>
          </w:p>
          <w:p>
            <w:pPr>
              <w:jc w:val="center"/>
            </w:pPr>
            <w:r>
              <w:rPr>
                <w:rFonts w:ascii="Calibri" w:hAnsi="Calibri"/>
                <w:i/>
                <w:color w:val="6B7280"/>
                <w:sz w:val="20"/>
              </w:rPr>
              <w:t>Tempel foto bukti rapat di sini</w:t>
            </w:r>
          </w:p>
        </w:tc>
      </w:tr>
    </w:tbl>
    <w:p>
      <w:pPr>
        <w:spacing w:before="80"/>
        <w:jc w:val="center"/>
      </w:pPr>
      <w:r>
        <w:rPr>
          <w:i/>
          <w:color w:val="6B7280"/>
          <w:sz w:val="20"/>
        </w:rPr>
        <w:t>Foto 1: Pembukaan RTM GANJIL TA 2024/2025 oleh Rektor</w:t>
      </w:r>
    </w:p>
    <w:p/>
    <w:tbl>
      <w:tblPr>
        <w:tblW w:type="auto" w:w="0"/>
        <w:jc w:val="center"/>
        <w:tblLook w:firstColumn="1" w:firstRow="1" w:lastColumn="0" w:lastRow="0" w:noHBand="0" w:noVBand="1" w:val="04A0"/>
      </w:tblPr>
      <w:tblGrid>
        <w:gridCol w:w="7937"/>
      </w:tblGrid>
      <w:tr>
        <w:trPr>
          <w:trHeight w:val="4536" w:hRule="atLeast"/>
        </w:trPr>
        <w:tc>
          <w:tcPr>
            <w:tcW w:type="dxa" w:w="7370"/>
            <w:tcBorders>
              <w:top w:val="dashed" w:sz="12" w:color="386EE6"/>
              <w:left w:val="dashed" w:sz="12" w:color="386EE6"/>
              <w:bottom w:val="dashed" w:sz="12" w:color="386EE6"/>
              <w:right w:val="dashed" w:sz="12" w:color="386EE6"/>
            </w:tcBorders>
            <w:shd w:fill="F0F4FF"/>
          </w:tcPr>
          <w:p>
            <w:pPr>
              <w:spacing w:before="2240" w:after="2240"/>
              <w:jc w:val="center"/>
            </w:pPr>
            <w:r/>
            <w:r>
              <w:rPr>
                <w:rFonts w:ascii="Calibri" w:hAnsi="Calibri"/>
                <w:b/>
                <w:color w:val="386EE6"/>
                <w:sz w:val="28"/>
              </w:rPr>
              <w:t>[ FOTO BUKTI RTM GANJIL - 2 ]</w:t>
            </w:r>
          </w:p>
          <w:p>
            <w:pPr>
              <w:jc w:val="center"/>
            </w:pPr>
            <w:r>
              <w:rPr>
                <w:rFonts w:ascii="Calibri" w:hAnsi="Calibri"/>
                <w:i/>
                <w:color w:val="6B7280"/>
                <w:sz w:val="20"/>
              </w:rPr>
              <w:t>Tempel foto bukti rapat di sini</w:t>
            </w:r>
          </w:p>
        </w:tc>
      </w:tr>
    </w:tbl>
    <w:p>
      <w:pPr>
        <w:spacing w:before="80"/>
        <w:jc w:val="center"/>
      </w:pPr>
      <w:r>
        <w:rPr>
          <w:i/>
          <w:color w:val="6B7280"/>
          <w:sz w:val="20"/>
        </w:rPr>
        <w:t>Foto 2: Paparan hasil AMI oleh Ketua PPM</w:t>
      </w:r>
    </w:p>
    <w:p/>
    <w:tbl>
      <w:tblPr>
        <w:tblW w:type="auto" w:w="0"/>
        <w:jc w:val="center"/>
        <w:tblLook w:firstColumn="1" w:firstRow="1" w:lastColumn="0" w:lastRow="0" w:noHBand="0" w:noVBand="1" w:val="04A0"/>
      </w:tblPr>
      <w:tblGrid>
        <w:gridCol w:w="7937"/>
      </w:tblGrid>
      <w:tr>
        <w:trPr>
          <w:trHeight w:val="4536" w:hRule="atLeast"/>
        </w:trPr>
        <w:tc>
          <w:tcPr>
            <w:tcW w:type="dxa" w:w="7370"/>
            <w:tcBorders>
              <w:top w:val="dashed" w:sz="12" w:color="386EE6"/>
              <w:left w:val="dashed" w:sz="12" w:color="386EE6"/>
              <w:bottom w:val="dashed" w:sz="12" w:color="386EE6"/>
              <w:right w:val="dashed" w:sz="12" w:color="386EE6"/>
            </w:tcBorders>
            <w:shd w:fill="F0F4FF"/>
          </w:tcPr>
          <w:p>
            <w:pPr>
              <w:spacing w:before="2240" w:after="2240"/>
              <w:jc w:val="center"/>
            </w:pPr>
            <w:r/>
            <w:r>
              <w:rPr>
                <w:rFonts w:ascii="Calibri" w:hAnsi="Calibri"/>
                <w:b/>
                <w:color w:val="386EE6"/>
                <w:sz w:val="28"/>
              </w:rPr>
              <w:t>[ FOTO BUKTI RTM GANJIL - 3 ]</w:t>
            </w:r>
          </w:p>
          <w:p>
            <w:pPr>
              <w:jc w:val="center"/>
            </w:pPr>
            <w:r>
              <w:rPr>
                <w:rFonts w:ascii="Calibri" w:hAnsi="Calibri"/>
                <w:i/>
                <w:color w:val="6B7280"/>
                <w:sz w:val="20"/>
              </w:rPr>
              <w:t>Tempel foto bukti rapat di sini</w:t>
            </w:r>
          </w:p>
        </w:tc>
      </w:tr>
    </w:tbl>
    <w:p>
      <w:pPr>
        <w:spacing w:before="80"/>
        <w:jc w:val="center"/>
      </w:pPr>
      <w:r>
        <w:rPr>
          <w:i/>
          <w:color w:val="6B7280"/>
          <w:sz w:val="20"/>
        </w:rPr>
        <w:t>Foto 3: Diskusi dan keputusan RTM</w:t>
      </w:r>
    </w:p>
    <w:p/>
    <w:tbl>
      <w:tblPr>
        <w:tblW w:type="auto" w:w="0"/>
        <w:jc w:val="center"/>
        <w:tblLook w:firstColumn="1" w:firstRow="1" w:lastColumn="0" w:lastRow="0" w:noHBand="0" w:noVBand="1" w:val="04A0"/>
      </w:tblPr>
      <w:tblGrid>
        <w:gridCol w:w="7937"/>
      </w:tblGrid>
      <w:tr>
        <w:trPr>
          <w:trHeight w:val="4536" w:hRule="atLeast"/>
        </w:trPr>
        <w:tc>
          <w:tcPr>
            <w:tcW w:type="dxa" w:w="7370"/>
            <w:tcBorders>
              <w:top w:val="dashed" w:sz="12" w:color="386EE6"/>
              <w:left w:val="dashed" w:sz="12" w:color="386EE6"/>
              <w:bottom w:val="dashed" w:sz="12" w:color="386EE6"/>
              <w:right w:val="dashed" w:sz="12" w:color="386EE6"/>
            </w:tcBorders>
            <w:shd w:fill="F0F4FF"/>
          </w:tcPr>
          <w:p>
            <w:pPr>
              <w:spacing w:before="2240" w:after="2240"/>
              <w:jc w:val="center"/>
            </w:pPr>
            <w:r/>
            <w:r>
              <w:rPr>
                <w:rFonts w:ascii="Calibri" w:hAnsi="Calibri"/>
                <w:b/>
                <w:color w:val="386EE6"/>
                <w:sz w:val="28"/>
              </w:rPr>
              <w:t>[ FOTO DAFTAR HADIR RTM GANJIL ]</w:t>
            </w:r>
          </w:p>
          <w:p>
            <w:pPr>
              <w:jc w:val="center"/>
            </w:pPr>
            <w:r>
              <w:rPr>
                <w:rFonts w:ascii="Calibri" w:hAnsi="Calibri"/>
                <w:i/>
                <w:color w:val="6B7280"/>
                <w:sz w:val="20"/>
              </w:rPr>
              <w:t>Tempel foto bukti rapat di sini</w:t>
            </w:r>
          </w:p>
        </w:tc>
      </w:tr>
    </w:tbl>
    <w:p>
      <w:pPr>
        <w:spacing w:before="80"/>
        <w:jc w:val="center"/>
      </w:pPr>
      <w:r>
        <w:rPr>
          <w:i/>
          <w:color w:val="6B7280"/>
          <w:sz w:val="20"/>
        </w:rPr>
        <w:t>Foto 4: Daftar hadir peserta RTM GANJIL</w:t>
      </w:r>
    </w:p>
    <w:p>
      <w:r>
        <w:br w:type="page"/>
      </w:r>
    </w:p>
    <w:p>
      <w:pPr>
        <w:keepNext/>
        <w:spacing w:before="360" w:after="160"/>
        <w:jc w:val="center"/>
      </w:pPr>
      <w:r>
        <w:rPr>
          <w:rFonts w:ascii="Calibri" w:hAnsi="Calibri"/>
          <w:b/>
          <w:color w:val="1A3A6E"/>
          <w:sz w:val="40"/>
        </w:rPr>
        <w:t>BAB VI</w:t>
        <w:br/>
        <w:t>PENUTUP</w:t>
      </w:r>
    </w:p>
    <w:p>
      <w:pPr>
        <w:spacing w:after="120" w:line="312" w:lineRule="auto"/>
        <w:ind w:firstLine="567"/>
        <w:jc w:val="both"/>
      </w:pPr>
      <w:r>
        <w:rPr>
          <w:rFonts w:ascii="Calibri" w:hAnsi="Calibri"/>
          <w:b w:val="0"/>
          <w:color w:val="1F2937"/>
          <w:sz w:val="22"/>
        </w:rPr>
        <w:t>Rapat Tinjauan Manajemen (RTM) periode GANJIL TA 2024/2025 telah berjalan dengan baik dan menghasilkan keputusan-keputusan strategis untuk pengendalian dan peningkatan mutu Universitas Tulungagung. Seluruh keputusan RTM akan ditindaklanjuti melalui Rencana Tindak Lanjut (RTL) yang disusun oleh Pusat Penjaminan Mutu.</w:t>
      </w:r>
    </w:p>
    <w:p>
      <w:pPr>
        <w:spacing w:after="120" w:line="312" w:lineRule="auto"/>
        <w:ind w:firstLine="567"/>
        <w:jc w:val="both"/>
      </w:pPr>
      <w:r>
        <w:rPr>
          <w:rFonts w:ascii="Calibri" w:hAnsi="Calibri"/>
          <w:b w:val="0"/>
          <w:color w:val="1F2937"/>
          <w:sz w:val="22"/>
        </w:rPr>
        <w:t>Pimpinan Universitas Tulungagung berkomitmen untuk terus mendukung pelaksanaan siklus PPEPP secara berkelanjutan guna mewujudkan peningkatan mutu pendidikan tinggi yang berdaya saing dan bermutu, sejalan dengan amanat Permen 39/2025 dan Renstra Universitas Tulungagung.</w:t>
      </w:r>
    </w:p>
    <w:p/>
    <w:p/>
    <w:p>
      <w:pPr>
        <w:jc w:val="right"/>
      </w:pPr>
      <w:r>
        <w:rPr>
          <w:rFonts w:ascii="Calibri" w:hAnsi="Calibri"/>
          <w:sz w:val="22"/>
        </w:rPr>
        <w:t>Tulungagung, 15 Februari 2025</w:t>
      </w:r>
    </w:p>
    <w:tbl>
      <w:tblPr>
        <w:tblW w:type="auto" w:w="0"/>
        <w:jc w:val="center"/>
        <w:tblLook w:firstColumn="1" w:firstRow="1" w:lastColumn="0" w:lastRow="0" w:noHBand="0" w:noVBand="1" w:val="04A0"/>
      </w:tblPr>
      <w:tblGrid>
        <w:gridCol w:w="3968"/>
        <w:gridCol w:w="3968"/>
      </w:tblGrid>
      <w:tr>
        <w:tc>
          <w:tcPr>
            <w:tcW w:type="dxa" w:w="2551"/>
          </w:tcPr>
          <w:p>
            <w:pPr>
              <w:jc w:val="center"/>
            </w:pPr>
            <w:r/>
            <w:r>
              <w:rPr>
                <w:rFonts w:ascii="Calibri" w:hAnsi="Calibri"/>
                <w:b/>
                <w:color w:val="1A3A6E"/>
                <w:sz w:val="22"/>
              </w:rPr>
              <w:t>Pemimpin Rapat</w:t>
            </w:r>
          </w:p>
        </w:tc>
        <w:tc>
          <w:tcPr>
            <w:tcW w:type="dxa" w:w="2551"/>
          </w:tcPr>
          <w:p>
            <w:pPr>
              <w:jc w:val="center"/>
            </w:pPr>
            <w:r/>
            <w:r>
              <w:rPr>
                <w:rFonts w:ascii="Calibri" w:hAnsi="Calibri"/>
                <w:b/>
                <w:color w:val="1A3A6E"/>
                <w:sz w:val="22"/>
              </w:rPr>
              <w:t>Ketua PPM</w:t>
            </w:r>
          </w:p>
        </w:tc>
      </w:tr>
      <w:tr>
        <w:tc>
          <w:tcPr>
            <w:tcW w:type="dxa" w:w="2551"/>
          </w:tcPr>
          <w:p>
            <w:pPr>
              <w:spacing w:before="800" w:after="400"/>
              <w:jc w:val="center"/>
            </w:pPr>
            <w:r/>
            <w:r/>
          </w:p>
        </w:tc>
        <w:tc>
          <w:tcPr>
            <w:tcW w:type="dxa" w:w="2551"/>
          </w:tcPr>
          <w:p>
            <w:pPr>
              <w:spacing w:before="800" w:after="400"/>
              <w:jc w:val="center"/>
            </w:pPr>
            <w:r/>
            <w:r/>
          </w:p>
        </w:tc>
      </w:tr>
      <w:tr>
        <w:tc>
          <w:tcPr>
            <w:tcW w:type="dxa" w:w="2551"/>
          </w:tcPr>
          <w:p>
            <w:pPr>
              <w:jc w:val="center"/>
            </w:pPr>
            <w:r/>
            <w:r>
              <w:rPr>
                <w:rFonts w:ascii="Calibri" w:hAnsi="Calibri"/>
                <w:b/>
                <w:color w:val="1F2937"/>
                <w:sz w:val="22"/>
              </w:rPr>
              <w:t>Dr. Muharsono, M.Si.</w:t>
            </w:r>
          </w:p>
        </w:tc>
        <w:tc>
          <w:tcPr>
            <w:tcW w:type="dxa" w:w="2551"/>
          </w:tcPr>
          <w:p>
            <w:pPr>
              <w:jc w:val="center"/>
            </w:pPr>
            <w:r/>
            <w:r>
              <w:rPr>
                <w:rFonts w:ascii="Calibri" w:hAnsi="Calibri"/>
                <w:b/>
                <w:color w:val="1F2937"/>
                <w:sz w:val="22"/>
              </w:rPr>
              <w:t>Dr. Anang Sugeng C., S.AP., M.Si.</w:t>
            </w:r>
          </w:p>
        </w:tc>
      </w:tr>
    </w:tbl>
    <w:sectPr w:rsidR="00FC693F" w:rsidRPr="0006063C" w:rsidSect="00034616">
      <w:pgSz w:w="11906" w:h="16838"/>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