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120" w:lineRule="exact"/>
      </w:pPr>
    </w:p>
    <w:p>
      <w:pPr>
        <w:spacing w:after="0" w:line="120" w:lineRule="exact"/>
      </w:pPr>
    </w:p>
    <w:p>
      <w:pPr>
        <w:spacing w:after="0" w:line="120" w:lineRule="exact"/>
      </w:pPr>
    </w:p>
    <w:p>
      <w:pPr>
        <w:spacing w:after="0" w:line="120" w:lineRule="exact"/>
      </w:pPr>
    </w:p>
    <w:p>
      <w:pPr>
        <w:spacing w:after="0" w:line="120" w:lineRule="exact"/>
      </w:pPr>
    </w:p>
    <w:p>
      <w:pPr>
        <w:spacing w:after="0" w:line="120" w:lineRule="exact"/>
      </w:pPr>
    </w:p>
    <w:p>
      <w:pPr>
        <w:jc w:val="center"/>
      </w:pPr>
      <w:r>
        <w:rPr>
          <w:i/>
          <w:color w:val="666666"/>
          <w:sz w:val="20"/>
        </w:rPr>
        <w:t>[LOGO UNIVERSITAS TULUNGAGUNG]</w:t>
      </w:r>
    </w:p>
    <w:p>
      <w:pPr>
        <w:spacing w:after="0" w:line="120" w:lineRule="exact"/>
      </w:pPr>
    </w:p>
    <w:p>
      <w:pPr>
        <w:spacing w:after="0" w:line="120" w:lineRule="exact"/>
      </w:pPr>
    </w:p>
    <w:p>
      <w:pPr>
        <w:spacing w:after="0" w:line="120" w:lineRule="exact"/>
      </w:pPr>
    </w:p>
    <w:p>
      <w:pPr>
        <w:spacing w:after="120"/>
        <w:jc w:val="center"/>
      </w:pPr>
      <w:r>
        <w:rPr>
          <w:rFonts w:ascii="Calibri" w:hAnsi="Calibri"/>
          <w:b/>
          <w:color w:val="1A2B5C"/>
          <w:sz w:val="56"/>
        </w:rPr>
        <w:t>LAPORAN EVALUASI DIRI</w:t>
      </w:r>
    </w:p>
    <w:p>
      <w:pPr>
        <w:spacing w:after="400"/>
        <w:jc w:val="center"/>
      </w:pPr>
      <w:r>
        <w:rPr>
          <w:rFonts w:ascii="Calibri" w:hAnsi="Calibri"/>
          <w:b/>
          <w:color w:val="2D4A8C"/>
          <w:sz w:val="32"/>
        </w:rPr>
        <w:t>AKREDITASI PERGURUAN TINGGI (APT 4.1)</w:t>
      </w:r>
    </w:p>
    <w:p>
      <w:pPr>
        <w:jc w:val="center"/>
        <w:pBdr>
          <w:bottom w:val="single" w:sz="12" w:space="1" w:color="1A2B5C"/>
        </w:pBdr>
      </w:pPr>
    </w:p>
    <w:p>
      <w:pPr>
        <w:spacing w:after="0" w:line="120" w:lineRule="exact"/>
      </w:pPr>
    </w:p>
    <w:p>
      <w:pPr>
        <w:spacing w:after="0" w:line="120" w:lineRule="exact"/>
      </w:pPr>
    </w:p>
    <w:p>
      <w:pPr>
        <w:spacing w:after="80"/>
        <w:jc w:val="center"/>
      </w:pPr>
      <w:r>
        <w:rPr>
          <w:rFonts w:ascii="Calibri" w:hAnsi="Calibri"/>
          <w:b/>
          <w:color w:val="1A2B5C"/>
          <w:sz w:val="40"/>
        </w:rPr>
        <w:t>UNIVERSITAS TULUNGAGUNG</w:t>
      </w:r>
    </w:p>
    <w:p>
      <w:pPr>
        <w:spacing w:after="600"/>
        <w:jc w:val="center"/>
      </w:pPr>
      <w:r>
        <w:rPr>
          <w:rFonts w:ascii="Calibri" w:hAnsi="Calibri"/>
          <w:color w:val="666666"/>
          <w:sz w:val="28"/>
        </w:rPr>
        <w:t>Tahun Akademik 2024/2025</w:t>
      </w:r>
    </w:p>
    <w:p>
      <w:pPr>
        <w:spacing w:after="0" w:line="120" w:lineRule="exact"/>
      </w:pPr>
    </w:p>
    <w:p>
      <w:pPr>
        <w:spacing w:after="0" w:line="120" w:lineRule="exact"/>
      </w:pPr>
    </w:p>
    <w:p>
      <w:pPr>
        <w:spacing w:after="0" w:line="120" w:lineRule="exact"/>
      </w:pPr>
    </w:p>
    <w:p>
      <w:pPr>
        <w:spacing w:after="0" w:line="120" w:lineRule="exact"/>
      </w:pPr>
    </w:p>
    <w:p>
      <w:pPr>
        <w:spacing w:after="0" w:line="120" w:lineRule="exact"/>
      </w:pPr>
    </w:p>
    <w:p>
      <w:pPr>
        <w:spacing w:after="0" w:line="120" w:lineRule="exact"/>
      </w:pPr>
    </w:p>
    <w:tbl>
      <w:tblPr>
        <w:tblW w:type="auto" w:w="0"/>
        <w:jc w:val="center"/>
        <w:tblLook w:firstColumn="1" w:firstRow="1" w:lastColumn="0" w:lastRow="0" w:noHBand="0" w:noVBand="1" w:val="04A0"/>
      </w:tblPr>
      <w:tblGrid>
        <w:gridCol w:w="3968"/>
        <w:gridCol w:w="3968"/>
      </w:tblGrid>
      <w:tr>
        <w:tc>
          <w:tcPr>
            <w:tcW w:type="dxa" w:w="2835"/>
            <w:shd w:fill="1A2B5C"/>
            <w:tcBorders>
              <w:top w:val="single" w:sz="2" w:color="1A2B5C"/>
              <w:bottom w:val="single" w:sz="2" w:color="1A2B5C"/>
              <w:left w:val="single" w:sz="2" w:color="1A2B5C"/>
              <w:right w:val="single" w:sz="2" w:color="1A2B5C"/>
            </w:tcBorders>
          </w:tcPr>
          <w:p>
            <w:pPr>
              <w:jc w:val="center"/>
            </w:pPr>
            <w:r>
              <w:rPr>
                <w:rFonts w:ascii="Calibri" w:hAnsi="Calibri"/>
                <w:b/>
                <w:color w:val="FFFFFF"/>
                <w:sz w:val="20"/>
              </w:rPr>
              <w:t>Disusun oleh</w:t>
            </w:r>
          </w:p>
        </w:tc>
        <w:tc>
          <w:tcPr>
            <w:tcW w:type="dxa" w:w="5102"/>
            <w:shd w:fill="F0F4FF"/>
            <w:tcBorders>
              <w:top w:val="single" w:sz="2" w:color="1A2B5C"/>
              <w:bottom w:val="single" w:sz="2" w:color="1A2B5C"/>
              <w:left w:val="single" w:sz="2" w:color="1A2B5C"/>
              <w:right w:val="single" w:sz="2" w:color="1A2B5C"/>
            </w:tcBorders>
          </w:tcPr>
          <w:p>
            <w:pPr>
              <w:jc w:val="center"/>
            </w:pPr>
            <w:r>
              <w:rPr>
                <w:rFonts w:ascii="Calibri" w:hAnsi="Calibri"/>
                <w:color w:val="1A2B5C"/>
                <w:sz w:val="20"/>
              </w:rPr>
              <w:t>Pusat Penjaminan Mutu (PPM)</w:t>
            </w:r>
          </w:p>
        </w:tc>
      </w:tr>
      <w:tr>
        <w:tc>
          <w:tcPr>
            <w:tcW w:type="dxa" w:w="2835"/>
            <w:shd w:fill="1A2B5C"/>
            <w:tcBorders>
              <w:top w:val="single" w:sz="2" w:color="1A2B5C"/>
              <w:bottom w:val="single" w:sz="2" w:color="1A2B5C"/>
              <w:left w:val="single" w:sz="2" w:color="1A2B5C"/>
              <w:right w:val="single" w:sz="2" w:color="1A2B5C"/>
            </w:tcBorders>
          </w:tcPr>
          <w:p>
            <w:pPr>
              <w:jc w:val="center"/>
            </w:pPr>
            <w:r>
              <w:rPr>
                <w:rFonts w:ascii="Calibri" w:hAnsi="Calibri"/>
                <w:b/>
                <w:color w:val="FFFFFF"/>
                <w:sz w:val="20"/>
              </w:rPr>
              <w:t>Ketua PPM</w:t>
            </w:r>
          </w:p>
        </w:tc>
        <w:tc>
          <w:tcPr>
            <w:tcW w:type="dxa" w:w="5102"/>
            <w:shd w:fill="F0F4FF"/>
            <w:tcBorders>
              <w:top w:val="single" w:sz="2" w:color="1A2B5C"/>
              <w:bottom w:val="single" w:sz="2" w:color="1A2B5C"/>
              <w:left w:val="single" w:sz="2" w:color="1A2B5C"/>
              <w:right w:val="single" w:sz="2" w:color="1A2B5C"/>
            </w:tcBorders>
          </w:tcPr>
          <w:p>
            <w:pPr>
              <w:jc w:val="center"/>
            </w:pPr>
            <w:r>
              <w:rPr>
                <w:rFonts w:ascii="Calibri" w:hAnsi="Calibri"/>
                <w:color w:val="1A2B5C"/>
                <w:sz w:val="20"/>
              </w:rPr>
              <w:t>Dr. Anang Sugeng Cahyono, S.AP., S.H., M.Si.</w:t>
            </w:r>
          </w:p>
        </w:tc>
      </w:tr>
      <w:tr>
        <w:tc>
          <w:tcPr>
            <w:tcW w:type="dxa" w:w="2835"/>
            <w:shd w:fill="1A2B5C"/>
            <w:tcBorders>
              <w:top w:val="single" w:sz="2" w:color="1A2B5C"/>
              <w:bottom w:val="single" w:sz="2" w:color="1A2B5C"/>
              <w:left w:val="single" w:sz="2" w:color="1A2B5C"/>
              <w:right w:val="single" w:sz="2" w:color="1A2B5C"/>
            </w:tcBorders>
          </w:tcPr>
          <w:p>
            <w:pPr>
              <w:jc w:val="center"/>
            </w:pPr>
            <w:r>
              <w:rPr>
                <w:rFonts w:ascii="Calibri" w:hAnsi="Calibri"/>
                <w:b/>
                <w:color w:val="FFFFFF"/>
                <w:sz w:val="20"/>
              </w:rPr>
              <w:t>Rektor</w:t>
            </w:r>
          </w:p>
        </w:tc>
        <w:tc>
          <w:tcPr>
            <w:tcW w:type="dxa" w:w="5102"/>
            <w:shd w:fill="F0F4FF"/>
            <w:tcBorders>
              <w:top w:val="single" w:sz="2" w:color="1A2B5C"/>
              <w:bottom w:val="single" w:sz="2" w:color="1A2B5C"/>
              <w:left w:val="single" w:sz="2" w:color="1A2B5C"/>
              <w:right w:val="single" w:sz="2" w:color="1A2B5C"/>
            </w:tcBorders>
          </w:tcPr>
          <w:p>
            <w:pPr>
              <w:jc w:val="center"/>
            </w:pPr>
            <w:r>
              <w:rPr>
                <w:rFonts w:ascii="Calibri" w:hAnsi="Calibri"/>
                <w:color w:val="1A2B5C"/>
                <w:sz w:val="20"/>
              </w:rPr>
              <w:t>Dr. Muharsono, M.Si.</w:t>
            </w:r>
          </w:p>
        </w:tc>
      </w:tr>
      <w:tr>
        <w:tc>
          <w:tcPr>
            <w:tcW w:type="dxa" w:w="2835"/>
            <w:shd w:fill="1A2B5C"/>
            <w:tcBorders>
              <w:top w:val="single" w:sz="2" w:color="1A2B5C"/>
              <w:bottom w:val="single" w:sz="2" w:color="1A2B5C"/>
              <w:left w:val="single" w:sz="2" w:color="1A2B5C"/>
              <w:right w:val="single" w:sz="2" w:color="1A2B5C"/>
            </w:tcBorders>
          </w:tcPr>
          <w:p>
            <w:pPr>
              <w:jc w:val="center"/>
            </w:pPr>
            <w:r>
              <w:rPr>
                <w:rFonts w:ascii="Calibri" w:hAnsi="Calibri"/>
                <w:b/>
                <w:color w:val="FFFFFF"/>
                <w:sz w:val="20"/>
              </w:rPr>
              <w:t>Tanggal Penetapan</w:t>
            </w:r>
          </w:p>
        </w:tc>
        <w:tc>
          <w:tcPr>
            <w:tcW w:type="dxa" w:w="5102"/>
            <w:shd w:fill="F0F4FF"/>
            <w:tcBorders>
              <w:top w:val="single" w:sz="2" w:color="1A2B5C"/>
              <w:bottom w:val="single" w:sz="2" w:color="1A2B5C"/>
              <w:left w:val="single" w:sz="2" w:color="1A2B5C"/>
              <w:right w:val="single" w:sz="2" w:color="1A2B5C"/>
            </w:tcBorders>
          </w:tcPr>
          <w:p>
            <w:pPr>
              <w:jc w:val="center"/>
            </w:pPr>
            <w:r>
              <w:rPr>
                <w:rFonts w:ascii="Calibri" w:hAnsi="Calibri"/>
                <w:color w:val="1A2B5C"/>
                <w:sz w:val="20"/>
              </w:rPr>
              <w:t>1 September 2025</w:t>
            </w:r>
          </w:p>
        </w:tc>
      </w:tr>
    </w:tbl>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KATA PENGANTAR</w:t>
      </w:r>
    </w:p>
    <w:p>
      <w:pPr>
        <w:spacing w:line="360" w:lineRule="exact" w:after="120"/>
        <w:ind w:firstLine="567"/>
        <w:jc w:val="both"/>
      </w:pPr>
      <w:r>
        <w:rPr>
          <w:rFonts w:ascii="Calibri" w:hAnsi="Calibri"/>
          <w:color w:val="333333"/>
          <w:sz w:val="22"/>
        </w:rPr>
        <w:t>Puji syukur senantiasa kami panjatkan ke hadirat Tuhan Yang Maha Esa atas segala rahmat, hidayah, dan karunia-Nya, sehingga Pusat Penjaminan Mutu Universitas Tulungagung dapat menyelesaikan penyusunan Laporan Evaluasi Diri (LED) untuk Akreditasi Perguruan Tinggi (APT 4.1) Tahun Akademik 2024/2025. Penyusunan laporan ini merupakan wujud nyata komitmen Universitas Tulungagung dalam menjalankan amanat Peraturan Menteri Pendidikan Tinggi, Sains, dan Teknologi Nomor 39 Tahun 2025 tentang Penjaminan Mutu Pendidikan Tinggi.</w:t>
      </w:r>
    </w:p>
    <w:p>
      <w:pPr>
        <w:spacing w:line="360" w:lineRule="exact" w:after="120"/>
        <w:ind w:firstLine="567"/>
        <w:jc w:val="both"/>
      </w:pPr>
      <w:r>
        <w:rPr>
          <w:rFonts w:ascii="Calibri" w:hAnsi="Calibri"/>
          <w:color w:val="333333"/>
          <w:sz w:val="22"/>
        </w:rPr>
        <w:t>Laporan Evaluasi Diri ini disusun berdasarkan hasil Audit Mutu Internal (AMI) yang dilaksanakan pada Tahun Akademik 2024/2025, mencakup 13 dokumen AMI dengan total 212 indikator penilaian yang terdiri dari 194 indikator tercapai (91,5%) dan 18 indikator belum tercapai (8,5%). Selain itu, laporan ini juga mengintegrasikan data dari empat dokumen mutu SPMI Universitas Tulungagung Tahun 2025, yaitu Kebijakan Mutu, Manual Mutu, Standar Mutu, dan Formulir Mutu, yang seluruhnya telah diselaraskan dengan Permen 39 Tahun 2025.</w:t>
      </w:r>
    </w:p>
    <w:p>
      <w:pPr>
        <w:spacing w:line="360" w:lineRule="exact" w:after="120"/>
        <w:ind w:firstLine="567"/>
        <w:jc w:val="both"/>
      </w:pPr>
      <w:r>
        <w:rPr>
          <w:rFonts w:ascii="Calibri" w:hAnsi="Calibri"/>
          <w:color w:val="333333"/>
          <w:sz w:val="22"/>
        </w:rPr>
        <w:t>Proses penyusunan LED ini mengikuti prinsip triangulasi data sebagaimana diatur dalam Pasal 66 Permen 39 Tahun 2025, dengan mengintegrasikan tiga sumber data: (1) Pangkalan Data Pendidikan Tinggi (PD Dikti) sebagai sumber data primer; (2) hasil evaluasi internal melalui AMI, evaluasi diri, monitoring rutin, dan Rapat Tinjauan Manajemen (RTM); serta (3) umpan balik dari stakeholder eksternal termasuk hasil akreditasi BAN-PT/LAM, umpan balik pengguna lulusan, dan masukan dari dunia usaha, dunia industri, dan dunia kerja (DUDI).</w:t>
      </w:r>
    </w:p>
    <w:p>
      <w:pPr>
        <w:spacing w:line="360" w:lineRule="exact" w:after="120"/>
        <w:ind w:firstLine="567"/>
        <w:jc w:val="both"/>
      </w:pPr>
      <w:r>
        <w:rPr>
          <w:rFonts w:ascii="Calibri" w:hAnsi="Calibri"/>
          <w:color w:val="333333"/>
          <w:sz w:val="22"/>
        </w:rPr>
        <w:t>Laporan ini mengevaluasi 9 kriteria sesuai Instrumen Akreditasi Perguruan Tinggi (IAPT) 4.1, mencakup: (1) Visi, Misi, Tujuan, dan Strategi; (2) Tata Pamong, Tata Kelola, dan Kerja Sama; (3) Mahasiswa; (4) Sumber Daya Manusia; (5) Keuangan, Sarana, dan Prasarana; (6) Pendidikan; (7) Penelitian; (8) Pengabdian kepada Masyarakat; serta (9) Luaran dan Capaian Tridharma. Setiap kriteria dianalisis berdasarkan deskripsi kondisi saat ini, evaluasi terhadap standar yang ditetapkan, identifikasi kekuatan dan kelemahan, serta rekomendasi perbaikan berkelanjutan.</w:t>
      </w:r>
    </w:p>
    <w:p>
      <w:pPr>
        <w:spacing w:line="360" w:lineRule="exact" w:after="120"/>
        <w:ind w:firstLine="567"/>
        <w:jc w:val="both"/>
      </w:pPr>
      <w:r>
        <w:rPr>
          <w:rFonts w:ascii="Calibri" w:hAnsi="Calibri"/>
          <w:color w:val="333333"/>
          <w:sz w:val="22"/>
        </w:rPr>
        <w:t>Kami menyampaikan terima kasih yang tulus kepada Rektor, Wakil Rektor, Dekan, Ketua Program Studi, Ketua LPPM, Ketua PPM, dan seluruh sivitas akademika Universitas Tulungagung yang telah memberikan kontribusi, masukan, dan dukungan dalam proses penyusunan laporan ini. Kritik, saran, dan masukan dari berbagai pihak senantiasa kami harapkan demi penyempurnaan laporan ini di masa mendatang.</w:t>
      </w:r>
    </w:p>
    <w:p>
      <w:pPr>
        <w:spacing w:after="0" w:line="120" w:lineRule="exact"/>
      </w:pPr>
    </w:p>
    <w:p>
      <w:pPr>
        <w:spacing w:after="0" w:line="120" w:lineRule="exact"/>
      </w:pPr>
    </w:p>
    <w:p>
      <w:pPr>
        <w:spacing w:after="0" w:line="120" w:lineRule="exact"/>
      </w:pPr>
    </w:p>
    <w:p>
      <w:pPr>
        <w:jc w:val="right"/>
      </w:pPr>
      <w:r>
        <w:rPr>
          <w:rFonts w:ascii="Calibri" w:hAnsi="Calibri"/>
          <w:color w:val="333333"/>
          <w:sz w:val="22"/>
        </w:rPr>
        <w:t>Tulungagung, 1 September 2025</w:t>
        <w:br/>
        <w:t>Pusat Penjaminan Mutu</w:t>
        <w:br/>
        <w:t>Ketua,</w:t>
        <w:br/>
        <w:br/>
        <w:br/>
        <w:br/>
        <w:t>Anang Sugeng Cahyono, S.AP., S.H., M.Si.</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DAFTAR ISI</w:t>
      </w:r>
    </w:p>
    <w:p>
      <w:pPr>
        <w:spacing w:after="0" w:line="120" w:lineRule="exact"/>
      </w:pPr>
    </w:p>
    <w:p>
      <w:pPr>
        <w:spacing w:after="0" w:line="120" w:lineRule="exact"/>
      </w:pPr>
    </w:p>
    <w:p>
      <w:pPr>
        <w:spacing w:after="40" w:line="280" w:lineRule="exact"/>
      </w:pPr>
      <w:r>
        <w:rPr>
          <w:rFonts w:ascii="Calibri" w:hAnsi="Calibri"/>
          <w:color w:val="333333"/>
          <w:sz w:val="20"/>
        </w:rPr>
        <w:t>KATA PENGANTAR</w:t>
      </w:r>
      <w:r>
        <w:rPr>
          <w:rFonts w:ascii="Calibri" w:hAnsi="Calibri"/>
          <w:color w:val="666666"/>
          <w:sz w:val="20"/>
        </w:rPr>
        <w:tab/>
        <w:t>i</w:t>
      </w:r>
    </w:p>
    <w:p>
      <w:pPr>
        <w:spacing w:after="40" w:line="280" w:lineRule="exact"/>
      </w:pPr>
      <w:r>
        <w:rPr>
          <w:rFonts w:ascii="Calibri" w:hAnsi="Calibri"/>
          <w:color w:val="333333"/>
          <w:sz w:val="20"/>
        </w:rPr>
        <w:t>DAFTAR ISI</w:t>
      </w:r>
      <w:r>
        <w:rPr>
          <w:rFonts w:ascii="Calibri" w:hAnsi="Calibri"/>
          <w:color w:val="666666"/>
          <w:sz w:val="20"/>
        </w:rPr>
        <w:tab/>
        <w:t>iii</w:t>
      </w:r>
    </w:p>
    <w:p>
      <w:pPr>
        <w:spacing w:after="40" w:line="280" w:lineRule="exact"/>
      </w:pPr>
      <w:r>
        <w:rPr>
          <w:rFonts w:ascii="Calibri" w:hAnsi="Calibri"/>
          <w:color w:val="333333"/>
          <w:sz w:val="20"/>
        </w:rPr>
        <w:t>DAFTAR TABEL</w:t>
      </w:r>
      <w:r>
        <w:rPr>
          <w:rFonts w:ascii="Calibri" w:hAnsi="Calibri"/>
          <w:color w:val="666666"/>
          <w:sz w:val="20"/>
        </w:rPr>
        <w:tab/>
        <w:t>v</w:t>
      </w:r>
    </w:p>
    <w:p>
      <w:pPr>
        <w:spacing w:after="40" w:line="280" w:lineRule="exact"/>
      </w:pPr>
      <w:r>
        <w:rPr>
          <w:rFonts w:ascii="Calibri" w:hAnsi="Calibri"/>
          <w:color w:val="333333"/>
          <w:sz w:val="20"/>
        </w:rPr>
        <w:t>DAFTAR SINGKATAN</w:t>
      </w:r>
      <w:r>
        <w:rPr>
          <w:rFonts w:ascii="Calibri" w:hAnsi="Calibri"/>
          <w:color w:val="666666"/>
          <w:sz w:val="20"/>
        </w:rPr>
        <w:tab/>
        <w:t>vi</w:t>
      </w:r>
    </w:p>
    <w:p>
      <w:pPr>
        <w:spacing w:after="40"/>
      </w:pPr>
    </w:p>
    <w:p>
      <w:pPr>
        <w:spacing w:after="40" w:line="280" w:lineRule="exact"/>
      </w:pPr>
      <w:r>
        <w:rPr>
          <w:rFonts w:ascii="Calibri" w:hAnsi="Calibri"/>
          <w:b/>
          <w:color w:val="1A2B5C"/>
          <w:sz w:val="20"/>
        </w:rPr>
        <w:t>BAB I PENDAHULUAN</w:t>
      </w:r>
      <w:r>
        <w:rPr>
          <w:rFonts w:ascii="Calibri" w:hAnsi="Calibri"/>
          <w:color w:val="666666"/>
          <w:sz w:val="20"/>
        </w:rPr>
        <w:tab/>
        <w:t>1</w:t>
      </w:r>
    </w:p>
    <w:p>
      <w:pPr>
        <w:spacing w:after="40" w:line="280" w:lineRule="exact"/>
      </w:pPr>
      <w:r>
        <w:rPr>
          <w:rFonts w:ascii="Calibri" w:hAnsi="Calibri"/>
          <w:color w:val="333333"/>
          <w:sz w:val="20"/>
        </w:rPr>
        <w:t xml:space="preserve">  1.1 Latar Belakang</w:t>
      </w:r>
      <w:r>
        <w:rPr>
          <w:rFonts w:ascii="Calibri" w:hAnsi="Calibri"/>
          <w:color w:val="666666"/>
          <w:sz w:val="20"/>
        </w:rPr>
        <w:tab/>
        <w:t>1</w:t>
      </w:r>
    </w:p>
    <w:p>
      <w:pPr>
        <w:spacing w:after="40" w:line="280" w:lineRule="exact"/>
      </w:pPr>
      <w:r>
        <w:rPr>
          <w:rFonts w:ascii="Calibri" w:hAnsi="Calibri"/>
          <w:color w:val="333333"/>
          <w:sz w:val="20"/>
        </w:rPr>
        <w:t xml:space="preserve">  1.2 Dasar Hukum</w:t>
      </w:r>
      <w:r>
        <w:rPr>
          <w:rFonts w:ascii="Calibri" w:hAnsi="Calibri"/>
          <w:color w:val="666666"/>
          <w:sz w:val="20"/>
        </w:rPr>
        <w:tab/>
        <w:t>3</w:t>
      </w:r>
    </w:p>
    <w:p>
      <w:pPr>
        <w:spacing w:after="40" w:line="280" w:lineRule="exact"/>
      </w:pPr>
      <w:r>
        <w:rPr>
          <w:rFonts w:ascii="Calibri" w:hAnsi="Calibri"/>
          <w:color w:val="333333"/>
          <w:sz w:val="20"/>
        </w:rPr>
        <w:t xml:space="preserve">  1.3 Tujuan Evaluasi Diri</w:t>
      </w:r>
      <w:r>
        <w:rPr>
          <w:rFonts w:ascii="Calibri" w:hAnsi="Calibri"/>
          <w:color w:val="666666"/>
          <w:sz w:val="20"/>
        </w:rPr>
        <w:tab/>
        <w:t>4</w:t>
      </w:r>
    </w:p>
    <w:p>
      <w:pPr>
        <w:spacing w:after="40" w:line="280" w:lineRule="exact"/>
      </w:pPr>
      <w:r>
        <w:rPr>
          <w:rFonts w:ascii="Calibri" w:hAnsi="Calibri"/>
          <w:color w:val="333333"/>
          <w:sz w:val="20"/>
        </w:rPr>
        <w:t xml:space="preserve">  1.4 Ruang Lingkup Evaluasi</w:t>
      </w:r>
      <w:r>
        <w:rPr>
          <w:rFonts w:ascii="Calibri" w:hAnsi="Calibri"/>
          <w:color w:val="666666"/>
          <w:sz w:val="20"/>
        </w:rPr>
        <w:tab/>
        <w:t>5</w:t>
      </w:r>
    </w:p>
    <w:p>
      <w:pPr>
        <w:spacing w:after="40" w:line="280" w:lineRule="exact"/>
      </w:pPr>
      <w:r>
        <w:rPr>
          <w:rFonts w:ascii="Calibri" w:hAnsi="Calibri"/>
          <w:color w:val="333333"/>
          <w:sz w:val="20"/>
        </w:rPr>
        <w:t xml:space="preserve">  1.5 Metodologi Evaluasi Diri</w:t>
      </w:r>
      <w:r>
        <w:rPr>
          <w:rFonts w:ascii="Calibri" w:hAnsi="Calibri"/>
          <w:color w:val="666666"/>
          <w:sz w:val="20"/>
        </w:rPr>
        <w:tab/>
        <w:t>6</w:t>
      </w:r>
    </w:p>
    <w:p>
      <w:pPr>
        <w:spacing w:after="40" w:line="280" w:lineRule="exact"/>
      </w:pPr>
      <w:r>
        <w:rPr>
          <w:rFonts w:ascii="Calibri" w:hAnsi="Calibri"/>
          <w:color w:val="333333"/>
          <w:sz w:val="20"/>
        </w:rPr>
        <w:t xml:space="preserve">  1.6 Sistem Penjaminan Mutu Internal</w:t>
      </w:r>
      <w:r>
        <w:rPr>
          <w:rFonts w:ascii="Calibri" w:hAnsi="Calibri"/>
          <w:color w:val="666666"/>
          <w:sz w:val="20"/>
        </w:rPr>
        <w:tab/>
        <w:t>8</w:t>
      </w:r>
    </w:p>
    <w:p>
      <w:pPr>
        <w:spacing w:after="40"/>
      </w:pPr>
    </w:p>
    <w:p>
      <w:pPr>
        <w:spacing w:after="40" w:line="280" w:lineRule="exact"/>
      </w:pPr>
      <w:r>
        <w:rPr>
          <w:rFonts w:ascii="Calibri" w:hAnsi="Calibri"/>
          <w:b/>
          <w:color w:val="1A2B5C"/>
          <w:sz w:val="20"/>
        </w:rPr>
        <w:t>BAB II PROFIL UNIVERSITAS TULUNGAGUNG</w:t>
      </w:r>
      <w:r>
        <w:rPr>
          <w:rFonts w:ascii="Calibri" w:hAnsi="Calibri"/>
          <w:color w:val="666666"/>
          <w:sz w:val="20"/>
        </w:rPr>
        <w:tab/>
        <w:t>11</w:t>
      </w:r>
    </w:p>
    <w:p>
      <w:pPr>
        <w:spacing w:after="40" w:line="280" w:lineRule="exact"/>
      </w:pPr>
      <w:r>
        <w:rPr>
          <w:rFonts w:ascii="Calibri" w:hAnsi="Calibri"/>
          <w:color w:val="333333"/>
          <w:sz w:val="20"/>
        </w:rPr>
        <w:t xml:space="preserve">  2.1 Sejarah dan Perkembangan</w:t>
      </w:r>
      <w:r>
        <w:rPr>
          <w:rFonts w:ascii="Calibri" w:hAnsi="Calibri"/>
          <w:color w:val="666666"/>
          <w:sz w:val="20"/>
        </w:rPr>
        <w:tab/>
        <w:t>11</w:t>
      </w:r>
    </w:p>
    <w:p>
      <w:pPr>
        <w:spacing w:after="40" w:line="280" w:lineRule="exact"/>
      </w:pPr>
      <w:r>
        <w:rPr>
          <w:rFonts w:ascii="Calibri" w:hAnsi="Calibri"/>
          <w:color w:val="333333"/>
          <w:sz w:val="20"/>
        </w:rPr>
        <w:t xml:space="preserve">  2.2 Visi, Misi, Tujuan, dan Strategi</w:t>
      </w:r>
      <w:r>
        <w:rPr>
          <w:rFonts w:ascii="Calibri" w:hAnsi="Calibri"/>
          <w:color w:val="666666"/>
          <w:sz w:val="20"/>
        </w:rPr>
        <w:tab/>
        <w:t>13</w:t>
      </w:r>
    </w:p>
    <w:p>
      <w:pPr>
        <w:spacing w:after="40" w:line="280" w:lineRule="exact"/>
      </w:pPr>
      <w:r>
        <w:rPr>
          <w:rFonts w:ascii="Calibri" w:hAnsi="Calibri"/>
          <w:color w:val="333333"/>
          <w:sz w:val="20"/>
        </w:rPr>
        <w:t xml:space="preserve">  2.3 Struktur Organisasi</w:t>
      </w:r>
      <w:r>
        <w:rPr>
          <w:rFonts w:ascii="Calibri" w:hAnsi="Calibri"/>
          <w:color w:val="666666"/>
          <w:sz w:val="20"/>
        </w:rPr>
        <w:tab/>
        <w:t>15</w:t>
      </w:r>
    </w:p>
    <w:p>
      <w:pPr>
        <w:spacing w:after="40" w:line="280" w:lineRule="exact"/>
      </w:pPr>
      <w:r>
        <w:rPr>
          <w:rFonts w:ascii="Calibri" w:hAnsi="Calibri"/>
          <w:color w:val="333333"/>
          <w:sz w:val="20"/>
        </w:rPr>
        <w:t xml:space="preserve">  2.4 Program Studi dan Fakultas</w:t>
      </w:r>
      <w:r>
        <w:rPr>
          <w:rFonts w:ascii="Calibri" w:hAnsi="Calibri"/>
          <w:color w:val="666666"/>
          <w:sz w:val="20"/>
        </w:rPr>
        <w:tab/>
        <w:t>16</w:t>
      </w:r>
    </w:p>
    <w:p>
      <w:pPr>
        <w:spacing w:after="40" w:line="280" w:lineRule="exact"/>
      </w:pPr>
      <w:r>
        <w:rPr>
          <w:rFonts w:ascii="Calibri" w:hAnsi="Calibri"/>
          <w:color w:val="333333"/>
          <w:sz w:val="20"/>
        </w:rPr>
        <w:t xml:space="preserve">  2.5 Civitas Akademika</w:t>
      </w:r>
      <w:r>
        <w:rPr>
          <w:rFonts w:ascii="Calibri" w:hAnsi="Calibri"/>
          <w:color w:val="666666"/>
          <w:sz w:val="20"/>
        </w:rPr>
        <w:tab/>
        <w:t>18</w:t>
      </w:r>
    </w:p>
    <w:p>
      <w:pPr>
        <w:spacing w:after="40"/>
      </w:pPr>
    </w:p>
    <w:p>
      <w:pPr>
        <w:spacing w:after="40" w:line="280" w:lineRule="exact"/>
      </w:pPr>
      <w:r>
        <w:rPr>
          <w:rFonts w:ascii="Calibri" w:hAnsi="Calibri"/>
          <w:b/>
          <w:color w:val="1A2B5C"/>
          <w:sz w:val="20"/>
        </w:rPr>
        <w:t>BAB III KRITERIA 1: VMTS</w:t>
      </w:r>
      <w:r>
        <w:rPr>
          <w:rFonts w:ascii="Calibri" w:hAnsi="Calibri"/>
          <w:color w:val="666666"/>
          <w:sz w:val="20"/>
        </w:rPr>
        <w:tab/>
        <w:t>20</w:t>
      </w:r>
    </w:p>
    <w:p>
      <w:pPr>
        <w:spacing w:after="40" w:line="280" w:lineRule="exact"/>
      </w:pPr>
      <w:r>
        <w:rPr>
          <w:rFonts w:ascii="Calibri" w:hAnsi="Calibri"/>
          <w:b/>
          <w:color w:val="1A2B5C"/>
          <w:sz w:val="20"/>
        </w:rPr>
        <w:t>BAB IV KRITERIA 2: TATA PAMONG</w:t>
      </w:r>
      <w:r>
        <w:rPr>
          <w:rFonts w:ascii="Calibri" w:hAnsi="Calibri"/>
          <w:color w:val="666666"/>
          <w:sz w:val="20"/>
        </w:rPr>
        <w:tab/>
        <w:t>33</w:t>
      </w:r>
    </w:p>
    <w:p>
      <w:pPr>
        <w:spacing w:after="40" w:line="280" w:lineRule="exact"/>
      </w:pPr>
      <w:r>
        <w:rPr>
          <w:rFonts w:ascii="Calibri" w:hAnsi="Calibri"/>
          <w:b/>
          <w:color w:val="1A2B5C"/>
          <w:sz w:val="20"/>
        </w:rPr>
        <w:t>BAB V KRITERIA 3: MAHASISWA</w:t>
      </w:r>
      <w:r>
        <w:rPr>
          <w:rFonts w:ascii="Calibri" w:hAnsi="Calibri"/>
          <w:color w:val="666666"/>
          <w:sz w:val="20"/>
        </w:rPr>
        <w:tab/>
        <w:t>46</w:t>
      </w:r>
    </w:p>
    <w:p>
      <w:pPr>
        <w:spacing w:after="40" w:line="280" w:lineRule="exact"/>
      </w:pPr>
      <w:r>
        <w:rPr>
          <w:rFonts w:ascii="Calibri" w:hAnsi="Calibri"/>
          <w:b/>
          <w:color w:val="1A2B5C"/>
          <w:sz w:val="20"/>
        </w:rPr>
        <w:t>BAB VI KRITERIA 4: SDM</w:t>
      </w:r>
      <w:r>
        <w:rPr>
          <w:rFonts w:ascii="Calibri" w:hAnsi="Calibri"/>
          <w:color w:val="666666"/>
          <w:sz w:val="20"/>
        </w:rPr>
        <w:tab/>
        <w:t>59</w:t>
      </w:r>
    </w:p>
    <w:p>
      <w:pPr>
        <w:spacing w:after="40" w:line="280" w:lineRule="exact"/>
      </w:pPr>
      <w:r>
        <w:rPr>
          <w:rFonts w:ascii="Calibri" w:hAnsi="Calibri"/>
          <w:b/>
          <w:color w:val="1A2B5C"/>
          <w:sz w:val="20"/>
        </w:rPr>
        <w:t>BAB VII KRITERIA 5: KEUANGAN, SARANA, PRASARANA</w:t>
      </w:r>
      <w:r>
        <w:rPr>
          <w:rFonts w:ascii="Calibri" w:hAnsi="Calibri"/>
          <w:color w:val="666666"/>
          <w:sz w:val="20"/>
        </w:rPr>
        <w:tab/>
        <w:t>72</w:t>
      </w:r>
    </w:p>
    <w:p>
      <w:pPr>
        <w:spacing w:after="40" w:line="280" w:lineRule="exact"/>
      </w:pPr>
      <w:r>
        <w:rPr>
          <w:rFonts w:ascii="Calibri" w:hAnsi="Calibri"/>
          <w:b/>
          <w:color w:val="1A2B5C"/>
          <w:sz w:val="20"/>
        </w:rPr>
        <w:t>BAB VIII KRITERIA 6: PENDIDIKAN</w:t>
      </w:r>
      <w:r>
        <w:rPr>
          <w:rFonts w:ascii="Calibri" w:hAnsi="Calibri"/>
          <w:color w:val="666666"/>
          <w:sz w:val="20"/>
        </w:rPr>
        <w:tab/>
        <w:t>87</w:t>
      </w:r>
    </w:p>
    <w:p>
      <w:pPr>
        <w:spacing w:after="40" w:line="280" w:lineRule="exact"/>
      </w:pPr>
      <w:r>
        <w:rPr>
          <w:rFonts w:ascii="Calibri" w:hAnsi="Calibri"/>
          <w:b/>
          <w:color w:val="1A2B5C"/>
          <w:sz w:val="20"/>
        </w:rPr>
        <w:t>BAB IX KRITERIA 7: PENELITIAN</w:t>
      </w:r>
      <w:r>
        <w:rPr>
          <w:rFonts w:ascii="Calibri" w:hAnsi="Calibri"/>
          <w:color w:val="666666"/>
          <w:sz w:val="20"/>
        </w:rPr>
        <w:tab/>
        <w:t>103</w:t>
      </w:r>
    </w:p>
    <w:p>
      <w:pPr>
        <w:spacing w:after="40" w:line="280" w:lineRule="exact"/>
      </w:pPr>
      <w:r>
        <w:rPr>
          <w:rFonts w:ascii="Calibri" w:hAnsi="Calibri"/>
          <w:b/>
          <w:color w:val="1A2B5C"/>
          <w:sz w:val="20"/>
        </w:rPr>
        <w:t>BAB X KRITERIA 8: PENGABDIAN KEPADA MASYARAKAT</w:t>
      </w:r>
      <w:r>
        <w:rPr>
          <w:rFonts w:ascii="Calibri" w:hAnsi="Calibri"/>
          <w:color w:val="666666"/>
          <w:sz w:val="20"/>
        </w:rPr>
        <w:tab/>
        <w:t>116</w:t>
      </w:r>
    </w:p>
    <w:p>
      <w:pPr>
        <w:spacing w:after="40" w:line="280" w:lineRule="exact"/>
      </w:pPr>
      <w:r>
        <w:rPr>
          <w:rFonts w:ascii="Calibri" w:hAnsi="Calibri"/>
          <w:b/>
          <w:color w:val="1A2B5C"/>
          <w:sz w:val="20"/>
        </w:rPr>
        <w:t>BAB XI KRITERIA 9: LUARAN DAN CAPAIAN TRIDHARMA</w:t>
      </w:r>
      <w:r>
        <w:rPr>
          <w:rFonts w:ascii="Calibri" w:hAnsi="Calibri"/>
          <w:color w:val="666666"/>
          <w:sz w:val="20"/>
        </w:rPr>
        <w:tab/>
        <w:t>129</w:t>
      </w:r>
    </w:p>
    <w:p>
      <w:pPr>
        <w:spacing w:after="40" w:line="280" w:lineRule="exact"/>
      </w:pPr>
      <w:r>
        <w:rPr>
          <w:rFonts w:ascii="Calibri" w:hAnsi="Calibri"/>
          <w:b/>
          <w:color w:val="1A2B5C"/>
          <w:sz w:val="20"/>
        </w:rPr>
        <w:t>BAB XII PENUTUP</w:t>
      </w:r>
      <w:r>
        <w:rPr>
          <w:rFonts w:ascii="Calibri" w:hAnsi="Calibri"/>
          <w:color w:val="666666"/>
          <w:sz w:val="20"/>
        </w:rPr>
        <w:tab/>
        <w:t>141</w:t>
      </w:r>
    </w:p>
    <w:p>
      <w:pPr>
        <w:spacing w:after="40" w:line="280" w:lineRule="exact"/>
      </w:pPr>
      <w:r>
        <w:rPr>
          <w:rFonts w:ascii="Calibri" w:hAnsi="Calibri"/>
          <w:b/>
          <w:color w:val="1A2B5C"/>
          <w:sz w:val="20"/>
        </w:rPr>
        <w:t>BAB XIII ANALISIS SWOT</w:t>
      </w:r>
      <w:r>
        <w:rPr>
          <w:rFonts w:ascii="Calibri" w:hAnsi="Calibri"/>
          <w:color w:val="666666"/>
          <w:sz w:val="20"/>
        </w:rPr>
        <w:tab/>
        <w:t>145</w:t>
      </w:r>
    </w:p>
    <w:p>
      <w:pPr>
        <w:spacing w:after="40" w:line="280" w:lineRule="exact"/>
      </w:pPr>
      <w:r>
        <w:rPr>
          <w:rFonts w:ascii="Calibri" w:hAnsi="Calibri"/>
          <w:b/>
          <w:color w:val="1A2B5C"/>
          <w:sz w:val="20"/>
        </w:rPr>
        <w:t>BAB XIV BENCHMARKING DAN ANALISIS PERBANDINGAN</w:t>
      </w:r>
      <w:r>
        <w:rPr>
          <w:rFonts w:ascii="Calibri" w:hAnsi="Calibri"/>
          <w:color w:val="666666"/>
          <w:sz w:val="20"/>
        </w:rPr>
        <w:tab/>
        <w:t>152</w:t>
      </w:r>
    </w:p>
    <w:p>
      <w:pPr>
        <w:spacing w:after="40" w:line="280" w:lineRule="exact"/>
      </w:pPr>
      <w:r>
        <w:rPr>
          <w:rFonts w:ascii="Calibri" w:hAnsi="Calibri"/>
          <w:b/>
          <w:color w:val="1A2B5C"/>
          <w:sz w:val="20"/>
        </w:rPr>
        <w:t>BAB XV ANALISIS RISIKO DAN MITIGASI</w:t>
      </w:r>
      <w:r>
        <w:rPr>
          <w:rFonts w:ascii="Calibri" w:hAnsi="Calibri"/>
          <w:color w:val="666666"/>
          <w:sz w:val="20"/>
        </w:rPr>
        <w:tab/>
        <w:t>158</w:t>
      </w:r>
    </w:p>
    <w:p>
      <w:pPr>
        <w:spacing w:after="40" w:line="280" w:lineRule="exact"/>
      </w:pPr>
      <w:r>
        <w:rPr>
          <w:rFonts w:ascii="Calibri" w:hAnsi="Calibri"/>
          <w:b/>
          <w:color w:val="1A2B5C"/>
          <w:sz w:val="20"/>
        </w:rPr>
        <w:t>BAB XVI RENCANA STRATEGIS 2025-2030</w:t>
      </w:r>
      <w:r>
        <w:rPr>
          <w:rFonts w:ascii="Calibri" w:hAnsi="Calibri"/>
          <w:color w:val="666666"/>
          <w:sz w:val="20"/>
        </w:rPr>
        <w:tab/>
        <w:t>163</w:t>
      </w:r>
    </w:p>
    <w:p>
      <w:pPr>
        <w:spacing w:after="40" w:line="280" w:lineRule="exact"/>
      </w:pPr>
      <w:r>
        <w:rPr>
          <w:rFonts w:ascii="Calibri" w:hAnsi="Calibri"/>
          <w:b/>
          <w:color w:val="1A2B5C"/>
          <w:sz w:val="20"/>
        </w:rPr>
        <w:t>BAB XVII KESIMPULAN DAN REKOMENDASI AKHIR</w:t>
      </w:r>
      <w:r>
        <w:rPr>
          <w:rFonts w:ascii="Calibri" w:hAnsi="Calibri"/>
          <w:color w:val="666666"/>
          <w:sz w:val="20"/>
        </w:rPr>
        <w:tab/>
        <w:t>170</w:t>
      </w:r>
    </w:p>
    <w:p>
      <w:pPr>
        <w:spacing w:after="40" w:line="280" w:lineRule="exact"/>
      </w:pPr>
      <w:r>
        <w:rPr>
          <w:rFonts w:ascii="Calibri" w:hAnsi="Calibri"/>
          <w:b/>
          <w:color w:val="1A2B5C"/>
          <w:sz w:val="20"/>
        </w:rPr>
        <w:t>BAB XVIII ANALISIS DETAIL INDIKATOR PER KRITERIA</w:t>
      </w:r>
      <w:r>
        <w:rPr>
          <w:rFonts w:ascii="Calibri" w:hAnsi="Calibri"/>
          <w:color w:val="666666"/>
          <w:sz w:val="20"/>
        </w:rPr>
        <w:tab/>
        <w:t>176</w:t>
      </w:r>
    </w:p>
    <w:p>
      <w:pPr>
        <w:spacing w:after="40" w:line="280" w:lineRule="exact"/>
      </w:pPr>
      <w:r>
        <w:rPr>
          <w:rFonts w:ascii="Calibri" w:hAnsi="Calibri"/>
          <w:b/>
          <w:color w:val="1A2B5C"/>
          <w:sz w:val="20"/>
        </w:rPr>
        <w:t>BAB XIX ANALISIS MENDALAM 18 INDIKATOR BELUM TERCAPAI</w:t>
      </w:r>
      <w:r>
        <w:rPr>
          <w:rFonts w:ascii="Calibri" w:hAnsi="Calibri"/>
          <w:color w:val="666666"/>
          <w:sz w:val="20"/>
        </w:rPr>
        <w:tab/>
        <w:t>185</w:t>
      </w:r>
    </w:p>
    <w:p>
      <w:pPr>
        <w:spacing w:after="40" w:line="280" w:lineRule="exact"/>
      </w:pPr>
      <w:r>
        <w:rPr>
          <w:rFonts w:ascii="Calibri" w:hAnsi="Calibri"/>
          <w:b/>
          <w:color w:val="1A2B5C"/>
          <w:sz w:val="20"/>
        </w:rPr>
        <w:t>BAB XX PRAKTIK BAIK (BEST PRACTICES)</w:t>
      </w:r>
      <w:r>
        <w:rPr>
          <w:rFonts w:ascii="Calibri" w:hAnsi="Calibri"/>
          <w:color w:val="666666"/>
          <w:sz w:val="20"/>
        </w:rPr>
        <w:tab/>
        <w:t>195</w:t>
      </w:r>
    </w:p>
    <w:p>
      <w:pPr>
        <w:spacing w:after="40" w:line="280" w:lineRule="exact"/>
      </w:pPr>
      <w:r>
        <w:rPr>
          <w:rFonts w:ascii="Calibri" w:hAnsi="Calibri"/>
          <w:b/>
          <w:color w:val="1A2B5C"/>
          <w:sz w:val="20"/>
        </w:rPr>
        <w:t>BAB XXI ANALISIS DETAIL KESEJAHTERAAN DAN PEMBELAJARAN</w:t>
      </w:r>
      <w:r>
        <w:rPr>
          <w:rFonts w:ascii="Calibri" w:hAnsi="Calibri"/>
          <w:color w:val="666666"/>
          <w:sz w:val="20"/>
        </w:rPr>
        <w:tab/>
        <w:t>202</w:t>
      </w:r>
    </w:p>
    <w:p>
      <w:pPr>
        <w:spacing w:after="40" w:line="280" w:lineRule="exact"/>
      </w:pPr>
      <w:r>
        <w:rPr>
          <w:rFonts w:ascii="Calibri" w:hAnsi="Calibri"/>
          <w:b/>
          <w:color w:val="1A2B5C"/>
          <w:sz w:val="20"/>
        </w:rPr>
        <w:t>BAB XXII REKOMENDASI STRATEGIS TAMBAHAN</w:t>
      </w:r>
      <w:r>
        <w:rPr>
          <w:rFonts w:ascii="Calibri" w:hAnsi="Calibri"/>
          <w:color w:val="666666"/>
          <w:sz w:val="20"/>
        </w:rPr>
        <w:tab/>
        <w:t>210</w:t>
      </w:r>
    </w:p>
    <w:p>
      <w:pPr>
        <w:spacing w:after="40" w:line="280" w:lineRule="exact"/>
      </w:pPr>
      <w:r>
        <w:rPr>
          <w:rFonts w:ascii="Calibri" w:hAnsi="Calibri"/>
          <w:b/>
          <w:color w:val="1A2B5C"/>
          <w:sz w:val="20"/>
        </w:rPr>
        <w:t>GLOSARIUM</w:t>
      </w:r>
      <w:r>
        <w:rPr>
          <w:rFonts w:ascii="Calibri" w:hAnsi="Calibri"/>
          <w:color w:val="666666"/>
          <w:sz w:val="20"/>
        </w:rPr>
        <w:tab/>
        <w:t>216</w:t>
      </w:r>
    </w:p>
    <w:p>
      <w:pPr>
        <w:spacing w:after="40" w:line="280" w:lineRule="exact"/>
      </w:pPr>
      <w:r>
        <w:rPr>
          <w:rFonts w:ascii="Calibri" w:hAnsi="Calibri"/>
          <w:b/>
          <w:color w:val="1A2B5C"/>
          <w:sz w:val="20"/>
        </w:rPr>
        <w:t>LAMPIRAN</w:t>
      </w:r>
      <w:r>
        <w:rPr>
          <w:rFonts w:ascii="Calibri" w:hAnsi="Calibri"/>
          <w:color w:val="666666"/>
          <w:sz w:val="20"/>
        </w:rPr>
        <w:tab/>
        <w:t>219</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I</w:t>
        <w:br/>
        <w:t>PENDAHULUAN</w:t>
      </w:r>
    </w:p>
    <w:p>
      <w:pPr>
        <w:pStyle w:val="Heading2"/>
        <w:keepNext/>
        <w:keepLines/>
        <w:spacing w:before="360" w:after="160"/>
      </w:pPr>
      <w:r>
        <w:rPr>
          <w:rFonts w:ascii="Calibri" w:hAnsi="Calibri"/>
          <w:b/>
          <w:color w:val="1A2B5C"/>
          <w:sz w:val="28"/>
        </w:rPr>
        <w:t>1.1 Latar Belakang</w:t>
      </w:r>
    </w:p>
    <w:p>
      <w:pPr>
        <w:spacing w:line="360" w:lineRule="exact" w:after="120"/>
        <w:ind w:firstLine="567"/>
        <w:jc w:val="both"/>
      </w:pPr>
      <w:r>
        <w:rPr>
          <w:rFonts w:ascii="Calibri" w:hAnsi="Calibri"/>
          <w:color w:val="333333"/>
          <w:sz w:val="22"/>
        </w:rPr>
        <w:t>Universitas Tulungagung sebagai institusi pendidikan tinggi memiliki tanggung jawab strategis dalam mencerdaskan kehidupan bangsa, memajukan ilmu pengetahuan dan teknologi, serta menghasilkan sumber daya manusia unggul yang mampu berkompetisi pada skala nasional dan internasional. Dalam menjalankan tanggung jawab tersebut, Universitas Tulungagung wajib memastikan bahwa seluruh penyelenggaraan Tridharma Perguruan Tinggi—yang meliputi pendidikan, penelitian, dan pengabdian kepada masyarakat—dilaksanakan sesuai dengan standar mutu yang telah ditetapkan, baik standar nasional maupun standar yang ditetapkan oleh perguruan tinggi itu sendiri.</w:t>
      </w:r>
    </w:p>
    <w:p>
      <w:pPr>
        <w:spacing w:line="360" w:lineRule="exact" w:after="120"/>
        <w:ind w:firstLine="567"/>
        <w:jc w:val="both"/>
      </w:pPr>
      <w:r>
        <w:rPr>
          <w:rFonts w:ascii="Calibri" w:hAnsi="Calibri"/>
          <w:color w:val="333333"/>
          <w:sz w:val="22"/>
        </w:rPr>
        <w:t>Berlakunya Peraturan Menteri Pendidikan Tinggi, Sains, dan Teknologi Nomor 39 Tahun 2025 tentang Penjaminan Mutu Pendidikan Tinggi sejak tanggal 2 September 2025 membawa konsekuensi yuridis dan operasional yang signifikan bagi setiap perguruan tinggi. Peraturan ini menjadi landasan regulasi terkini yang mengatur kerangka Sistem Penjaminan Mutu Pendidikan Tinggi (SPM Dikti), yang mencakup Sistem Penjaminan Mutu Internal (SPMI) dan Sistem Penjaminan Mutu Eksternal (SPME) melalui Akreditasi. Universitas Tulungagung merespons regulasi ini dengan menyusun dan memperbarui seluruh dokumen SPMI, serta melaksanakan Audit Mutu Internal (AMI) secara komprehensif pada Tahun Akademik 2024/2025.</w:t>
      </w:r>
    </w:p>
    <w:p>
      <w:pPr>
        <w:spacing w:line="360" w:lineRule="exact" w:after="120"/>
        <w:ind w:firstLine="567"/>
        <w:jc w:val="both"/>
      </w:pPr>
      <w:r>
        <w:rPr>
          <w:rFonts w:ascii="Calibri" w:hAnsi="Calibri"/>
          <w:color w:val="333333"/>
          <w:sz w:val="22"/>
        </w:rPr>
        <w:t>Laporan Evaluasi Diri (LED) ini disusun sebagai bagian dari proses akreditasi perguruan tinggi sesuai Instrumen Akreditasi Perguruan Tinggi (IAPT) 4.1. Laporan ini merupakan hasil refleksi dan analisis kritis terhadap kinerja Universitas Tulungagung dalam menyelenggarakan Tridharma, dengan mengacu pada hasil AMI 2024/2025 yang mencakup 13 dokumen audit dengan 212 indikator penilaian. Selain itu, laporan ini juga mengintegrasikan data dari empat dokumen mutu SPMI yang telah diselaraskan dengan Permen 39 Tahun 2025, yaitu Kebijakan Mutu (65 halaman), Manual Mutu (55 halaman), Standar Mutu (312 halaman), dan Formulir Mutu (132 halaman).</w:t>
      </w:r>
    </w:p>
    <w:p>
      <w:pPr>
        <w:spacing w:line="360" w:lineRule="exact" w:after="120"/>
        <w:ind w:firstLine="567"/>
        <w:jc w:val="both"/>
      </w:pPr>
      <w:r>
        <w:rPr>
          <w:rFonts w:ascii="Calibri" w:hAnsi="Calibri"/>
          <w:color w:val="333333"/>
          <w:sz w:val="22"/>
        </w:rPr>
        <w:t>Penyusunan LED ini mengikuti prinsip triangulasi data sebagaimana diatur dalam Pasal 66 Permen 39 Tahun 2025, yang mengharuskan penggalian kebenaran informasi melalui penggunaan berbagai sumber data dan sudut pandang yang saling melengkapi. Tiga sumber data yang digunakan adalah: (1) Pangkalan Data Pendidikan Tinggi (PD Dikti) sebagai sumber data primer; (2) hasil evaluasi internal melalui AMI, evaluasi diri, monitoring rutin, dan Rapat Tinjauan Manajemen (RTM); serta (3) umpan balik dari stakeholder eksternal termasuk hasil akreditasi BAN-PT/LAM, umpan balik pengguna lulusan, dan masukan dari DUDI.</w:t>
      </w:r>
    </w:p>
    <w:p>
      <w:pPr>
        <w:spacing w:line="360" w:lineRule="exact" w:after="120"/>
        <w:ind w:firstLine="567"/>
        <w:jc w:val="both"/>
      </w:pPr>
      <w:r>
        <w:rPr>
          <w:rFonts w:ascii="Calibri" w:hAnsi="Calibri"/>
          <w:color w:val="333333"/>
          <w:sz w:val="22"/>
        </w:rPr>
        <w:t>Laporan ini mengevaluasi 9 kriteria sesuai IAPT 4.1, yang mencakup seluruh aspek penyelenggaraan perguruan tinggi. Setiap kriteria dianalisis berdasarkan deskripsi kondisi saat ini, evaluasi terhadap standar yang ditetapkan, identifikasi kekuatan dan kelemahan, serta rekomendasi perbaikan berkelanjutan. Hasil evaluasi diri ini akan menjadi dasar bagi penyusunan Rencana Tindak Lanjut (RTL) dan strategi peningkatan mutu Universitas Tulungagung ke depan.</w:t>
      </w:r>
    </w:p>
    <w:p>
      <w:pPr>
        <w:pStyle w:val="Heading2"/>
        <w:keepNext/>
        <w:keepLines/>
        <w:spacing w:before="360" w:after="160"/>
      </w:pPr>
      <w:r>
        <w:rPr>
          <w:rFonts w:ascii="Calibri" w:hAnsi="Calibri"/>
          <w:b/>
          <w:color w:val="1A2B5C"/>
          <w:sz w:val="28"/>
        </w:rPr>
        <w:t>1.2 Dasar Hukum</w:t>
      </w:r>
    </w:p>
    <w:p>
      <w:pPr>
        <w:spacing w:line="360" w:lineRule="exact" w:after="120"/>
        <w:ind w:firstLine="567"/>
        <w:jc w:val="both"/>
      </w:pPr>
      <w:r>
        <w:rPr>
          <w:rFonts w:ascii="Calibri" w:hAnsi="Calibri"/>
          <w:color w:val="333333"/>
          <w:sz w:val="22"/>
        </w:rPr>
        <w:t>Penyusunan Laporan Evaluasi Diri ini didasarkan pada peraturan perundang-undangan yang berlaku, yang menjadi landasan yuridis dan operasional bagi seluruh kegiatan penjaminan mutu di lingkungan Universitas Tulungagung. Dasar hukum ini merupakan kerangka regulasi terkini yang berlaku efektif sejak tanggal diundangkannya Peraturan Menteri Pendidikan Tinggi, Sains, dan Teknologi Nomor 39 Tahun 2025.</w:t>
      </w:r>
    </w:p>
    <w:p>
      <w:pPr>
        <w:spacing w:line="360" w:lineRule="exact" w:after="120"/>
        <w:jc w:val="both"/>
      </w:pPr>
      <w:r>
        <w:rPr>
          <w:rFonts w:ascii="Calibri" w:hAnsi="Calibri"/>
          <w:color w:val="333333"/>
          <w:sz w:val="22"/>
        </w:rPr>
        <w:t>1. Undang-Undang Republik Indonesia Nomor 20 Tahun 2003 tentang Sistem Pendidikan Nasional;</w:t>
      </w:r>
    </w:p>
    <w:p>
      <w:pPr>
        <w:spacing w:line="360" w:lineRule="exact" w:after="120"/>
        <w:jc w:val="both"/>
      </w:pPr>
      <w:r>
        <w:rPr>
          <w:rFonts w:ascii="Calibri" w:hAnsi="Calibri"/>
          <w:color w:val="333333"/>
          <w:sz w:val="22"/>
        </w:rPr>
        <w:t>2. Undang-Undang Republik Indonesia Nomor 12 Tahun 2012 tentang Pendidikan Tinggi;</w:t>
      </w:r>
    </w:p>
    <w:p>
      <w:pPr>
        <w:spacing w:line="360" w:lineRule="exact" w:after="120"/>
        <w:jc w:val="both"/>
      </w:pPr>
      <w:r>
        <w:rPr>
          <w:rFonts w:ascii="Calibri" w:hAnsi="Calibri"/>
          <w:color w:val="333333"/>
          <w:sz w:val="22"/>
        </w:rPr>
        <w:t>3. Peraturan Pemerintah Republik Indonesia Nomor 4 Tahun 2014 tentang Penyelenggaraan Pendidikan Tinggi dan Pengelolaan Perguruan Tinggi;</w:t>
      </w:r>
    </w:p>
    <w:p>
      <w:pPr>
        <w:spacing w:line="360" w:lineRule="exact" w:after="120"/>
        <w:jc w:val="both"/>
      </w:pPr>
      <w:r>
        <w:rPr>
          <w:rFonts w:ascii="Calibri" w:hAnsi="Calibri"/>
          <w:color w:val="333333"/>
          <w:sz w:val="22"/>
        </w:rPr>
        <w:t>4. Peraturan Menteri Pendidikan Tinggi, Sains, dan Teknologi Nomor 39 Tahun 2025 tentang Penjaminan Mutu Pendidikan Tinggi;</w:t>
      </w:r>
    </w:p>
    <w:p>
      <w:pPr>
        <w:spacing w:line="360" w:lineRule="exact" w:after="120"/>
        <w:jc w:val="both"/>
      </w:pPr>
      <w:r>
        <w:rPr>
          <w:rFonts w:ascii="Calibri" w:hAnsi="Calibri"/>
          <w:color w:val="333333"/>
          <w:sz w:val="22"/>
        </w:rPr>
        <w:t>5. Peraturan Badan Akreditasi Nasional Perguruan Tinggi (BAN-PT) yang berlaku;</w:t>
      </w:r>
    </w:p>
    <w:p>
      <w:pPr>
        <w:spacing w:line="360" w:lineRule="exact" w:after="120"/>
        <w:jc w:val="both"/>
      </w:pPr>
      <w:r>
        <w:rPr>
          <w:rFonts w:ascii="Calibri" w:hAnsi="Calibri"/>
          <w:color w:val="333333"/>
          <w:sz w:val="22"/>
        </w:rPr>
        <w:t>6. Instrumen Akreditasi Perguruan Tinggi (IAPT) 4.1;</w:t>
      </w:r>
    </w:p>
    <w:p>
      <w:pPr>
        <w:spacing w:line="360" w:lineRule="exact" w:after="120"/>
        <w:jc w:val="both"/>
      </w:pPr>
      <w:r>
        <w:rPr>
          <w:rFonts w:ascii="Calibri" w:hAnsi="Calibri"/>
          <w:color w:val="333333"/>
          <w:sz w:val="22"/>
        </w:rPr>
        <w:t>7. Statuta Universitas Tulungagung;</w:t>
      </w:r>
    </w:p>
    <w:p>
      <w:pPr>
        <w:spacing w:line="360" w:lineRule="exact" w:after="120"/>
        <w:jc w:val="both"/>
      </w:pPr>
      <w:r>
        <w:rPr>
          <w:rFonts w:ascii="Calibri" w:hAnsi="Calibri"/>
          <w:color w:val="333333"/>
          <w:sz w:val="22"/>
        </w:rPr>
        <w:t>8. Rencana Strategis (Renstra) Universitas Tulungagung Tahun 2023-2027;</w:t>
      </w:r>
    </w:p>
    <w:p>
      <w:pPr>
        <w:spacing w:line="360" w:lineRule="exact" w:after="120"/>
        <w:jc w:val="both"/>
      </w:pPr>
      <w:r>
        <w:rPr>
          <w:rFonts w:ascii="Calibri" w:hAnsi="Calibri"/>
          <w:color w:val="333333"/>
          <w:sz w:val="22"/>
        </w:rPr>
        <w:t>9. Keputusan Rektor Universitas Tulungagung Nomor A/002.I/KEP/UNITA/I/2025 tentang Pernyataan dan Kebijakan Mutu Universitas Tulungagung.</w:t>
      </w:r>
    </w:p>
    <w:p>
      <w:pPr>
        <w:pStyle w:val="Heading2"/>
        <w:keepNext/>
        <w:keepLines/>
        <w:spacing w:before="360" w:after="160"/>
      </w:pPr>
      <w:r>
        <w:rPr>
          <w:rFonts w:ascii="Calibri" w:hAnsi="Calibri"/>
          <w:b/>
          <w:color w:val="1A2B5C"/>
          <w:sz w:val="28"/>
        </w:rPr>
        <w:t>1.3 Tujuan Evaluasi Diri</w:t>
      </w:r>
    </w:p>
    <w:p>
      <w:pPr>
        <w:spacing w:line="360" w:lineRule="exact" w:after="120"/>
        <w:ind w:firstLine="567"/>
        <w:jc w:val="both"/>
      </w:pPr>
      <w:r>
        <w:rPr>
          <w:rFonts w:ascii="Calibri" w:hAnsi="Calibri"/>
          <w:color w:val="333333"/>
          <w:sz w:val="22"/>
        </w:rPr>
        <w:t>Laporan Evaluasi Diri ini disusun dengan tujuan untuk: (1) memberikan gambaran objektif dan komprehensif tentang kondisi Universitas Tulungagung dalam penyelenggaraan Tridharma Perguruan Tinggi berdasarkan 9 kriteria IAPT 4.1; (2) mengevaluasi ketercapaian 33 Standar SPMI yang telah ditetapkan berdasarkan hasil AMI 2024/2025; (3) mengidentifikasi kekuatan, kelemahan, peluang, dan tantangan dalam setiap kriteria; (4) menyusun rekomendasi dan rencana tindak lanjut untuk peningkatan mutu berkelanjutan; serta (5) memenuhi persyaratan akreditasi perguruan tinggi sesuai regulasi yang berlaku.</w:t>
      </w:r>
    </w:p>
    <w:p>
      <w:pPr>
        <w:pStyle w:val="Heading2"/>
        <w:keepNext/>
        <w:keepLines/>
        <w:spacing w:before="360" w:after="160"/>
      </w:pPr>
      <w:r>
        <w:rPr>
          <w:rFonts w:ascii="Calibri" w:hAnsi="Calibri"/>
          <w:b/>
          <w:color w:val="1A2B5C"/>
          <w:sz w:val="28"/>
        </w:rPr>
        <w:t>1.4 Ruang Lingkup Evaluasi</w:t>
      </w:r>
    </w:p>
    <w:p>
      <w:pPr>
        <w:spacing w:line="360" w:lineRule="exact" w:after="120"/>
        <w:ind w:firstLine="567"/>
        <w:jc w:val="both"/>
      </w:pPr>
      <w:r>
        <w:rPr>
          <w:rFonts w:ascii="Calibri" w:hAnsi="Calibri"/>
          <w:color w:val="333333"/>
          <w:sz w:val="22"/>
        </w:rPr>
        <w:t>Ruang lingkup evaluasi diri ini mencakup seluruh aspek penyelenggaraan Universitas Tulungagung, yang dikelompokkan ke dalam 9 kriteria sesuai IAPT 4.1: (1) Visi, Misi, Tujuan, dan Strategi (VMTS); (2) Tata Pamong, Tata Kelola, dan Kerja Sama; (3) Mahasiswa; (4) Sumber Daya Manusia; (5) Keuangan, Sarana, dan Prasarana; (6) Pendidikan; (7) Penelitian; (8) Pengabdian kepada Masyarakat; serta (9) Luaran dan Capaian Tridharma. Setiap kriteria dievaluasi berdasarkan data dari AMI 2024/2025, dokumen SPMI, PD Dikti, dan umpan balik stakeholder.</w:t>
      </w:r>
    </w:p>
    <w:p>
      <w:pPr>
        <w:pStyle w:val="Heading2"/>
        <w:keepNext/>
        <w:keepLines/>
        <w:spacing w:before="360" w:after="160"/>
      </w:pPr>
      <w:r>
        <w:rPr>
          <w:rFonts w:ascii="Calibri" w:hAnsi="Calibri"/>
          <w:b/>
          <w:color w:val="1A2B5C"/>
          <w:sz w:val="28"/>
        </w:rPr>
        <w:t>1.5 Metodologi Evaluasi Diri</w:t>
      </w:r>
    </w:p>
    <w:p>
      <w:pPr>
        <w:spacing w:line="360" w:lineRule="exact" w:after="120"/>
        <w:ind w:firstLine="567"/>
        <w:jc w:val="both"/>
      </w:pPr>
      <w:r>
        <w:rPr>
          <w:rFonts w:ascii="Calibri" w:hAnsi="Calibri"/>
          <w:color w:val="333333"/>
          <w:sz w:val="22"/>
        </w:rPr>
        <w:t>Metodologi evaluasi diri menggunakan pendekatan kuantitatif dan kualitatif dengan prinsip triangulasi data. Data dikumpulkan dari tiga sumber: (1) PD Dikti sebagai sumber data primer yang mencakup data mahasiswa, dosen, kurikulum, lulusan, dan Tridharma; (2) hasil evaluasi internal yang meliputi 13 dokumen AMI 2024/2025 dengan 212 indikator, laporan RTM, dan laporan monitoring rutin; serta (3) data stakeholder eksternal yang meliputi hasil akreditasi BAN-PT/LAM, tracer study, umpan balik DUDI, dan pengaduan masyarakat.</w:t>
      </w:r>
    </w:p>
    <w:p>
      <w:pPr>
        <w:spacing w:line="360" w:lineRule="exact" w:after="120"/>
        <w:ind w:firstLine="567"/>
        <w:jc w:val="both"/>
      </w:pPr>
      <w:r>
        <w:rPr>
          <w:rFonts w:ascii="Calibri" w:hAnsi="Calibri"/>
          <w:color w:val="333333"/>
          <w:sz w:val="22"/>
        </w:rPr>
        <w:t>Proses evaluasi diri dilaksanakan melalui tahapan: (1) pengumpulan data dari berbagai sumber; (2) analisis data berdasarkan standar IAPT 4.1 dan 33 Standar SPMI; (3) identifikasi kekuatan dan kelemahan; (4) penyusunan rekomendasi perbaikan; dan (5) validasi oleh Senat Universitas. Hasil evaluasi diri ini selanjutnya dibahas dalam Rapat Tinjauan Manajemen (RTM) dan ditindaklanjuti melalui Rencana Tindak Lanjut (RTL).</w:t>
      </w:r>
    </w:p>
    <w:p>
      <w:pPr>
        <w:pStyle w:val="Heading2"/>
        <w:keepNext/>
        <w:keepLines/>
        <w:spacing w:before="360" w:after="160"/>
      </w:pPr>
      <w:r>
        <w:rPr>
          <w:rFonts w:ascii="Calibri" w:hAnsi="Calibri"/>
          <w:b/>
          <w:color w:val="1A2B5C"/>
          <w:sz w:val="28"/>
        </w:rPr>
        <w:t>1.6 Sistem Penjaminan Mutu Internal (SPMI)</w:t>
      </w:r>
    </w:p>
    <w:p>
      <w:pPr>
        <w:spacing w:line="360" w:lineRule="exact" w:after="120"/>
        <w:ind w:firstLine="567"/>
        <w:jc w:val="both"/>
      </w:pPr>
      <w:r>
        <w:rPr>
          <w:rFonts w:ascii="Calibri" w:hAnsi="Calibri"/>
          <w:color w:val="333333"/>
          <w:sz w:val="22"/>
        </w:rPr>
        <w:t>Universitas Tulungagung telah menerapkan Sistem Penjaminan Mutu Internal (SPMI) yang terstruktur dan terdokumentasi, sesuai dengan amanat Pasal 67 Permen 39 Tahun 2025. SPMI Universitas Tulungagung dikelola melalui siklus PPEPP (Penetapan, Pelaksanaan, Evaluasi, Pengendalian, dan Peningkatan) sebagaimana diatur dalam Pasal 68. Sistem ini didukung oleh empat dokumen mutu utama yang telah diselaraskan dengan Permen 39 Tahun 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Dokumen Mutu SPMI UNITA 2025</w:t>
            </w:r>
          </w:p>
          <w:p>
            <w:pPr>
              <w:spacing w:line="280" w:lineRule="exact"/>
              <w:jc w:val="both"/>
            </w:pPr>
            <w:r>
              <w:rPr>
                <w:rFonts w:ascii="Calibri" w:hAnsi="Calibri"/>
                <w:color w:val="333333"/>
                <w:sz w:val="20"/>
              </w:rPr>
              <w:t>1. Kebijakan Mutu SPMI (Kode: SPMI/PPM/DM/KBJ/2025) — 65 halaman</w:t>
              <w:br/>
              <w:t>2. Manual Mutu SPMI (Kode: SPMI/PPM/DM/MNL/2025) — 55 halaman</w:t>
              <w:br/>
              <w:t>3. Standar Mutu SPMI (Kode: SPMI/PPM/DM/STD/2025) — 312 halaman</w:t>
              <w:br/>
              <w:t>4. Formulir Mutu SPMI (Kode: SPMI/PPM/DM/FORM/2025) — 132 halaman</w:t>
              <w:br/>
              <w:br/>
              <w:t>Total: 33 Standar SPMI (8 Pendidikan + 8 Penelitian + 8 PkM + 9 Tambahan)</w:t>
              <w:br/>
              <w:t>Total formulir: 38 formulir pendukung PPEPP</w:t>
            </w:r>
          </w:p>
        </w:tc>
      </w:tr>
    </w:tbl>
    <w:p>
      <w:pPr>
        <w:spacing w:after="0" w:line="120" w:lineRule="exact"/>
      </w:pPr>
    </w:p>
    <w:p>
      <w:pPr>
        <w:spacing w:after="0" w:line="120" w:lineRule="exact"/>
      </w:pPr>
    </w:p>
    <w:p>
      <w:pPr>
        <w:spacing w:line="360" w:lineRule="exact" w:after="120"/>
        <w:ind w:firstLine="567"/>
        <w:jc w:val="both"/>
      </w:pPr>
      <w:r>
        <w:rPr>
          <w:rFonts w:ascii="Calibri" w:hAnsi="Calibri"/>
          <w:color w:val="333333"/>
          <w:sz w:val="22"/>
        </w:rPr>
        <w:t>Selain itu, Universitas Tulungagung telah melaksanakan Audit Mutu Internal (AMI) pada Tahun Akademik 2024/2025 yang mencakup 13 dokumen audit dengan total 212 indikator penilaian. Hasil AMI menunjukkan bahwa 194 indikator (91,5%) berstatus Tercapai dan 18 indikator (8,5%) berstatus Belum Tercapai. Hasil AMI ini menjadi data utama dalam penyusunan Laporan Evaluasi Diri ini.</w:t>
      </w:r>
    </w:p>
    <w:p>
      <w:pPr>
        <w:keepNext/>
        <w:keepLines/>
        <w:spacing w:before="120" w:after="80"/>
        <w:jc w:val="center"/>
      </w:pPr>
      <w:r>
        <w:rPr>
          <w:rFonts w:ascii="Calibri" w:hAnsi="Calibri"/>
          <w:b/>
          <w:color w:val="1A2B5C"/>
          <w:sz w:val="20"/>
        </w:rPr>
        <w:t>Tabel 1.1 Ringkasan Hasil AMI 2024/2025</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2268"/>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Dokumen AMI</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Kode</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Tercapai</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Belum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Pendidikan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MONEV/PEND</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19</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19</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MONEV/PEN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Pengabdian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MONEV/PKM</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VMTS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MONEV/VMTS</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15</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5</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TPTK</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MONEV/TPTK</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12</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3</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Mahasiswa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MONEV/MHS</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14</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14</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SDM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MONEV/SDM</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18</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16</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2</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Kesejahteraan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MONEV/KSJH</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19</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19</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Keuangan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MONEV/KEU</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Sarana Prasarana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MONEV/SARPRAS</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14</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14</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MBKM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MONEV/MBKM</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4</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4</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Pelayanan Mhs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MONEV/PLYN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13</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7</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AMI Proses Pembelajaran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MONEV/SPB</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TOTAL</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212</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194</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18</w:t>
            </w:r>
          </w:p>
        </w:tc>
      </w:tr>
    </w:tbl>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II</w:t>
        <w:br/>
        <w:t>PROFIL UNIVERSITAS TULUNGAGUNG</w:t>
      </w:r>
    </w:p>
    <w:p>
      <w:pPr>
        <w:pStyle w:val="Heading2"/>
        <w:keepNext/>
        <w:keepLines/>
        <w:spacing w:before="360" w:after="160"/>
      </w:pPr>
      <w:r>
        <w:rPr>
          <w:rFonts w:ascii="Calibri" w:hAnsi="Calibri"/>
          <w:b/>
          <w:color w:val="1A2B5C"/>
          <w:sz w:val="28"/>
        </w:rPr>
        <w:t>2.1 Sejarah dan Perkembangan</w:t>
      </w:r>
    </w:p>
    <w:p>
      <w:pPr>
        <w:spacing w:line="360" w:lineRule="exact" w:after="120"/>
        <w:ind w:firstLine="567"/>
        <w:jc w:val="both"/>
      </w:pPr>
      <w:r>
        <w:rPr>
          <w:rFonts w:ascii="Calibri" w:hAnsi="Calibri"/>
          <w:color w:val="333333"/>
          <w:sz w:val="22"/>
        </w:rPr>
        <w:t>Universitas Tulungagung (UNITA) merupakan salah satu perguruan tinggi swasta di Kabupaten Tulungagung, Jawa Timur, yang berdiri dengan komitmen untuk menyelenggarakan pendidikan tinggi yang berkualitas dan mampu berkompetisi pada skala nasional dan internasional. Sejak berdirinya, Universitas Tulungagung terus berkembang baik dari sisi jumlah program studi, jumlah mahasiswa, kualitas dosen, maupun sarana dan prasarana pendukung kegiatan akademik.</w:t>
      </w:r>
    </w:p>
    <w:p>
      <w:pPr>
        <w:spacing w:line="360" w:lineRule="exact" w:after="120"/>
        <w:ind w:firstLine="567"/>
        <w:jc w:val="both"/>
      </w:pPr>
      <w:r>
        <w:rPr>
          <w:rFonts w:ascii="Calibri" w:hAnsi="Calibri"/>
          <w:color w:val="333333"/>
          <w:sz w:val="22"/>
        </w:rPr>
        <w:t>Pada tahun 2011, UNITA mulai menerapkan Sistem Penjaminan Mutu Internal (SPMI) secara formal, dengan mengacu pada standar akreditasi nasional dari BAN-PT. Sejak saat itu, SPMI di UNITA terus dikembangkan dan disempurnakan mengikuti perkembangan regulasi penjaminan mutu pendidikan tinggi di Indonesia. Pada tahun 2025, sejalan dengan berlakunya Permen 39 Tahun 2025, Universitas Tulungagung melakukan penyesuaian menyeluruh terhadap seluruh dokumen SPMI agar selaras dengan kerangka regulasi terbaru.</w:t>
      </w:r>
    </w:p>
    <w:p>
      <w:pPr>
        <w:spacing w:line="360" w:lineRule="exact" w:after="120"/>
        <w:ind w:firstLine="567"/>
        <w:jc w:val="both"/>
      </w:pPr>
      <w:r>
        <w:rPr>
          <w:rFonts w:ascii="Calibri" w:hAnsi="Calibri"/>
          <w:color w:val="333333"/>
          <w:sz w:val="22"/>
        </w:rPr>
        <w:t>Saat ini, Universitas Tulungagung memiliki 6 fakultas yang menyelenggarakan berbagai program studi pada jenjang diploma, sarjana, dan pascasarjana. Fakultas-fakultas tersebut meliputi Fakultas Ekonomi (FE), Fakultas Ilmu Sosial dan Ilmu Politik (FISIP), Fakultas Pertanian (FP), Fakultas Hukum (FH), Fakultas Teknik (FT), dan Fakultas Kesehatan (F.KES). Selain itu, UNITA juga memiliki Program Diploma Tiga (D3) Kebidanan.</w:t>
      </w:r>
    </w:p>
    <w:p>
      <w:pPr>
        <w:pStyle w:val="Heading2"/>
        <w:keepNext/>
        <w:keepLines/>
        <w:spacing w:before="360" w:after="160"/>
      </w:pPr>
      <w:r>
        <w:rPr>
          <w:rFonts w:ascii="Calibri" w:hAnsi="Calibri"/>
          <w:b/>
          <w:color w:val="1A2B5C"/>
          <w:sz w:val="28"/>
        </w:rPr>
        <w:t>2.2 Visi, Misi, Tujuan, dan Strategi</w:t>
      </w:r>
    </w:p>
    <w:p>
      <w:pPr>
        <w:spacing w:line="360" w:lineRule="exact" w:after="120"/>
        <w:ind w:firstLine="567"/>
        <w:jc w:val="both"/>
      </w:pPr>
      <w:r>
        <w:rPr>
          <w:rFonts w:ascii="Calibri" w:hAnsi="Calibri"/>
          <w:color w:val="333333"/>
          <w:sz w:val="22"/>
        </w:rPr>
        <w:t>Visi Universitas Tulungagung adalah:</w:t>
      </w:r>
    </w:p>
    <w:p>
      <w:pPr>
        <w:spacing w:before="120" w:after="120"/>
        <w:jc w:val="center"/>
      </w:pPr>
      <w:r>
        <w:rPr>
          <w:rFonts w:ascii="Calibri" w:hAnsi="Calibri"/>
          <w:b/>
          <w:i/>
          <w:color w:val="1A2B5C"/>
          <w:sz w:val="24"/>
        </w:rPr>
        <w:t>“Mewujudkan Perguruan Tinggi yang Berkualitas dan Mampu Berkompetisi Berskala Nasional Dan Internasional.”</w:t>
      </w:r>
    </w:p>
    <w:p>
      <w:pPr>
        <w:spacing w:line="360" w:lineRule="exact" w:after="120"/>
        <w:ind w:firstLine="567"/>
        <w:jc w:val="both"/>
      </w:pPr>
      <w:r>
        <w:rPr>
          <w:rFonts w:ascii="Calibri" w:hAnsi="Calibri"/>
          <w:color w:val="333333"/>
          <w:sz w:val="22"/>
        </w:rPr>
        <w:t>Misi Universitas Tulungagung adalah:</w:t>
      </w:r>
    </w:p>
    <w:p>
      <w:pPr>
        <w:pStyle w:val="ListNumber"/>
        <w:spacing w:line="320" w:lineRule="exact" w:after="60"/>
      </w:pPr>
      <w:r>
        <w:rPr>
          <w:rFonts w:ascii="Calibri" w:hAnsi="Calibri"/>
          <w:color w:val="333333"/>
          <w:sz w:val="22"/>
        </w:rPr>
        <w:t>Peningkatan penyelenggaraan pendidikan, penelitian, dan pengabdian kepada masyarakat yang berkualitas menuju terbentuknya lulusan mandiri;</w:t>
      </w:r>
    </w:p>
    <w:p>
      <w:pPr>
        <w:pStyle w:val="ListNumber"/>
        <w:spacing w:line="320" w:lineRule="exact" w:after="60"/>
      </w:pPr>
      <w:r>
        <w:rPr>
          <w:rFonts w:ascii="Calibri" w:hAnsi="Calibri"/>
          <w:color w:val="333333"/>
          <w:sz w:val="22"/>
        </w:rPr>
        <w:t>Peningkatan kualitas Sumber Daya Manusia yang meliputi tenaga pendidik dan tenaga kependidikan;</w:t>
      </w:r>
    </w:p>
    <w:p>
      <w:pPr>
        <w:pStyle w:val="ListNumber"/>
        <w:spacing w:line="320" w:lineRule="exact" w:after="60"/>
      </w:pPr>
      <w:r>
        <w:rPr>
          <w:rFonts w:ascii="Calibri" w:hAnsi="Calibri"/>
          <w:color w:val="333333"/>
          <w:sz w:val="22"/>
        </w:rPr>
        <w:t>Peningkatan sarana dan prasarana akademik yang mendukung proses belajar mengajar.</w:t>
      </w:r>
    </w:p>
    <w:p>
      <w:pPr>
        <w:spacing w:line="360" w:lineRule="exact" w:after="120"/>
        <w:ind w:firstLine="567"/>
        <w:jc w:val="both"/>
      </w:pPr>
      <w:r>
        <w:rPr>
          <w:rFonts w:ascii="Calibri" w:hAnsi="Calibri"/>
          <w:color w:val="333333"/>
          <w:sz w:val="22"/>
        </w:rPr>
        <w:t>Tujuan Universitas Tulungagung adalah:</w:t>
      </w:r>
    </w:p>
    <w:p>
      <w:pPr>
        <w:pStyle w:val="ListNumber"/>
        <w:spacing w:line="320" w:lineRule="exact" w:after="60"/>
      </w:pPr>
      <w:r>
        <w:rPr>
          <w:rFonts w:ascii="Calibri" w:hAnsi="Calibri"/>
          <w:color w:val="333333"/>
          <w:sz w:val="22"/>
        </w:rPr>
        <w:t>Berkembangnya potensi mahasiswa agar menjadi manusia yang beriman dan bertakwa kepada Tuhan Yang Maha Esa dan berakhlak mulia, sehat, berilmu, cakap, kreatif, mandiri, terampil, kompeten, dan berbudaya untuk kepentingan bangsa;</w:t>
      </w:r>
    </w:p>
    <w:p>
      <w:pPr>
        <w:pStyle w:val="ListNumber"/>
        <w:spacing w:line="320" w:lineRule="exact" w:after="60"/>
      </w:pPr>
      <w:r>
        <w:rPr>
          <w:rFonts w:ascii="Calibri" w:hAnsi="Calibri"/>
          <w:color w:val="333333"/>
          <w:sz w:val="22"/>
        </w:rPr>
        <w:t>Dihasilkannya lulusan yang menguasai cabang ilmu pengetahuan dan/atau teknologi untuk memenuhi kepentingan nasional dan peningkatan daya saing bangsa;</w:t>
      </w:r>
    </w:p>
    <w:p>
      <w:pPr>
        <w:pStyle w:val="ListNumber"/>
        <w:spacing w:line="320" w:lineRule="exact" w:after="60"/>
      </w:pPr>
      <w:r>
        <w:rPr>
          <w:rFonts w:ascii="Calibri" w:hAnsi="Calibri"/>
          <w:color w:val="333333"/>
          <w:sz w:val="22"/>
        </w:rPr>
        <w:t>Dihasilkannya ilmu pengetahuan dan teknologi melalui penelitian yang memperhatikan dan menerapkan nilai humaniora agar bermanfaat bagi kemajuan bangsa, serta kemajuan peradaban dan kesejahteraan umat manusia;</w:t>
      </w:r>
    </w:p>
    <w:p>
      <w:pPr>
        <w:pStyle w:val="ListNumber"/>
        <w:spacing w:line="320" w:lineRule="exact" w:after="60"/>
      </w:pPr>
      <w:r>
        <w:rPr>
          <w:rFonts w:ascii="Calibri" w:hAnsi="Calibri"/>
          <w:color w:val="333333"/>
          <w:sz w:val="22"/>
        </w:rPr>
        <w:t>Terwujudnya pengabdian kepada masyarakat berbasis penalaran dan karya penelitian yang bermanfaat dalam memajukan kesejahteraan umum dan mencerdaskan kehidupan bangsa.</w:t>
      </w:r>
    </w:p>
    <w:p>
      <w:pPr>
        <w:pStyle w:val="Heading2"/>
        <w:keepNext/>
        <w:keepLines/>
        <w:spacing w:before="360" w:after="160"/>
      </w:pPr>
      <w:r>
        <w:rPr>
          <w:rFonts w:ascii="Calibri" w:hAnsi="Calibri"/>
          <w:b/>
          <w:color w:val="1A2B5C"/>
          <w:sz w:val="28"/>
        </w:rPr>
        <w:t>2.3 Struktur Organisasi</w:t>
      </w:r>
    </w:p>
    <w:p>
      <w:pPr>
        <w:spacing w:line="360" w:lineRule="exact" w:after="120"/>
        <w:ind w:firstLine="567"/>
        <w:jc w:val="both"/>
      </w:pPr>
      <w:r>
        <w:rPr>
          <w:rFonts w:ascii="Calibri" w:hAnsi="Calibri"/>
          <w:color w:val="333333"/>
          <w:sz w:val="22"/>
        </w:rPr>
        <w:t>Universitas Tulungagung dipimpin oleh seorang Rektor yang bertanggung jawab atas penyelenggaraan seluruh kegiatan akademik dan non-akademik. Rektor dibantu oleh tiga Wakil Rektor: Wakil Rektor I (Bidang Akademik), Wakil Rektor II (Bidang Umum dan Keuangan), dan Wakil Rektor III (Bidang Kemahasiswaan). Selain itu, terdapat beberapa lembaga dan biro pendukung, antara lain Lembaga Penelitian dan Pengabdian kepada Masyarakat (LPPM), Pusat Penjaminan Mutu (PPM), Biro Administrasi Akademik (BAA), Biro Administrasi Umum (BAU), Biro Administrasi Keuangan (BAKU), dan Biro Administrasi Kemahasiswaan (BAK).</w:t>
      </w:r>
    </w:p>
    <w:p>
      <w:pPr>
        <w:spacing w:line="360" w:lineRule="exact" w:after="120"/>
        <w:ind w:firstLine="567"/>
        <w:jc w:val="both"/>
      </w:pPr>
      <w:r>
        <w:rPr>
          <w:rFonts w:ascii="Calibri" w:hAnsi="Calibri"/>
          <w:color w:val="333333"/>
          <w:sz w:val="22"/>
        </w:rPr>
        <w:t>Pusat Penjaminan Mutu (PPM) dipimpin oleh seorang Ketua yang bertanggung jawab langsung kepada Rektor. PPM dibantu oleh Lembaga Penjaminan Mutu (LPM) di tingkat fakultas dan Gugus Penjaminan Mutu (GKM) di tingkat program studi. Struktur organisasi PPM juga mencakup Sekretaris, Kepala Bagian Pengembangan SPMI, Kepala Bagian Audit dan Monevin, serta staf administrasi. Susunan organisasi PPM ditetapkan berdasarkan Surat Keputusan Rektor Nomor A/001.D/KEP/UNITA/I/2025.</w:t>
      </w:r>
    </w:p>
    <w:p>
      <w:pPr>
        <w:pStyle w:val="Heading2"/>
        <w:keepNext/>
        <w:keepLines/>
        <w:spacing w:before="360" w:after="160"/>
      </w:pPr>
      <w:r>
        <w:rPr>
          <w:rFonts w:ascii="Calibri" w:hAnsi="Calibri"/>
          <w:b/>
          <w:color w:val="1A2B5C"/>
          <w:sz w:val="28"/>
        </w:rPr>
        <w:t>2.4 Program Studi dan Fakultas</w:t>
      </w:r>
    </w:p>
    <w:p>
      <w:pPr>
        <w:spacing w:line="360" w:lineRule="exact" w:after="120"/>
        <w:ind w:firstLine="567"/>
        <w:jc w:val="both"/>
      </w:pPr>
      <w:r>
        <w:rPr>
          <w:rFonts w:ascii="Calibri" w:hAnsi="Calibri"/>
          <w:color w:val="333333"/>
          <w:sz w:val="22"/>
        </w:rPr>
        <w:t>Universitas Tulungagung memiliki 6 fakultas dengan berbagai program studi pada jenjang diploma, sarjana, dan pascasarjana. Berikut adalah daftar fakultas dan program studi di Universitas Tulungagung:</w:t>
      </w:r>
    </w:p>
    <w:p>
      <w:pPr>
        <w:keepNext/>
        <w:keepLines/>
        <w:spacing w:before="120" w:after="80"/>
        <w:jc w:val="center"/>
      </w:pPr>
      <w:r>
        <w:rPr>
          <w:rFonts w:ascii="Calibri" w:hAnsi="Calibri"/>
          <w:b/>
          <w:color w:val="1A2B5C"/>
          <w:sz w:val="20"/>
        </w:rPr>
        <w:t>Tabel 2.1 Daftar Program Studi Universitas Tulungagung</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Fakultas</w:t>
            </w:r>
          </w:p>
        </w:tc>
        <w:tc>
          <w:tcPr>
            <w:tcW w:type="dxa" w:w="2268"/>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Program Studi</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Jenjang</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Akreditasi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Ekonomi</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Akuntansi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Unggul</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Fakultas Ekonomi</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Manajemen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Unggul</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Ekonomi</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Ekonomi Pembangunan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Fakultas Ekonomi</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Magister Manajemen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Hukum</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Ilmu Hukum</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Unggul</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Fakultas FISIP</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Ilmu Administrasi Negara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FISIP</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Ilmu Komunikasi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Fakultas Pertanian</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Agroteknologi</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Pertanian</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Agribisnis</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Fakultas Teknik</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Teknik Sipil</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Teknik</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Informatika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Fakultas Kesehatan</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Ilmu Keperawatan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Baik Sekali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Fakultas Kesehatan</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Kebidanan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D3</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Baik Sekali</w:t>
            </w:r>
          </w:p>
        </w:tc>
      </w:tr>
    </w:tbl>
    <w:p>
      <w:pPr>
        <w:pStyle w:val="Heading2"/>
        <w:keepNext/>
        <w:keepLines/>
        <w:spacing w:before="360" w:after="160"/>
      </w:pPr>
      <w:r>
        <w:rPr>
          <w:rFonts w:ascii="Calibri" w:hAnsi="Calibri"/>
          <w:b/>
          <w:color w:val="1A2B5C"/>
          <w:sz w:val="28"/>
        </w:rPr>
        <w:t>2.5 Civitas Akademika</w:t>
      </w:r>
    </w:p>
    <w:p>
      <w:pPr>
        <w:spacing w:line="360" w:lineRule="exact" w:after="120"/>
        <w:ind w:firstLine="567"/>
        <w:jc w:val="both"/>
      </w:pPr>
      <w:r>
        <w:rPr>
          <w:rFonts w:ascii="Calibri" w:hAnsi="Calibri"/>
          <w:color w:val="333333"/>
          <w:sz w:val="22"/>
        </w:rPr>
        <w:t>Berdasarkan data terbaru Tahun 2025, Universitas Tulungagung memiliki total 93 orang SDM yang terdiri dari dosen dan tenaga kependidikan. Dari jumlah tersebut, sebanyak 78,40% dosen tetap memiliki jabatan fungsional minimal Lektor. Kepemilikan sertifikat pendidik telah mencapai 94,60%, sementara persentase dosen tidak tetap dengan sertifikat kompetensi berada pada kisaran 16,20% dari total dosen, yang masih di bawah batas maksimum 20%.</w:t>
      </w:r>
    </w:p>
    <w:p>
      <w:pPr>
        <w:spacing w:line="360" w:lineRule="exact" w:after="120"/>
        <w:ind w:firstLine="567"/>
        <w:jc w:val="both"/>
      </w:pPr>
      <w:r>
        <w:rPr>
          <w:rFonts w:ascii="Calibri" w:hAnsi="Calibri"/>
          <w:color w:val="333333"/>
          <w:sz w:val="22"/>
        </w:rPr>
        <w:t>Jumlah mahasiswa aktif Universitas Tulungagung pada Tahun Akademik 2024/2025 mencapai sekitar 8.000 mahasiswa, dengan rasio dosen-mahasiswa rata-rata 1:35. Universitas Tulungagung juga aktif menerima mahasiswa transfer dan mahasiswa internasional sebagai bagian dari diversifikasi mahasiswa. Tingkat retensi mahasiswa (sampai lulus) berada pada kisaran 75%, dengan target peningkatan menjadi 95% pada tahun 2030.</w:t>
      </w:r>
    </w:p>
    <w:p>
      <w:pPr>
        <w:spacing w:line="360" w:lineRule="exact" w:after="120"/>
        <w:ind w:firstLine="567"/>
        <w:jc w:val="both"/>
      </w:pPr>
      <w:r>
        <w:rPr>
          <w:rFonts w:ascii="Calibri" w:hAnsi="Calibri"/>
          <w:color w:val="333333"/>
          <w:sz w:val="22"/>
        </w:rPr>
        <w:t>Lulusan Universitas Tulungagung memiliki tingkat penyerapan di dunia kerja yang tinggi, dengan 86,50% lulusan terserap di dunia kerja dalam waktu kurang dari 6 bulan setelah kelulusan. Rata-rata IPK lulusan adalah 3,48, dengan rata-rata masa studi 3,8 tahun dan rata-rata masa tunggu kerja 3,2 bulan. Sebanyak 18,20% lulusan menjadi wirausahawan, menunjukkan bahwa Universitas Tulungagung tidak hanya menghasilkan lulusan yang siap kerja, tetapi juga mampu menciptakan lapangan kerja.</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3</w:t>
        <w:br/>
        <w:t>KRITERIA 1: VISI, MISI, TUJUAN, DAN STRATEGI</w:t>
      </w:r>
    </w:p>
    <w:p>
      <w:pPr>
        <w:pStyle w:val="Heading2"/>
        <w:keepNext/>
        <w:keepLines/>
        <w:spacing w:before="360" w:after="160"/>
      </w:pPr>
      <w:r>
        <w:rPr>
          <w:rFonts w:ascii="Calibri" w:hAnsi="Calibri"/>
          <w:b/>
          <w:color w:val="1A2B5C"/>
          <w:sz w:val="28"/>
        </w:rPr>
        <w:t>3.1 Deskripsi Kriteria</w:t>
      </w:r>
    </w:p>
    <w:p>
      <w:pPr>
        <w:spacing w:line="360" w:lineRule="exact" w:after="120"/>
        <w:ind w:firstLine="567"/>
        <w:jc w:val="both"/>
      </w:pPr>
      <w:r>
        <w:rPr>
          <w:rFonts w:ascii="Calibri" w:hAnsi="Calibri"/>
          <w:color w:val="333333"/>
          <w:sz w:val="22"/>
        </w:rPr>
        <w:t>Kriteria 1 mengevaluasi perumusan, sosialisasi, dan implementasi Visi, Misi, Tujuan, dan Strategi (VMTS) di Universitas Tulungagung. VMTS menjadi landasan filosofis dan strategis bagi seluruh kegiatan perguruan tinggi, sehingga kriteria ini menempati posisi penting dalam evaluasi diri. VMTS Universitas Tulungagung telah ditetapkan melalui proses partisipatif yang melibatkan Senat, dosen, mahasiswa, tenaga kependidikan, alumni, dan pemangku kepentingan eksternal.</w:t>
      </w:r>
    </w:p>
    <w:p>
      <w:pPr>
        <w:spacing w:line="360" w:lineRule="exact" w:after="120"/>
        <w:ind w:firstLine="567"/>
        <w:jc w:val="both"/>
      </w:pPr>
      <w:r>
        <w:rPr>
          <w:rFonts w:ascii="Calibri" w:hAnsi="Calibri"/>
          <w:color w:val="333333"/>
          <w:sz w:val="22"/>
        </w:rPr>
        <w:t>Visi Universitas Tulungagung adalah “Mewujudkan Perguruan Tinggi yang Berkualitas dan Mampu Berkompetisi Berskala Nasional Dan Internasional.” Visi ini mengandung makna bahwa Universitas Tulungagung berkomitmen untuk terus meningkatkan kualitas penyelenggaraan Tridharma Perguruan Tinggi, sehingga mampu berkompetisi tidak hanya pada level nasional tetapi juga internasional.</w:t>
      </w:r>
    </w:p>
    <w:p>
      <w:pPr>
        <w:spacing w:line="360" w:lineRule="exact" w:after="120"/>
        <w:ind w:firstLine="567"/>
        <w:jc w:val="both"/>
      </w:pPr>
      <w:r>
        <w:rPr>
          <w:rFonts w:ascii="Calibri" w:hAnsi="Calibri"/>
          <w:color w:val="333333"/>
          <w:sz w:val="22"/>
        </w:rPr>
        <w:t>VMTS diturunkan ke dalam Rencana Induk Pengembangan (RIP), Rencana Strategis (Renstra) Tahun 2023-2027, dan Rencana Operasional (Renop) tahunan. VMTS juga dipublikasikan kepada masyarakat melalui situs web resmi universitas dan dokumen resmi, sebagai bentuk transparansi dan akuntabilitas.</w:t>
      </w:r>
    </w:p>
    <w:p>
      <w:pPr>
        <w:pStyle w:val="Heading2"/>
        <w:keepNext/>
        <w:keepLines/>
        <w:spacing w:before="360" w:after="160"/>
      </w:pPr>
      <w:r>
        <w:rPr>
          <w:rFonts w:ascii="Calibri" w:hAnsi="Calibri"/>
          <w:b/>
          <w:color w:val="1A2B5C"/>
          <w:sz w:val="28"/>
        </w:rPr>
        <w:t>3.2 Analisis dan Evaluasi</w:t>
      </w:r>
    </w:p>
    <w:p>
      <w:pPr>
        <w:spacing w:line="360" w:lineRule="exact" w:after="120"/>
        <w:ind w:firstLine="567"/>
        <w:jc w:val="both"/>
      </w:pPr>
      <w:r>
        <w:rPr>
          <w:rFonts w:ascii="Calibri" w:hAnsi="Calibri"/>
          <w:color w:val="333333"/>
          <w:sz w:val="22"/>
        </w:rPr>
        <w:t>Berdasarkan hasil AMI VMTS 2024/2025, rata-rata skor keseluruhan adalah 3,54 (skala Likert 1-4) dengan kategori Sangat Baik. Skor ini menunjukkan bahwa pemahaman dan implementasi VMTS di kalangan civitas akademika Universitas Tulungagung berada pada tingkat yang baik. Namun, terdapat beberapa indikator yang masih berada di bawah target 3,50 dan menjadi prioritas perbaikan.</w:t>
      </w:r>
    </w:p>
    <w:p>
      <w:pPr>
        <w:spacing w:line="360" w:lineRule="exact" w:after="120"/>
        <w:ind w:firstLine="567"/>
        <w:jc w:val="both"/>
      </w:pPr>
      <w:r>
        <w:rPr>
          <w:rFonts w:ascii="Calibri" w:hAnsi="Calibri"/>
          <w:color w:val="333333"/>
          <w:sz w:val="22"/>
        </w:rPr>
        <w:t>Dari 15 indikator yang dievaluasi, 10 indikator berstatus Tercapai dan 5 indikator berstatus Belum Tercapai. Indikator yang belum tercapai mencakup: sosialisasi VMTS secara berkala (skor 3,42), media dan metode sosialisasi VMTS yang mudah dipahami (skor 3,38), keterlibatan dosen dalam penyusunan/evaluasi VMTS (skor 3,48), keterlibatan dosen dalam evaluasi ketercapaian VMTS (skor 3,36), serta relevansi VMTS dengan kebutuhan dunia kerja (skor 3,48).</w:t>
      </w:r>
    </w:p>
    <w:p>
      <w:pPr>
        <w:spacing w:line="360" w:lineRule="exact" w:after="120"/>
        <w:ind w:firstLine="567"/>
        <w:jc w:val="both"/>
      </w:pPr>
      <w:r>
        <w:rPr>
          <w:rFonts w:ascii="Calibri" w:hAnsi="Calibri"/>
          <w:color w:val="333333"/>
          <w:sz w:val="22"/>
        </w:rPr>
        <w:t>Hasil AMI menunjukkan bahwa VMTS telah menjadi acuan dalam pelaksanaan pendidikan (skor 3,62), penelitian (skor 3,56), dan pengabdian kepada masyarakat (skor 3,54). Pimpinan juga menunjukkan komitmen yang kuat dalam implementasi VMTS (skor 3,62). Namun, metode sosialisasi VMTS perlu diperbaiki agar lebih mudah dipahami oleh seluruh sivitas akademika.</w:t>
      </w:r>
    </w:p>
    <w:p>
      <w:pPr>
        <w:pStyle w:val="Heading2"/>
        <w:keepNext/>
        <w:keepLines/>
        <w:spacing w:before="360" w:after="160"/>
      </w:pPr>
      <w:r>
        <w:rPr>
          <w:rFonts w:ascii="Calibri" w:hAnsi="Calibri"/>
          <w:b/>
          <w:color w:val="1A2B5C"/>
          <w:sz w:val="28"/>
        </w:rPr>
        <w:t>3.3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Visi, Misi, Tujuan, dan Strategi</w:t>
            </w:r>
          </w:p>
          <w:p>
            <w:pPr>
              <w:spacing w:line="280" w:lineRule="exact"/>
              <w:jc w:val="both"/>
            </w:pPr>
            <w:r>
              <w:rPr>
                <w:rFonts w:ascii="Calibri" w:hAnsi="Calibri"/>
                <w:color w:val="333333"/>
                <w:sz w:val="20"/>
              </w:rPr>
              <w:t>Rata-rata Skor: 3,54/4 (Sangat Baik)</w:t>
              <w:br/>
              <w:t>Status: 10 Tercapai, 5 Belum Tercapai</w:t>
              <w:br/>
              <w:t>Dokumen AMI: AMI VMTS 2024-2025 (Kode: SPMI/PPM/MONEV/VMTS/2025)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3.1 Hasil Detail AMI Visi, Misi, Tujuan, dan Strategi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Pemahaman VMTS Universitas Tulungagung</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3,55</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Pemahaman keterkaitan VMTS dengan program kerja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3,50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VMTS disosialisasikan secara berkala kepada dosen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3,42</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Media dan metode sosialisasi VMTS mudah dipahami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3,38</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VMTS menjadi acuan pelaksanaan pendidikan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3,62</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VMTS menjadi acuan pelaksanaan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3,56</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VMTS menjadi acuan pelaksanaan pengabdian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3,54</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VMTS terintegrasi dalam kurikulum dan pembelajaran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3,50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Pimpinan menunjukkan komitmen kuat dalam VMTS</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3,62</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Kebijakan pimpinan selaras dengan VMTS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3,58</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Dosen dilibatkan dalam penyusunan/evaluasi VMTS</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3,48</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dilibatkan dalam evaluasi ketercapaian VMTS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3,36</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VMTS relevan dengan perkembangan ilmu pengetahuan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VMTS relevan dengan kebutuhan dunia kerja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3,48</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Program universitas mendukung pencapaian VMTS</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Belum</w:t>
            </w:r>
          </w:p>
        </w:tc>
      </w:tr>
    </w:tbl>
    <w:p>
      <w:pPr>
        <w:pStyle w:val="Heading2"/>
        <w:keepNext/>
        <w:keepLines/>
        <w:spacing w:before="360" w:after="160"/>
      </w:pPr>
      <w:r>
        <w:rPr>
          <w:rFonts w:ascii="Calibri" w:hAnsi="Calibri"/>
          <w:b/>
          <w:color w:val="1A2B5C"/>
          <w:sz w:val="28"/>
        </w:rPr>
        <w:t>3.4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VMTS telah dirumuskan melalui proses partisipatif yang melibatkan seluruh pemangku kepentingan</w:t>
      </w:r>
    </w:p>
    <w:p>
      <w:pPr>
        <w:pStyle w:val="ListBullet"/>
        <w:spacing w:line="320" w:lineRule="exact" w:after="60"/>
      </w:pPr>
      <w:r>
        <w:rPr>
          <w:rFonts w:ascii="Calibri" w:hAnsi="Calibri"/>
          <w:color w:val="333333"/>
          <w:sz w:val="22"/>
        </w:rPr>
        <w:t>VMTS telah menjadi acuan dalam pelaksanaan Tridharma Perguruan Tinggi (skor 3,54-3,62)</w:t>
      </w:r>
    </w:p>
    <w:p>
      <w:pPr>
        <w:pStyle w:val="ListBullet"/>
        <w:spacing w:line="320" w:lineRule="exact" w:after="60"/>
      </w:pPr>
      <w:r>
        <w:rPr>
          <w:rFonts w:ascii="Calibri" w:hAnsi="Calibri"/>
          <w:color w:val="333333"/>
          <w:sz w:val="22"/>
        </w:rPr>
        <w:t>Pimpinan menunjukkan komitmen yang kuat dalam implementasi VMTS (skor 3,62)</w:t>
      </w:r>
    </w:p>
    <w:p>
      <w:pPr>
        <w:pStyle w:val="ListBullet"/>
        <w:spacing w:line="320" w:lineRule="exact" w:after="60"/>
      </w:pPr>
      <w:r>
        <w:rPr>
          <w:rFonts w:ascii="Calibri" w:hAnsi="Calibri"/>
          <w:color w:val="333333"/>
          <w:sz w:val="22"/>
        </w:rPr>
        <w:t>VMTS telah diturunkan ke dalam RIP, Renstra 2023-2027, dan Renop tahunan</w:t>
      </w:r>
    </w:p>
    <w:p>
      <w:pPr>
        <w:pStyle w:val="ListBullet"/>
        <w:spacing w:line="320" w:lineRule="exact" w:after="60"/>
      </w:pPr>
      <w:r>
        <w:rPr>
          <w:rFonts w:ascii="Calibri" w:hAnsi="Calibri"/>
          <w:color w:val="333333"/>
          <w:sz w:val="22"/>
        </w:rPr>
        <w:t>Pemahaman civitas akademika terhadap VMTS berada pada kategori Sangat Baik (3,54)</w:t>
      </w:r>
    </w:p>
    <w:p>
      <w:pPr>
        <w:pStyle w:val="ListBullet"/>
        <w:spacing w:line="320" w:lineRule="exact" w:after="60"/>
      </w:pPr>
      <w:r>
        <w:rPr>
          <w:rFonts w:ascii="Calibri" w:hAnsi="Calibri"/>
          <w:color w:val="333333"/>
          <w:sz w:val="22"/>
        </w:rPr>
        <w:t>VMTS telah dipublikasikan melalui situs web resmi universitas</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Metode sosialisasi VMTS belum optimal (skor 3,38), perlu diversifikasi media</w:t>
      </w:r>
    </w:p>
    <w:p>
      <w:pPr>
        <w:pStyle w:val="ListBullet"/>
        <w:spacing w:line="320" w:lineRule="exact" w:after="60"/>
      </w:pPr>
      <w:r>
        <w:rPr>
          <w:rFonts w:ascii="Calibri" w:hAnsi="Calibri"/>
          <w:color w:val="333333"/>
          <w:sz w:val="22"/>
        </w:rPr>
        <w:t>Keterlibatan dosen dalam evaluasi ketercapaian VMTS masih rendah (skor 3,36)</w:t>
      </w:r>
    </w:p>
    <w:p>
      <w:pPr>
        <w:pStyle w:val="ListBullet"/>
        <w:spacing w:line="320" w:lineRule="exact" w:after="60"/>
      </w:pPr>
      <w:r>
        <w:rPr>
          <w:rFonts w:ascii="Calibri" w:hAnsi="Calibri"/>
          <w:color w:val="333333"/>
          <w:sz w:val="22"/>
        </w:rPr>
        <w:t>Relevansi VMTS dengan kebutuhan dunia kerja perlu ditingkatkan (skor 3,48)</w:t>
      </w:r>
    </w:p>
    <w:p>
      <w:pPr>
        <w:pStyle w:val="ListBullet"/>
        <w:spacing w:line="320" w:lineRule="exact" w:after="60"/>
      </w:pPr>
      <w:r>
        <w:rPr>
          <w:rFonts w:ascii="Calibri" w:hAnsi="Calibri"/>
          <w:color w:val="333333"/>
          <w:sz w:val="22"/>
        </w:rPr>
        <w:t>Program universitas belum sepenuhnya mendukung pencapaian VMTS (skor 3,40)</w:t>
      </w:r>
    </w:p>
    <w:p>
      <w:pPr>
        <w:pStyle w:val="ListBullet"/>
        <w:spacing w:line="320" w:lineRule="exact" w:after="60"/>
      </w:pPr>
      <w:r>
        <w:rPr>
          <w:rFonts w:ascii="Calibri" w:hAnsi="Calibri"/>
          <w:color w:val="333333"/>
          <w:sz w:val="22"/>
        </w:rPr>
        <w:t>Review VMTS belum dilakukan secara berkala setiap 5 tahun sebagaimana standar</w:t>
      </w:r>
    </w:p>
    <w:p>
      <w:pPr>
        <w:pStyle w:val="Heading2"/>
        <w:keepNext/>
        <w:keepLines/>
        <w:spacing w:before="360" w:after="160"/>
      </w:pPr>
      <w:r>
        <w:rPr>
          <w:rFonts w:ascii="Calibri" w:hAnsi="Calibri"/>
          <w:b/>
          <w:color w:val="1A2B5C"/>
          <w:sz w:val="28"/>
        </w:rPr>
        <w:t>3.5 Rekomendasi</w:t>
      </w:r>
    </w:p>
    <w:p>
      <w:pPr>
        <w:pStyle w:val="ListNumber"/>
        <w:spacing w:line="320" w:lineRule="exact" w:after="60"/>
      </w:pPr>
      <w:r>
        <w:rPr>
          <w:rFonts w:ascii="Calibri" w:hAnsi="Calibri"/>
          <w:color w:val="333333"/>
          <w:sz w:val="22"/>
        </w:rPr>
        <w:t>Diversifikasi media dan metode sosialisasi VMTS melalui rapat, situs web, media sosial, dan handbook</w:t>
      </w:r>
    </w:p>
    <w:p>
      <w:pPr>
        <w:pStyle w:val="ListNumber"/>
        <w:spacing w:line="320" w:lineRule="exact" w:after="60"/>
      </w:pPr>
      <w:r>
        <w:rPr>
          <w:rFonts w:ascii="Calibri" w:hAnsi="Calibri"/>
          <w:color w:val="333333"/>
          <w:sz w:val="22"/>
        </w:rPr>
        <w:t>Melibatkan dosen secara aktif dalam evaluasi ketercapaian VMTS melalui mekanisme feedback</w:t>
      </w:r>
    </w:p>
    <w:p>
      <w:pPr>
        <w:pStyle w:val="ListNumber"/>
        <w:spacing w:line="320" w:lineRule="exact" w:after="60"/>
      </w:pPr>
      <w:r>
        <w:rPr>
          <w:rFonts w:ascii="Calibri" w:hAnsi="Calibri"/>
          <w:color w:val="333333"/>
          <w:sz w:val="22"/>
        </w:rPr>
        <w:t>Mengundang DUDI dalam review VMTS untuk memastikan relevansi dengan kebutuhan dunia kerja</w:t>
      </w:r>
    </w:p>
    <w:p>
      <w:pPr>
        <w:pStyle w:val="ListNumber"/>
        <w:spacing w:line="320" w:lineRule="exact" w:after="60"/>
      </w:pPr>
      <w:r>
        <w:rPr>
          <w:rFonts w:ascii="Calibri" w:hAnsi="Calibri"/>
          <w:color w:val="333333"/>
          <w:sz w:val="22"/>
        </w:rPr>
        <w:t>Menyelenggarakan workshop penyusunan RIP, Renstra, dan Renop bagi pimpinan unit kerja</w:t>
      </w:r>
    </w:p>
    <w:p>
      <w:pPr>
        <w:pStyle w:val="ListNumber"/>
        <w:spacing w:line="320" w:lineRule="exact" w:after="60"/>
      </w:pPr>
      <w:r>
        <w:rPr>
          <w:rFonts w:ascii="Calibri" w:hAnsi="Calibri"/>
          <w:color w:val="333333"/>
          <w:sz w:val="22"/>
        </w:rPr>
        <w:t>Melakukan review VMTS setiap 5 tahun untuk memastikan relevansi dengan dinamika eksternal</w:t>
      </w:r>
    </w:p>
    <w:p>
      <w:pPr>
        <w:pStyle w:val="ListNumber"/>
        <w:spacing w:line="320" w:lineRule="exact" w:after="60"/>
      </w:pPr>
      <w:r>
        <w:rPr>
          <w:rFonts w:ascii="Calibri" w:hAnsi="Calibri"/>
          <w:color w:val="333333"/>
          <w:sz w:val="22"/>
        </w:rPr>
        <w:t>Mengembangkan dashboard monitoring ketercapaian VMTS dengan indikator yang terukur</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4</w:t>
        <w:br/>
        <w:t>KRITERIA 2: TATA PAMONG, TATA KELOLA, DAN KERJA SAMA</w:t>
      </w:r>
    </w:p>
    <w:p>
      <w:pPr>
        <w:pStyle w:val="Heading2"/>
        <w:keepNext/>
        <w:keepLines/>
        <w:spacing w:before="360" w:after="160"/>
      </w:pPr>
      <w:r>
        <w:rPr>
          <w:rFonts w:ascii="Calibri" w:hAnsi="Calibri"/>
          <w:b/>
          <w:color w:val="1A2B5C"/>
          <w:sz w:val="28"/>
        </w:rPr>
        <w:t>4.1 Deskripsi Kriteria</w:t>
      </w:r>
    </w:p>
    <w:p>
      <w:pPr>
        <w:spacing w:line="360" w:lineRule="exact" w:after="120"/>
        <w:ind w:firstLine="567"/>
        <w:jc w:val="both"/>
      </w:pPr>
      <w:r>
        <w:rPr>
          <w:rFonts w:ascii="Calibri" w:hAnsi="Calibri"/>
          <w:color w:val="333333"/>
          <w:sz w:val="22"/>
        </w:rPr>
        <w:t>Kriteria 2 mengevaluasi struktur tata pamong, sistem pengelolaan, sistem penjaminan mutu, dan kerja sama di Universitas Tulungagung. Sesuai Pasal 67 ayat (2) Permen 39 Tahun 2025, Universitas Tulungagung menerapkan tata kelola perguruan tinggi yang baik berdasarkan prinsip akuntabilitas, transparansi, nirlaba, efektivitas, efisiensi, dan peningkatan mutu berkelanjutan, yang saling menilik dan mengimbangi satu terhadap yang lain.</w:t>
      </w:r>
    </w:p>
    <w:p>
      <w:pPr>
        <w:spacing w:line="360" w:lineRule="exact" w:after="120"/>
        <w:ind w:firstLine="567"/>
        <w:jc w:val="both"/>
      </w:pPr>
      <w:r>
        <w:rPr>
          <w:rFonts w:ascii="Calibri" w:hAnsi="Calibri"/>
          <w:color w:val="333333"/>
          <w:sz w:val="22"/>
        </w:rPr>
        <w:t>Tata pamong Universitas Tulungagung mencakup struktur organisasi (Rektorat, Fakultas, Lembaga, Biro, UPT), mekanisme pengambilan keputusan (Senat, Rapat Pimpinan, Rapat Unit), sistem pengelolaan (perencanaan, pelaksanaan, monitoring, evaluasi), dan sistem penjaminan mutu (SPMI, AMI, RTM). Setiap elemen tata pamong memiliki tugas, wewenang, dan tanggung jawab yang jelas, dan diatur dalam Statuta dan SOTK.</w:t>
      </w:r>
    </w:p>
    <w:p>
      <w:pPr>
        <w:spacing w:line="360" w:lineRule="exact" w:after="120"/>
        <w:ind w:firstLine="567"/>
        <w:jc w:val="both"/>
      </w:pPr>
      <w:r>
        <w:rPr>
          <w:rFonts w:ascii="Calibri" w:hAnsi="Calibri"/>
          <w:color w:val="333333"/>
          <w:sz w:val="22"/>
        </w:rPr>
        <w:t>Universitas Tulungagung juga memiliki mekanisme pengawasan oleh Senat dan Satuan Pengawas Internal (SPI), sebagai bagian dari check-and-balance dalam tata kelola. Senat melakukan pengawasan terhadap kebijakan akademik, sedangkan SPI melakukan audit terhadap pengelolaan keuangan dan operasional. Hasil pengawasan menjadi basis bagi perbaikan berkelanjutan, dan dilaporkan dalam RTM tahunan.</w:t>
      </w:r>
    </w:p>
    <w:p>
      <w:pPr>
        <w:spacing w:line="360" w:lineRule="exact" w:after="120"/>
        <w:ind w:firstLine="567"/>
        <w:jc w:val="both"/>
      </w:pPr>
      <w:r>
        <w:rPr>
          <w:rFonts w:ascii="Calibri" w:hAnsi="Calibri"/>
          <w:color w:val="333333"/>
          <w:sz w:val="22"/>
        </w:rPr>
        <w:t>Dalam hal kerja sama, Universitas Tulungagung aktif mengembangkan kerja sama dengan perguruan tinggi lain, DUDI, pemerintah daerah, dan lembaga internasional. Kerja sama mencakup bidang akademik (joint degree, exchange, visiting), penelitian (joint research, hibah bersama), PkM (joint PkM, program bersama), dan kerja sama DUDI (magang, MBKM, penelitian terapan).</w:t>
      </w:r>
    </w:p>
    <w:p>
      <w:pPr>
        <w:pStyle w:val="Heading2"/>
        <w:keepNext/>
        <w:keepLines/>
        <w:spacing w:before="360" w:after="160"/>
      </w:pPr>
      <w:r>
        <w:rPr>
          <w:rFonts w:ascii="Calibri" w:hAnsi="Calibri"/>
          <w:b/>
          <w:color w:val="1A2B5C"/>
          <w:sz w:val="28"/>
        </w:rPr>
        <w:t>4.2 Analisis dan Evaluasi</w:t>
      </w:r>
    </w:p>
    <w:p>
      <w:pPr>
        <w:spacing w:line="360" w:lineRule="exact" w:after="120"/>
        <w:ind w:firstLine="567"/>
        <w:jc w:val="both"/>
      </w:pPr>
      <w:r>
        <w:rPr>
          <w:rFonts w:ascii="Calibri" w:hAnsi="Calibri"/>
          <w:color w:val="333333"/>
          <w:sz w:val="22"/>
        </w:rPr>
        <w:t>Berdasarkan hasil AMI TPTK 2024/2025, rata-rata skor keseluruhan adalah 3,59 (skala Likert 1-4) dengan kategori Sangat Baik. Skor ini menunjukkan bahwa tata pamong dan tata kelola Universitas Tulungagung berjalan dengan baik. Dari 15 indikator yang dievaluasi, 12 indikator berstatus Tercapai dan 3 indikator berstatus Belum Tercapai.</w:t>
      </w:r>
    </w:p>
    <w:p>
      <w:pPr>
        <w:spacing w:line="360" w:lineRule="exact" w:after="120"/>
        <w:ind w:firstLine="567"/>
        <w:jc w:val="both"/>
      </w:pPr>
      <w:r>
        <w:rPr>
          <w:rFonts w:ascii="Calibri" w:hAnsi="Calibri"/>
          <w:color w:val="333333"/>
          <w:sz w:val="22"/>
        </w:rPr>
        <w:t>Indikator yang belum tercapai mencakup: keterlibatan dosen dalam penyusunan dan evaluasi kebijakan (skor 3,48), tata kelola yang mendukung pelaksanaan Tridharma (skor 3,48), serta keterbukaan pimpinan terhadap masukan dosen (skor 3,49). Ketiga indikator ini berada di bawah target 3,50 dan menjadi prioritas perbaikan.</w:t>
      </w:r>
    </w:p>
    <w:p>
      <w:pPr>
        <w:spacing w:line="360" w:lineRule="exact" w:after="120"/>
        <w:ind w:firstLine="567"/>
        <w:jc w:val="both"/>
      </w:pPr>
      <w:r>
        <w:rPr>
          <w:rFonts w:ascii="Calibri" w:hAnsi="Calibri"/>
          <w:color w:val="333333"/>
          <w:sz w:val="22"/>
        </w:rPr>
        <w:t>Untuk kerja sama, berdasarkan data AMI MBKM, jumlah kerja sama dengan mitra luar kampus mencapai skor 92,40 (Sangat Baik). Universitas Tulungagung telah memiliki MoU dengan berbagai perguruan tinggi dan DUDI, dengan implementasi yang terus ditingkatkan. Saat ini terdapat sekitar 40 MoU aktif dan 60 MoA aktif, dengan 10 kerja sama internasional.</w:t>
      </w:r>
    </w:p>
    <w:p>
      <w:pPr>
        <w:pStyle w:val="Heading2"/>
        <w:keepNext/>
        <w:keepLines/>
        <w:spacing w:before="360" w:after="160"/>
      </w:pPr>
      <w:r>
        <w:rPr>
          <w:rFonts w:ascii="Calibri" w:hAnsi="Calibri"/>
          <w:b/>
          <w:color w:val="1A2B5C"/>
          <w:sz w:val="28"/>
        </w:rPr>
        <w:t>4.3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Tata Pamong, Tata Kelola, dan Kerja Sama</w:t>
            </w:r>
          </w:p>
          <w:p>
            <w:pPr>
              <w:spacing w:line="280" w:lineRule="exact"/>
              <w:jc w:val="both"/>
            </w:pPr>
            <w:r>
              <w:rPr>
                <w:rFonts w:ascii="Calibri" w:hAnsi="Calibri"/>
                <w:color w:val="333333"/>
                <w:sz w:val="20"/>
              </w:rPr>
              <w:t>Rata-rata Skor: 3,59/4 (Sangat Baik)</w:t>
              <w:br/>
              <w:t>Status: 12 Tercapai, 3 Belum Tercapai</w:t>
              <w:br/>
              <w:t>Dokumen AMI: AMI TPTK 2024-2025 + AMI MBKM 2024-2025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4.1 Hasil Detail AMI Tata Pamong, Tata Kelola, dan Kerja Sama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Pemahaman struktur tata pamong dan tata kelola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3,58</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Kebijakan akademik disusun melalui mekanisme jelas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3,62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Dosen dilibatkan dalam penyusunan/evaluasi kebijakan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3,48</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Pimpinan memberikan arahan yang jelas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3,60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Pengambilan keputusan akademik objektif/transparan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3,57</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Informasi kebijakan akademik mudah diakses dosen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3,65</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Koordinasi pimpinan, fakultas, prodi berjalan baik</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Tata kelola mendukung pelaksanaan Tridharma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3,48</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Evaluasi pelaksanaan kebijakan akademik dilakukan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3,60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Hasil evaluasi ditindaklanjuti untuk perbaikan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3,52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Pimpinan bersikap terbuka terhadap masukan dosen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3,49</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Sistem tata kelola mendukung pencapaian VMTS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3,71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Pembagian tugas dan kewenangan antarunit berjalan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3,55</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Tata kelola menerapkan prinsip transparansi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3,62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Tata pamong universitas berjalan efektif</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3,66</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3,50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4.4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Tata pamong berjalan efektif dengan skor 3,66 (Sangat Baik)</w:t>
      </w:r>
    </w:p>
    <w:p>
      <w:pPr>
        <w:pStyle w:val="ListBullet"/>
        <w:spacing w:line="320" w:lineRule="exact" w:after="60"/>
      </w:pPr>
      <w:r>
        <w:rPr>
          <w:rFonts w:ascii="Calibri" w:hAnsi="Calibri"/>
          <w:color w:val="333333"/>
          <w:sz w:val="22"/>
        </w:rPr>
        <w:t>Sistem tata kelola mendukung pencapaian VMTS (skor 3,71)</w:t>
      </w:r>
    </w:p>
    <w:p>
      <w:pPr>
        <w:pStyle w:val="ListBullet"/>
        <w:spacing w:line="320" w:lineRule="exact" w:after="60"/>
      </w:pPr>
      <w:r>
        <w:rPr>
          <w:rFonts w:ascii="Calibri" w:hAnsi="Calibri"/>
          <w:color w:val="333333"/>
          <w:sz w:val="22"/>
        </w:rPr>
        <w:t>Informasi kebijakan akademik mudah diakses oleh dosen (skor 3,65)</w:t>
      </w:r>
    </w:p>
    <w:p>
      <w:pPr>
        <w:pStyle w:val="ListBullet"/>
        <w:spacing w:line="320" w:lineRule="exact" w:after="60"/>
      </w:pPr>
      <w:r>
        <w:rPr>
          <w:rFonts w:ascii="Calibri" w:hAnsi="Calibri"/>
          <w:color w:val="333333"/>
          <w:sz w:val="22"/>
        </w:rPr>
        <w:t>Pengambilan keputusan akademik objektif dan transparan (skor 3,57)</w:t>
      </w:r>
    </w:p>
    <w:p>
      <w:pPr>
        <w:pStyle w:val="ListBullet"/>
        <w:spacing w:line="320" w:lineRule="exact" w:after="60"/>
      </w:pPr>
      <w:r>
        <w:rPr>
          <w:rFonts w:ascii="Calibri" w:hAnsi="Calibri"/>
          <w:color w:val="333333"/>
          <w:sz w:val="22"/>
        </w:rPr>
        <w:t>Pimpinan memberikan arahan yang jelas (skor 3,60)</w:t>
      </w:r>
    </w:p>
    <w:p>
      <w:pPr>
        <w:pStyle w:val="ListBullet"/>
        <w:spacing w:line="320" w:lineRule="exact" w:after="60"/>
      </w:pPr>
      <w:r>
        <w:rPr>
          <w:rFonts w:ascii="Calibri" w:hAnsi="Calibri"/>
          <w:color w:val="333333"/>
          <w:sz w:val="22"/>
        </w:rPr>
        <w:t>Senat dan SPI aktif dalam pengawasan tata kelola</w:t>
      </w:r>
    </w:p>
    <w:p>
      <w:pPr>
        <w:pStyle w:val="ListBullet"/>
        <w:spacing w:line="320" w:lineRule="exact" w:after="60"/>
      </w:pPr>
      <w:r>
        <w:rPr>
          <w:rFonts w:ascii="Calibri" w:hAnsi="Calibri"/>
          <w:color w:val="333333"/>
          <w:sz w:val="22"/>
        </w:rPr>
        <w:t>40 MoU aktif dan 60 MoA aktif dengan berbagai mitra</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Keterlibatan dosen dalam penyusunan/evaluasi kebijakan masih kurang (skor 3,48)</w:t>
      </w:r>
    </w:p>
    <w:p>
      <w:pPr>
        <w:pStyle w:val="ListBullet"/>
        <w:spacing w:line="320" w:lineRule="exact" w:after="60"/>
      </w:pPr>
      <w:r>
        <w:rPr>
          <w:rFonts w:ascii="Calibri" w:hAnsi="Calibri"/>
          <w:color w:val="333333"/>
          <w:sz w:val="22"/>
        </w:rPr>
        <w:t>Tata kelola belum sepenuhnya mendukung pelaksanaan Tridharma (skor 3,48)</w:t>
      </w:r>
    </w:p>
    <w:p>
      <w:pPr>
        <w:pStyle w:val="ListBullet"/>
        <w:spacing w:line="320" w:lineRule="exact" w:after="60"/>
      </w:pPr>
      <w:r>
        <w:rPr>
          <w:rFonts w:ascii="Calibri" w:hAnsi="Calibri"/>
          <w:color w:val="333333"/>
          <w:sz w:val="22"/>
        </w:rPr>
        <w:t>Pimpinan belum sepenuhnya terbuka terhadap masukan dosen (skor 3,49)</w:t>
      </w:r>
    </w:p>
    <w:p>
      <w:pPr>
        <w:pStyle w:val="ListBullet"/>
        <w:spacing w:line="320" w:lineRule="exact" w:after="60"/>
      </w:pPr>
      <w:r>
        <w:rPr>
          <w:rFonts w:ascii="Calibri" w:hAnsi="Calibri"/>
          <w:color w:val="333333"/>
          <w:sz w:val="22"/>
        </w:rPr>
        <w:t>Implementasi kerja sama perlu peningkatan (hanya 60% yang terimplementasi)</w:t>
      </w:r>
    </w:p>
    <w:p>
      <w:pPr>
        <w:pStyle w:val="ListBullet"/>
        <w:spacing w:line="320" w:lineRule="exact" w:after="60"/>
      </w:pPr>
      <w:r>
        <w:rPr>
          <w:rFonts w:ascii="Calibri" w:hAnsi="Calibri"/>
          <w:color w:val="333333"/>
          <w:sz w:val="22"/>
        </w:rPr>
        <w:t>Belum ada AMI khusus untuk Kerjasama</w:t>
      </w:r>
    </w:p>
    <w:p>
      <w:pPr>
        <w:pStyle w:val="Heading2"/>
        <w:keepNext/>
        <w:keepLines/>
        <w:spacing w:before="360" w:after="160"/>
      </w:pPr>
      <w:r>
        <w:rPr>
          <w:rFonts w:ascii="Calibri" w:hAnsi="Calibri"/>
          <w:b/>
          <w:color w:val="1A2B5C"/>
          <w:sz w:val="28"/>
        </w:rPr>
        <w:t>4.5 Rekomendasi</w:t>
      </w:r>
    </w:p>
    <w:p>
      <w:pPr>
        <w:pStyle w:val="ListNumber"/>
        <w:spacing w:line="320" w:lineRule="exact" w:after="60"/>
      </w:pPr>
      <w:r>
        <w:rPr>
          <w:rFonts w:ascii="Calibri" w:hAnsi="Calibri"/>
          <w:color w:val="333333"/>
          <w:sz w:val="22"/>
        </w:rPr>
        <w:t>Meningkatkan keterlibatan dosen dalam penyusunan dan evaluasi kebijakan akademik</w:t>
      </w:r>
    </w:p>
    <w:p>
      <w:pPr>
        <w:pStyle w:val="ListNumber"/>
        <w:spacing w:line="320" w:lineRule="exact" w:after="60"/>
      </w:pPr>
      <w:r>
        <w:rPr>
          <w:rFonts w:ascii="Calibri" w:hAnsi="Calibri"/>
          <w:color w:val="333333"/>
          <w:sz w:val="22"/>
        </w:rPr>
        <w:t>Memperkuat tata kelola untuk mendukung pelaksanaan Tridharma secara optimal</w:t>
      </w:r>
    </w:p>
    <w:p>
      <w:pPr>
        <w:pStyle w:val="ListNumber"/>
        <w:spacing w:line="320" w:lineRule="exact" w:after="60"/>
      </w:pPr>
      <w:r>
        <w:rPr>
          <w:rFonts w:ascii="Calibri" w:hAnsi="Calibri"/>
          <w:color w:val="333333"/>
          <w:sz w:val="22"/>
        </w:rPr>
        <w:t>Mendorong pimpinan untuk lebih terbuka terhadap masukan dari dosen</w:t>
      </w:r>
    </w:p>
    <w:p>
      <w:pPr>
        <w:pStyle w:val="ListNumber"/>
        <w:spacing w:line="320" w:lineRule="exact" w:after="60"/>
      </w:pPr>
      <w:r>
        <w:rPr>
          <w:rFonts w:ascii="Calibri" w:hAnsi="Calibri"/>
          <w:color w:val="333333"/>
          <w:sz w:val="22"/>
        </w:rPr>
        <w:t>Menyelenggarakan AMI khusus untuk Kerjasama guna evaluasi yang lebih komprehensif</w:t>
      </w:r>
    </w:p>
    <w:p>
      <w:pPr>
        <w:pStyle w:val="ListNumber"/>
        <w:spacing w:line="320" w:lineRule="exact" w:after="60"/>
      </w:pPr>
      <w:r>
        <w:rPr>
          <w:rFonts w:ascii="Calibri" w:hAnsi="Calibri"/>
          <w:color w:val="333333"/>
          <w:sz w:val="22"/>
        </w:rPr>
        <w:t>Meningkatkan implementasi kerja sama dari 60% menjadi 75% pada tahun 2026</w:t>
      </w:r>
    </w:p>
    <w:p>
      <w:pPr>
        <w:pStyle w:val="ListNumber"/>
        <w:spacing w:line="320" w:lineRule="exact" w:after="60"/>
      </w:pPr>
      <w:r>
        <w:rPr>
          <w:rFonts w:ascii="Calibri" w:hAnsi="Calibri"/>
          <w:color w:val="333333"/>
          <w:sz w:val="22"/>
        </w:rPr>
        <w:t>Mengembangkan sistem informasi manajemen kerja sama yang terintegrasi</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5</w:t>
        <w:br/>
        <w:t>KRITERIA 3: MAHASISWA</w:t>
      </w:r>
    </w:p>
    <w:p>
      <w:pPr>
        <w:pStyle w:val="Heading2"/>
        <w:keepNext/>
        <w:keepLines/>
        <w:spacing w:before="360" w:after="160"/>
      </w:pPr>
      <w:r>
        <w:rPr>
          <w:rFonts w:ascii="Calibri" w:hAnsi="Calibri"/>
          <w:b/>
          <w:color w:val="1A2B5C"/>
          <w:sz w:val="28"/>
        </w:rPr>
        <w:t>5.1 Deskripsi Kriteria</w:t>
      </w:r>
    </w:p>
    <w:p>
      <w:pPr>
        <w:spacing w:line="360" w:lineRule="exact" w:after="120"/>
        <w:ind w:firstLine="567"/>
        <w:jc w:val="both"/>
      </w:pPr>
      <w:r>
        <w:rPr>
          <w:rFonts w:ascii="Calibri" w:hAnsi="Calibri"/>
          <w:color w:val="333333"/>
          <w:sz w:val="22"/>
        </w:rPr>
        <w:t>Kriteria 3 mengevaluasi pengelolaan mahasiswa di Universitas Tulungagung, mencakup penerimaan, pembinaan, pengembangan, dan layanan kemahasiswaan. Mahasiswa adalah pelanggan utama perguruan tinggi, sehingga pengelolaan mahasiswa yang baik menjadi prasyarat bagi tercapainya mutu pendidikan. Universitas Tulungagung memandang mahasiswa tidak hanya sebagai objek pendidikan, tetapi juga sebagai mitra dalam pengembangan akademik.</w:t>
      </w:r>
    </w:p>
    <w:p>
      <w:pPr>
        <w:spacing w:line="360" w:lineRule="exact" w:after="120"/>
        <w:ind w:firstLine="567"/>
        <w:jc w:val="both"/>
      </w:pPr>
      <w:r>
        <w:rPr>
          <w:rFonts w:ascii="Calibri" w:hAnsi="Calibri"/>
          <w:color w:val="333333"/>
          <w:sz w:val="22"/>
        </w:rPr>
        <w:t>Penerimaan mahasiswa di Universitas Tulungagung dilakukan melalui mekanisme yang transparan dan akuntabel, dengan jalur SNMPTN, SBMPTN, dan mandiri. Universitas Tulungagung memastikan akses pendidikan bagi mahasiswa dari berbagai latar belakang ekonomi, melalui program beasiswa yang beragam. Selain itu, Universitas Tulungagung juga menerima mahasiswa transfer dan mahasiswa internasional.</w:t>
      </w:r>
    </w:p>
    <w:p>
      <w:pPr>
        <w:spacing w:line="360" w:lineRule="exact" w:after="120"/>
        <w:ind w:firstLine="567"/>
        <w:jc w:val="both"/>
      </w:pPr>
      <w:r>
        <w:rPr>
          <w:rFonts w:ascii="Calibri" w:hAnsi="Calibri"/>
          <w:color w:val="333333"/>
          <w:sz w:val="22"/>
        </w:rPr>
        <w:t>Universitas Tulungagung mengembangkan organisasi kemahasiswaan yang aktif dan demokratis, sebagai sarana pengembangan kepemimpinan dan soft skills mahasiswa. Organisasi kemahasiswaan mencakup BEM, HIMA, UKM, dan organisasi lainnya, dengan pembinaan dari Wakil Rektor III dan staf. Universitas Tulungagung juga menyediakan layanan karir untuk mendukung kesiapan kerja lulusan, melalui pusat karir yang aktif.</w:t>
      </w:r>
    </w:p>
    <w:p>
      <w:pPr>
        <w:pStyle w:val="Heading2"/>
        <w:keepNext/>
        <w:keepLines/>
        <w:spacing w:before="360" w:after="160"/>
      </w:pPr>
      <w:r>
        <w:rPr>
          <w:rFonts w:ascii="Calibri" w:hAnsi="Calibri"/>
          <w:b/>
          <w:color w:val="1A2B5C"/>
          <w:sz w:val="28"/>
        </w:rPr>
        <w:t>5.2 Analisis dan Evaluasi</w:t>
      </w:r>
    </w:p>
    <w:p>
      <w:pPr>
        <w:spacing w:line="360" w:lineRule="exact" w:after="120"/>
        <w:ind w:firstLine="567"/>
        <w:jc w:val="both"/>
      </w:pPr>
      <w:r>
        <w:rPr>
          <w:rFonts w:ascii="Calibri" w:hAnsi="Calibri"/>
          <w:color w:val="333333"/>
          <w:sz w:val="22"/>
        </w:rPr>
        <w:t>Berdasarkan hasil AMI Mahasiswa 2024/2025, seluruh 14 indikator berstatus Tercapai. Angka Efisiensi Edukasi (AEE PT) mencapai 92,50% (target ≥90%), persentase lulusan bekerja/berwirausaha/melanjutkan studi mencapai 84,30% (target ≥80%), dan persentase mahasiswa berkegiatan organisasi mencapai 68,40% (target ≥60%).</w:t>
      </w:r>
    </w:p>
    <w:p>
      <w:pPr>
        <w:spacing w:line="360" w:lineRule="exact" w:after="120"/>
        <w:ind w:firstLine="567"/>
        <w:jc w:val="both"/>
      </w:pPr>
      <w:r>
        <w:rPr>
          <w:rFonts w:ascii="Calibri" w:hAnsi="Calibri"/>
          <w:color w:val="333333"/>
          <w:sz w:val="22"/>
        </w:rPr>
        <w:t>Program penguatan integritas akademik dan adaptasi mencapai 95,00%, pengukuran capaian standar kompetensi lulusan mencapai 91,80%, dan kontribusi mahasiswa dalam pencapaian SDGs mencapai 76,20%. Pengakuan dan apresiasi kompetensi lulusan oleh DUDI mencapai 82,40%, sementara perbaikan proses pembelajaran berdasarkan hasil AMI mencapai 94,50%.</w:t>
      </w:r>
    </w:p>
    <w:p>
      <w:pPr>
        <w:spacing w:line="360" w:lineRule="exact" w:after="120"/>
        <w:ind w:firstLine="567"/>
        <w:jc w:val="both"/>
      </w:pPr>
      <w:r>
        <w:rPr>
          <w:rFonts w:ascii="Calibri" w:hAnsi="Calibri"/>
          <w:color w:val="333333"/>
          <w:sz w:val="22"/>
        </w:rPr>
        <w:t>Hasil ini menunjukkan bahwa pengelolaan mahasiswa di Universitas Tulungagung berjalan dengan baik, dengan semua indikator tercapai. Namun, beberapa indikator seperti kontribusi mahasiswa dalam SDGs (76,20%) dan pengakuan DUDI (82,40%) masih dapat ditingkatkan untuk mencapai target yang lebih tinggi.</w:t>
      </w:r>
    </w:p>
    <w:p>
      <w:pPr>
        <w:pStyle w:val="Heading2"/>
        <w:keepNext/>
        <w:keepLines/>
        <w:spacing w:before="360" w:after="160"/>
      </w:pPr>
      <w:r>
        <w:rPr>
          <w:rFonts w:ascii="Calibri" w:hAnsi="Calibri"/>
          <w:b/>
          <w:color w:val="1A2B5C"/>
          <w:sz w:val="28"/>
        </w:rPr>
        <w:t>5.3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Mahasiswa</w:t>
            </w:r>
          </w:p>
          <w:p>
            <w:pPr>
              <w:spacing w:line="280" w:lineRule="exact"/>
              <w:jc w:val="both"/>
            </w:pPr>
            <w:r>
              <w:rPr>
                <w:rFonts w:ascii="Calibri" w:hAnsi="Calibri"/>
                <w:color w:val="333333"/>
                <w:sz w:val="20"/>
              </w:rPr>
              <w:t>Rata-rata Skor: 14/14 Tercapai (100%)</w:t>
              <w:br/>
              <w:t>Status: Semua indikator Tercapai</w:t>
              <w:br/>
              <w:t>Dokumen AMI: AMI Mahasiswa 2024-2025 (Kode: SPMI/PPM/MONEV/MHS/2025)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5.1 Hasil Detail AMI Mahasiswa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Angka Efisiensi Edukasi (AEE PT)</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92,50%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Lulusan bekerja/berwirausaha/melanjutkan studi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84,30%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80%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Mahasiswa berkegiatan/berorganisasi</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68,40%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60%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Kebijakan dan pedoman penerimaan mahasiswa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Sistem pengelolaan dan layanan kemahasiswaan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Layanan pembelajaran di luar program reguler</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Program penguatan integritas akademik</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Analisis prestasi mahasiswa, keterserapan lulusan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Pengukuran capaian standar kompetensi lulusan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91,80%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Implementasi Pendidikan Anti Korupsi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Program pencegahan dan penanganan kekerasan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Pengakuan dan apresiasi kompetensi lulusan DUDI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82,40%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80%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Perbaikan proses pembelajaran berdasarkan AMI</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94,50%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Kontribusi mahasiswa dalam pencapaian SDGs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76,20%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70%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5.4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Seluruh 14 indikator AMI Mahasiswa berstatus Tercapai</w:t>
      </w:r>
    </w:p>
    <w:p>
      <w:pPr>
        <w:pStyle w:val="ListBullet"/>
        <w:spacing w:line="320" w:lineRule="exact" w:after="60"/>
      </w:pPr>
      <w:r>
        <w:rPr>
          <w:rFonts w:ascii="Calibri" w:hAnsi="Calibri"/>
          <w:color w:val="333333"/>
          <w:sz w:val="22"/>
        </w:rPr>
        <w:t>AEE PT mencapai 92,50%, di atas target 90%</w:t>
      </w:r>
    </w:p>
    <w:p>
      <w:pPr>
        <w:pStyle w:val="ListBullet"/>
        <w:spacing w:line="320" w:lineRule="exact" w:after="60"/>
      </w:pPr>
      <w:r>
        <w:rPr>
          <w:rFonts w:ascii="Calibri" w:hAnsi="Calibri"/>
          <w:color w:val="333333"/>
          <w:sz w:val="22"/>
        </w:rPr>
        <w:t>84,30% lulusan bekerja/berwirausaha/melanjutkan studi</w:t>
      </w:r>
    </w:p>
    <w:p>
      <w:pPr>
        <w:pStyle w:val="ListBullet"/>
        <w:spacing w:line="320" w:lineRule="exact" w:after="60"/>
      </w:pPr>
      <w:r>
        <w:rPr>
          <w:rFonts w:ascii="Calibri" w:hAnsi="Calibri"/>
          <w:color w:val="333333"/>
          <w:sz w:val="22"/>
        </w:rPr>
        <w:t>Program penguatan integritas akademik mencapai 95%</w:t>
      </w:r>
    </w:p>
    <w:p>
      <w:pPr>
        <w:pStyle w:val="ListBullet"/>
        <w:spacing w:line="320" w:lineRule="exact" w:after="60"/>
      </w:pPr>
      <w:r>
        <w:rPr>
          <w:rFonts w:ascii="Calibri" w:hAnsi="Calibri"/>
          <w:color w:val="333333"/>
          <w:sz w:val="22"/>
        </w:rPr>
        <w:t>Implementasi Pendidikan Anti Korupsi 100%</w:t>
      </w:r>
    </w:p>
    <w:p>
      <w:pPr>
        <w:pStyle w:val="ListBullet"/>
        <w:spacing w:line="320" w:lineRule="exact" w:after="60"/>
      </w:pPr>
      <w:r>
        <w:rPr>
          <w:rFonts w:ascii="Calibri" w:hAnsi="Calibri"/>
          <w:color w:val="333333"/>
          <w:sz w:val="22"/>
        </w:rPr>
        <w:t>Sistem pengelolaan dan layanan kemahasiswaan tersedia 100%</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Kontribusi mahasiswa dalam SDGs masih 76,20%, perlu peningkatan</w:t>
      </w:r>
    </w:p>
    <w:p>
      <w:pPr>
        <w:pStyle w:val="ListBullet"/>
        <w:spacing w:line="320" w:lineRule="exact" w:after="60"/>
      </w:pPr>
      <w:r>
        <w:rPr>
          <w:rFonts w:ascii="Calibri" w:hAnsi="Calibri"/>
          <w:color w:val="333333"/>
          <w:sz w:val="22"/>
        </w:rPr>
        <w:t>Pengakuan kompetensi lulusan oleh DUDI masih 82,40%, perlu peningkatan</w:t>
      </w:r>
    </w:p>
    <w:p>
      <w:pPr>
        <w:pStyle w:val="ListBullet"/>
        <w:spacing w:line="320" w:lineRule="exact" w:after="60"/>
      </w:pPr>
      <w:r>
        <w:rPr>
          <w:rFonts w:ascii="Calibri" w:hAnsi="Calibri"/>
          <w:color w:val="333333"/>
          <w:sz w:val="22"/>
        </w:rPr>
        <w:t>Mahasiswa internasional masih terbatas</w:t>
      </w:r>
    </w:p>
    <w:p>
      <w:pPr>
        <w:pStyle w:val="ListBullet"/>
        <w:spacing w:line="320" w:lineRule="exact" w:after="60"/>
      </w:pPr>
      <w:r>
        <w:rPr>
          <w:rFonts w:ascii="Calibri" w:hAnsi="Calibri"/>
          <w:color w:val="333333"/>
          <w:sz w:val="22"/>
        </w:rPr>
        <w:t>Tracer study response rate masih perlu ditingkatkan</w:t>
      </w:r>
    </w:p>
    <w:p>
      <w:pPr>
        <w:pStyle w:val="Heading2"/>
        <w:keepNext/>
        <w:keepLines/>
        <w:spacing w:before="360" w:after="160"/>
      </w:pPr>
      <w:r>
        <w:rPr>
          <w:rFonts w:ascii="Calibri" w:hAnsi="Calibri"/>
          <w:b/>
          <w:color w:val="1A2B5C"/>
          <w:sz w:val="28"/>
        </w:rPr>
        <w:t>5.5 Rekomendasi</w:t>
      </w:r>
    </w:p>
    <w:p>
      <w:pPr>
        <w:pStyle w:val="ListNumber"/>
        <w:spacing w:line="320" w:lineRule="exact" w:after="60"/>
      </w:pPr>
      <w:r>
        <w:rPr>
          <w:rFonts w:ascii="Calibri" w:hAnsi="Calibri"/>
          <w:color w:val="333333"/>
          <w:sz w:val="22"/>
        </w:rPr>
        <w:t>Meningkatkan kontribusi mahasiswa dalam SDGs melalui program PkM terstruktur</w:t>
      </w:r>
    </w:p>
    <w:p>
      <w:pPr>
        <w:pStyle w:val="ListNumber"/>
        <w:spacing w:line="320" w:lineRule="exact" w:after="60"/>
      </w:pPr>
      <w:r>
        <w:rPr>
          <w:rFonts w:ascii="Calibri" w:hAnsi="Calibri"/>
          <w:color w:val="333333"/>
          <w:sz w:val="22"/>
        </w:rPr>
        <w:t>Memperkuat hubungan dengan DUDI untuk peningkatan apresiasi kompetensi lulusan</w:t>
      </w:r>
    </w:p>
    <w:p>
      <w:pPr>
        <w:pStyle w:val="ListNumber"/>
        <w:spacing w:line="320" w:lineRule="exact" w:after="60"/>
      </w:pPr>
      <w:r>
        <w:rPr>
          <w:rFonts w:ascii="Calibri" w:hAnsi="Calibri"/>
          <w:color w:val="333333"/>
          <w:sz w:val="22"/>
        </w:rPr>
        <w:t>Mengembangkan program mahasiswa internasional melalui kerja sama PT luar negeri</w:t>
      </w:r>
    </w:p>
    <w:p>
      <w:pPr>
        <w:pStyle w:val="ListNumber"/>
        <w:spacing w:line="320" w:lineRule="exact" w:after="60"/>
      </w:pPr>
      <w:r>
        <w:rPr>
          <w:rFonts w:ascii="Calibri" w:hAnsi="Calibri"/>
          <w:color w:val="333333"/>
          <w:sz w:val="22"/>
        </w:rPr>
        <w:t>Meningkatkan response rate tracer study melalui insentif dan follow-up</w:t>
      </w:r>
    </w:p>
    <w:p>
      <w:pPr>
        <w:pStyle w:val="ListNumber"/>
        <w:spacing w:line="320" w:lineRule="exact" w:after="60"/>
      </w:pPr>
      <w:r>
        <w:rPr>
          <w:rFonts w:ascii="Calibri" w:hAnsi="Calibri"/>
          <w:color w:val="333333"/>
          <w:sz w:val="22"/>
        </w:rPr>
        <w:t>Mengembangkan pusat karir yang lebih aktif dengan job fair berkala</w:t>
      </w:r>
    </w:p>
    <w:p>
      <w:pPr>
        <w:pStyle w:val="ListNumber"/>
        <w:spacing w:line="320" w:lineRule="exact" w:after="60"/>
      </w:pPr>
      <w:r>
        <w:rPr>
          <w:rFonts w:ascii="Calibri" w:hAnsi="Calibri"/>
          <w:color w:val="333333"/>
          <w:sz w:val="22"/>
        </w:rPr>
        <w:t>Menyediakan beasiswa untuk mahasiswa berprestasi dan kelompok rentan</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6</w:t>
        <w:br/>
        <w:t>KRITERIA 4: SUMBER DAYA MANUSIA</w:t>
      </w:r>
    </w:p>
    <w:p>
      <w:pPr>
        <w:pStyle w:val="Heading2"/>
        <w:keepNext/>
        <w:keepLines/>
        <w:spacing w:before="360" w:after="160"/>
      </w:pPr>
      <w:r>
        <w:rPr>
          <w:rFonts w:ascii="Calibri" w:hAnsi="Calibri"/>
          <w:b/>
          <w:color w:val="1A2B5C"/>
          <w:sz w:val="28"/>
        </w:rPr>
        <w:t>6.1 Deskripsi Kriteria</w:t>
      </w:r>
    </w:p>
    <w:p>
      <w:pPr>
        <w:spacing w:line="360" w:lineRule="exact" w:after="120"/>
        <w:ind w:firstLine="567"/>
        <w:jc w:val="both"/>
      </w:pPr>
      <w:r>
        <w:rPr>
          <w:rFonts w:ascii="Calibri" w:hAnsi="Calibri"/>
          <w:color w:val="333333"/>
          <w:sz w:val="22"/>
        </w:rPr>
        <w:t>Kriteria 4 mengevaluasi pengelolaan Sumber Daya Manusia (SDM) di Universitas Tulungagung, mencakup dosen dan tenaga kependidikan. SDM yang kompeten menjadi prasyarat bagi penyelenggaraan Tridharma yang bermutu. Pengelolaan SDM mencakup perencanaan, rekrutmen, pengembangan, penilaian, dan retensi. Universitas Tulungagung mengembangkan sistem manajemen SDM yang berbasis kinerja.</w:t>
      </w:r>
    </w:p>
    <w:p>
      <w:pPr>
        <w:spacing w:line="360" w:lineRule="exact" w:after="120"/>
        <w:ind w:firstLine="567"/>
        <w:jc w:val="both"/>
      </w:pPr>
      <w:r>
        <w:rPr>
          <w:rFonts w:ascii="Calibri" w:hAnsi="Calibri"/>
          <w:color w:val="333333"/>
          <w:sz w:val="22"/>
        </w:rPr>
        <w:t>Berdasarkan data terbaru Tahun 2025, Universitas Tulungagung memiliki total 93 orang SDM yang terdiri dari dosen dan tenaga kependidikan. Kualifikasi akademik minimal S2 bagi dosen telah mencapai 100%, sementara kualifikasi minimal D3 untuk tenaga kependidikan juga telah mencapai 100%. Sebanyak 78,40% dosen tetap memiliki jabatan fungsional minimal Lektor.</w:t>
      </w:r>
    </w:p>
    <w:p>
      <w:pPr>
        <w:spacing w:line="360" w:lineRule="exact" w:after="120"/>
        <w:ind w:firstLine="567"/>
        <w:jc w:val="both"/>
      </w:pPr>
      <w:r>
        <w:rPr>
          <w:rFonts w:ascii="Calibri" w:hAnsi="Calibri"/>
          <w:color w:val="333333"/>
          <w:sz w:val="22"/>
        </w:rPr>
        <w:t>Kepemilikan sertifikat pendidik telah mencapai 94,60% dari target 100%, sementara persentase dosen tidak tetap dengan sertifikat kompetensi berada pada kisaran 16,20% dari total dosen, yang masih di bawah batas maksimum 20%. Realisasi anggaran pengembangan SDM mencapai 88,70% dari total kebutuhan, berada dalam rentang target 85-95%.</w:t>
      </w:r>
    </w:p>
    <w:p>
      <w:pPr>
        <w:pStyle w:val="Heading2"/>
        <w:keepNext/>
        <w:keepLines/>
        <w:spacing w:before="360" w:after="160"/>
      </w:pPr>
      <w:r>
        <w:rPr>
          <w:rFonts w:ascii="Calibri" w:hAnsi="Calibri"/>
          <w:b/>
          <w:color w:val="1A2B5C"/>
          <w:sz w:val="28"/>
        </w:rPr>
        <w:t>6.2 Analisis dan Evaluasi</w:t>
      </w:r>
    </w:p>
    <w:p>
      <w:pPr>
        <w:spacing w:line="360" w:lineRule="exact" w:after="120"/>
        <w:ind w:firstLine="567"/>
        <w:jc w:val="both"/>
      </w:pPr>
      <w:r>
        <w:rPr>
          <w:rFonts w:ascii="Calibri" w:hAnsi="Calibri"/>
          <w:color w:val="333333"/>
          <w:sz w:val="22"/>
        </w:rPr>
        <w:t>Berdasarkan hasil AMI SDM 2024/2025, dari 18 indikator yang dievaluasi, 16 indikator berstatus Tercapai dan 2 indikator berstatus Belum Tercapai. Dua indikator yang belum tercapai adalah: persentase dosen tetap dengan jabatan fungsional minimal Lektor (52,40% dari target ≥75%) dan kepemilikan sertifikat pendidik oleh dosen (94,60% dari target 100%).</w:t>
      </w:r>
    </w:p>
    <w:p>
      <w:pPr>
        <w:spacing w:line="360" w:lineRule="exact" w:after="120"/>
        <w:ind w:firstLine="567"/>
        <w:jc w:val="both"/>
      </w:pPr>
      <w:r>
        <w:rPr>
          <w:rFonts w:ascii="Calibri" w:hAnsi="Calibri"/>
          <w:color w:val="333333"/>
          <w:sz w:val="22"/>
        </w:rPr>
        <w:t>Indikator yang tercapai mencakup: kualifikasi akademik minimal S2 bagi dosen (100%), kualifikasi minimal D3 untuk tendik (100%), keanggotaan tenaga perpustakaan profesional (100%), pelaksanaan uji kompetensi (100%), ketersediaan laporan monev kinerja dosen dan tendik (100%), ketersediaan dokumen DP3 (100%), ketersediaan dokumen Renstra/Renop SDM (100%), terpenuhinya biaya pengembangan SDM (88,70%), ketersediaan Pedoman Kesejahteraan (100%), pelaksanaan survei kepuasan (100%), efektivitas sistem rekrutmen (95,20%), dan ketersediaan struktur organisasi pengelolaan SDM (100%).</w:t>
      </w:r>
    </w:p>
    <w:p>
      <w:pPr>
        <w:spacing w:line="360" w:lineRule="exact" w:after="120"/>
        <w:ind w:firstLine="567"/>
        <w:jc w:val="both"/>
      </w:pPr>
      <w:r>
        <w:rPr>
          <w:rFonts w:ascii="Calibri" w:hAnsi="Calibri"/>
          <w:color w:val="333333"/>
          <w:sz w:val="22"/>
        </w:rPr>
        <w:t>Selain AMI SDM, hasil AMI Kesejahteraan 2024/2025 menunjukkan rata-rata capaian 96,32% (Sangat Baik) dari 25 indikator, yang seluruhnya berstatus Tercapai. Ini menunjukkan bahwa kesejahteraan SDM di Universitas Tulungagung berjalan dengan sangat baik, mencakup buku pedoman, SOP, hak karyawan, imbal jasa, asuransi, cuti, dana pensiun, dan program rekreasi.</w:t>
      </w:r>
    </w:p>
    <w:p>
      <w:pPr>
        <w:pStyle w:val="Heading2"/>
        <w:keepNext/>
        <w:keepLines/>
        <w:spacing w:before="360" w:after="160"/>
      </w:pPr>
      <w:r>
        <w:rPr>
          <w:rFonts w:ascii="Calibri" w:hAnsi="Calibri"/>
          <w:b/>
          <w:color w:val="1A2B5C"/>
          <w:sz w:val="28"/>
        </w:rPr>
        <w:t>6.3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Sumber Daya Manusia</w:t>
            </w:r>
          </w:p>
          <w:p>
            <w:pPr>
              <w:spacing w:line="280" w:lineRule="exact"/>
              <w:jc w:val="both"/>
            </w:pPr>
            <w:r>
              <w:rPr>
                <w:rFonts w:ascii="Calibri" w:hAnsi="Calibri"/>
                <w:color w:val="333333"/>
                <w:sz w:val="20"/>
              </w:rPr>
              <w:t>Rata-rata Skor: 16/18 Tercapai (88,9%) + Kesejahteraan 96,32%</w:t>
              <w:br/>
              <w:t>Status: 16 Tercapai, 2 Belum Tercapai</w:t>
              <w:br/>
              <w:t>Dokumen AMI: AMI SDM 2024-2025 + AMI Kesejahteraan 2024-2025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6.1 Hasil Detail AMI Sumber Daya Manusia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Kualifikasi akademik minimal S2 bagi dosen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tetap dengan jabatan fungsional minimal Lektor</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52,40%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75%</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Kepemilikan sertifikat pendidik dosen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94,60%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Belum</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tidak tetap dengan sertifikat kompetensi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16,20%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&lt; 20%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Kualifikasi akademik minimal D3 tendik</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Keanggotaan tenaga perpustakaan profesional</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Pelaksanaan uji kompetensi keahlian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Ketersediaan laporan monev kinerja dosen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Ketersediaan laporan monev kinerja tendik</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Ketersediaan dokumen Laporan DP3</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Ketersediaan dokumen Renstra/Renop SDM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Terpenuhinya biaya pengembangan SDM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88,70%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85-95%</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Ketersediaan Pedoman Kesejahteraan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Pelaksanaan survei kepuasan kesejahteraan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Penyempurnaan pedoman kesejahteraan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Efektivitas sistem rekrutmen SDM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Ketersediaan lembaga pengembangan SDM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Ketersediaan struktur organisasi SDM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6.4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16 dari 18 indikator AMI SDM berstatus Tercapai</w:t>
      </w:r>
    </w:p>
    <w:p>
      <w:pPr>
        <w:pStyle w:val="ListBullet"/>
        <w:spacing w:line="320" w:lineRule="exact" w:after="60"/>
      </w:pPr>
      <w:r>
        <w:rPr>
          <w:rFonts w:ascii="Calibri" w:hAnsi="Calibri"/>
          <w:color w:val="333333"/>
          <w:sz w:val="22"/>
        </w:rPr>
        <w:t>Kualifikasi akademik dosen (S2) dan tendik (D3) mencapai 100%</w:t>
      </w:r>
    </w:p>
    <w:p>
      <w:pPr>
        <w:pStyle w:val="ListBullet"/>
        <w:spacing w:line="320" w:lineRule="exact" w:after="60"/>
      </w:pPr>
      <w:r>
        <w:rPr>
          <w:rFonts w:ascii="Calibri" w:hAnsi="Calibri"/>
          <w:color w:val="333333"/>
          <w:sz w:val="22"/>
        </w:rPr>
        <w:t>AMI Kesejahteraan mencapai rata-rata 96,32% (Sangat Baik), semua tercapai</w:t>
      </w:r>
    </w:p>
    <w:p>
      <w:pPr>
        <w:pStyle w:val="ListBullet"/>
        <w:spacing w:line="320" w:lineRule="exact" w:after="60"/>
      </w:pPr>
      <w:r>
        <w:rPr>
          <w:rFonts w:ascii="Calibri" w:hAnsi="Calibri"/>
          <w:color w:val="333333"/>
          <w:sz w:val="22"/>
        </w:rPr>
        <w:t>Sistem rekrutmen efektif (95,20%)</w:t>
      </w:r>
    </w:p>
    <w:p>
      <w:pPr>
        <w:pStyle w:val="ListBullet"/>
        <w:spacing w:line="320" w:lineRule="exact" w:after="60"/>
      </w:pPr>
      <w:r>
        <w:rPr>
          <w:rFonts w:ascii="Calibri" w:hAnsi="Calibri"/>
          <w:color w:val="333333"/>
          <w:sz w:val="22"/>
        </w:rPr>
        <w:t>Ketersediaan dokumen monev, DP3, Renstra/Renop SDM mencapai 100%</w:t>
      </w:r>
    </w:p>
    <w:p>
      <w:pPr>
        <w:pStyle w:val="ListBullet"/>
        <w:spacing w:line="320" w:lineRule="exact" w:after="60"/>
      </w:pPr>
      <w:r>
        <w:rPr>
          <w:rFonts w:ascii="Calibri" w:hAnsi="Calibri"/>
          <w:color w:val="333333"/>
          <w:sz w:val="22"/>
        </w:rPr>
        <w:t>Realisasi anggaran pengembangan SDM 88,70% (dalam target 85-95%)</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Jabatan fungsional Lektor+ baru 52,40% (target ≥75%)</w:t>
      </w:r>
    </w:p>
    <w:p>
      <w:pPr>
        <w:pStyle w:val="ListBullet"/>
        <w:spacing w:line="320" w:lineRule="exact" w:after="60"/>
      </w:pPr>
      <w:r>
        <w:rPr>
          <w:rFonts w:ascii="Calibri" w:hAnsi="Calibri"/>
          <w:color w:val="333333"/>
          <w:sz w:val="22"/>
        </w:rPr>
        <w:t>Sertifikat pendidik dosen baru 94,60% (target 100%)</w:t>
      </w:r>
    </w:p>
    <w:p>
      <w:pPr>
        <w:pStyle w:val="ListBullet"/>
        <w:spacing w:line="320" w:lineRule="exact" w:after="60"/>
      </w:pPr>
      <w:r>
        <w:rPr>
          <w:rFonts w:ascii="Calibri" w:hAnsi="Calibri"/>
          <w:color w:val="333333"/>
          <w:sz w:val="22"/>
        </w:rPr>
        <w:t>Total SDM masih 93 orang, perlu peningkatan seiring pertumbuhan mahasiswa</w:t>
      </w:r>
    </w:p>
    <w:p>
      <w:pPr>
        <w:pStyle w:val="ListBullet"/>
        <w:spacing w:line="320" w:lineRule="exact" w:after="60"/>
      </w:pPr>
      <w:r>
        <w:rPr>
          <w:rFonts w:ascii="Calibri" w:hAnsi="Calibri"/>
          <w:color w:val="333333"/>
          <w:sz w:val="22"/>
        </w:rPr>
        <w:t>Program studi lanjut (S3) bagi dosen masih terbatas</w:t>
      </w:r>
    </w:p>
    <w:p>
      <w:pPr>
        <w:pStyle w:val="Heading2"/>
        <w:keepNext/>
        <w:keepLines/>
        <w:spacing w:before="360" w:after="160"/>
      </w:pPr>
      <w:r>
        <w:rPr>
          <w:rFonts w:ascii="Calibri" w:hAnsi="Calibri"/>
          <w:b/>
          <w:color w:val="1A2B5C"/>
          <w:sz w:val="28"/>
        </w:rPr>
        <w:t>6.5 Rekomendasi</w:t>
      </w:r>
    </w:p>
    <w:p>
      <w:pPr>
        <w:pStyle w:val="ListNumber"/>
        <w:spacing w:line="320" w:lineRule="exact" w:after="60"/>
      </w:pPr>
      <w:r>
        <w:rPr>
          <w:rFonts w:ascii="Calibri" w:hAnsi="Calibri"/>
          <w:color w:val="333333"/>
          <w:sz w:val="22"/>
        </w:rPr>
        <w:t>Mendorong dosen untuk promosi jabatan akademik ke Lektor dan Lektor Kepala</w:t>
      </w:r>
    </w:p>
    <w:p>
      <w:pPr>
        <w:pStyle w:val="ListNumber"/>
        <w:spacing w:line="320" w:lineRule="exact" w:after="60"/>
      </w:pPr>
      <w:r>
        <w:rPr>
          <w:rFonts w:ascii="Calibri" w:hAnsi="Calibri"/>
          <w:color w:val="333333"/>
          <w:sz w:val="22"/>
        </w:rPr>
        <w:t>Memfasilitasi dosen yang belum bersertifikat untuk mengikuti sertifikasi pendidik</w:t>
      </w:r>
    </w:p>
    <w:p>
      <w:pPr>
        <w:pStyle w:val="ListNumber"/>
        <w:spacing w:line="320" w:lineRule="exact" w:after="60"/>
      </w:pPr>
      <w:r>
        <w:rPr>
          <w:rFonts w:ascii="Calibri" w:hAnsi="Calibri"/>
          <w:color w:val="333333"/>
          <w:sz w:val="22"/>
        </w:rPr>
        <w:t>Menambah jumlah SDM melalui rekrutmen dosen dan tendik baru</w:t>
      </w:r>
    </w:p>
    <w:p>
      <w:pPr>
        <w:pStyle w:val="ListNumber"/>
        <w:spacing w:line="320" w:lineRule="exact" w:after="60"/>
      </w:pPr>
      <w:r>
        <w:rPr>
          <w:rFonts w:ascii="Calibri" w:hAnsi="Calibri"/>
          <w:color w:val="333333"/>
          <w:sz w:val="22"/>
        </w:rPr>
        <w:t>Menyediakan beasiswa studi lanjut S3 bagi dosen</w:t>
      </w:r>
    </w:p>
    <w:p>
      <w:pPr>
        <w:pStyle w:val="ListNumber"/>
        <w:spacing w:line="320" w:lineRule="exact" w:after="60"/>
      </w:pPr>
      <w:r>
        <w:rPr>
          <w:rFonts w:ascii="Calibri" w:hAnsi="Calibri"/>
          <w:color w:val="333333"/>
          <w:sz w:val="22"/>
        </w:rPr>
        <w:t>Meningkatkan program pelatihan kompetensi bagi dosen dan tendik</w:t>
      </w:r>
    </w:p>
    <w:p>
      <w:pPr>
        <w:pStyle w:val="ListNumber"/>
        <w:spacing w:line="320" w:lineRule="exact" w:after="60"/>
      </w:pPr>
      <w:r>
        <w:rPr>
          <w:rFonts w:ascii="Calibri" w:hAnsi="Calibri"/>
          <w:color w:val="333333"/>
          <w:sz w:val="22"/>
        </w:rPr>
        <w:t>Mengembangkan sistem informasi SDM yang terintegrasi dengan PD Dikti</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7</w:t>
        <w:br/>
        <w:t>KRITERIA 5: KEUANGAN, SARANA, DAN PRASARANA</w:t>
      </w:r>
    </w:p>
    <w:p>
      <w:pPr>
        <w:pStyle w:val="Heading2"/>
        <w:keepNext/>
        <w:keepLines/>
        <w:spacing w:before="360" w:after="160"/>
      </w:pPr>
      <w:r>
        <w:rPr>
          <w:rFonts w:ascii="Calibri" w:hAnsi="Calibri"/>
          <w:b/>
          <w:color w:val="1A2B5C"/>
          <w:sz w:val="28"/>
        </w:rPr>
        <w:t>7.1 Deskripsi Kriteria</w:t>
      </w:r>
    </w:p>
    <w:p>
      <w:pPr>
        <w:spacing w:line="360" w:lineRule="exact" w:after="120"/>
        <w:ind w:firstLine="567"/>
        <w:jc w:val="both"/>
      </w:pPr>
      <w:r>
        <w:rPr>
          <w:rFonts w:ascii="Calibri" w:hAnsi="Calibri"/>
          <w:color w:val="333333"/>
          <w:sz w:val="22"/>
        </w:rPr>
        <w:t>Kriteria 5 mengevaluasi pengelolaan keuangan, sarana, dan prasarana di Universitas Tulungagung secara terintegrasi. Pengelolaan yang baik dari ketiga aspek ini menjadi prasyarat bagi keberlanjutan institusi. Universitas Tulungagung menerapkan prinsip-prinsip tata kelola yang baik dalam pengelolaan keuangan, sarana, dan prasarana, dengan audit internal dan eksternal secara berkala.</w:t>
      </w:r>
    </w:p>
    <w:p>
      <w:pPr>
        <w:spacing w:line="360" w:lineRule="exact" w:after="120"/>
        <w:ind w:firstLine="567"/>
        <w:jc w:val="both"/>
      </w:pPr>
      <w:r>
        <w:rPr>
          <w:rFonts w:ascii="Calibri" w:hAnsi="Calibri"/>
          <w:color w:val="333333"/>
          <w:sz w:val="22"/>
        </w:rPr>
        <w:t>Pada Tahun Anggaran 2025, total pendapatan Universitas Tulungagung yang ditargetkan sesuai RENOP mencapai Rp28.400 juta, dengan komposisi pendapatan dari pemerintah sebesar Rp3.570 juta, pendapatan dari mahasiswa sebesar Rp10.405 juta, pendapatan kegiatan profesional sebesar Rp6.977 juta, dan pendapatan sumber lainnya sebesar Rp7.446 juta. Total belanja operasional pendidikan diproyeksikan sebesar Rp26.390 juta.</w:t>
      </w:r>
    </w:p>
    <w:p>
      <w:pPr>
        <w:spacing w:line="360" w:lineRule="exact" w:after="120"/>
        <w:ind w:firstLine="567"/>
        <w:jc w:val="both"/>
      </w:pPr>
      <w:r>
        <w:rPr>
          <w:rFonts w:ascii="Calibri" w:hAnsi="Calibri"/>
          <w:color w:val="333333"/>
          <w:sz w:val="22"/>
        </w:rPr>
        <w:t>Untuk sarana dan prasarana, berdasarkan hasil AMI 2024/2025, persentase sarana dalam kondisi baik/terawat mencapai 95,20% (dari 83% di tahun 2023), sementara prasarana mencapai 95,80% (dari 84%). Peningkatan signifikan ini menunjukkan komitmen Universitas Tulungagung dalam investasi sarana dan prasarana.</w:t>
      </w:r>
    </w:p>
    <w:p>
      <w:pPr>
        <w:pStyle w:val="Heading2"/>
        <w:keepNext/>
        <w:keepLines/>
        <w:spacing w:before="360" w:after="160"/>
      </w:pPr>
      <w:r>
        <w:rPr>
          <w:rFonts w:ascii="Calibri" w:hAnsi="Calibri"/>
          <w:b/>
          <w:color w:val="1A2B5C"/>
          <w:sz w:val="28"/>
        </w:rPr>
        <w:t>7.2 Analisis dan Evaluasi</w:t>
      </w:r>
    </w:p>
    <w:p>
      <w:pPr>
        <w:spacing w:line="360" w:lineRule="exact" w:after="120"/>
        <w:ind w:firstLine="567"/>
        <w:jc w:val="both"/>
      </w:pPr>
      <w:r>
        <w:rPr>
          <w:rFonts w:ascii="Calibri" w:hAnsi="Calibri"/>
          <w:color w:val="333333"/>
          <w:sz w:val="22"/>
        </w:rPr>
        <w:t>Berdasarkan hasil AMI Keuangan 2024/2025, seluruh 14 indikator berstatus Tercapai. Realisasi pendapatan terhadap target RENOP mencapai 95,20%, realisasi belanja operasional pendidikan 94,80%, belanja kemahasiswaan 95,60%, belanja penelitian 96,10%, dan belanja pengabdian 94,30%. Rasio pendapatan terhadap belanja mencapai 97,30% (target ≥95%).</w:t>
      </w:r>
    </w:p>
    <w:p>
      <w:pPr>
        <w:spacing w:line="360" w:lineRule="exact" w:after="120"/>
        <w:ind w:firstLine="567"/>
        <w:jc w:val="both"/>
      </w:pPr>
      <w:r>
        <w:rPr>
          <w:rFonts w:ascii="Calibri" w:hAnsi="Calibri"/>
          <w:color w:val="333333"/>
          <w:sz w:val="22"/>
        </w:rPr>
        <w:t>Untuk sarana dan prasarana, seluruh 14 indikator AMI berstatus Tercapai. Persentase sarana baik mencapai 95,20%, prasarana baik 95,80%, ruang kelas sesuai standar 94,50%, laboratorium sesuai standar 96,30%, ruang dosen sesuai standar 95,70%, perpustakaan 97,20%, fasilitas ICT 95,40%, dan fasilitas kemahasiswaan 94,80%.</w:t>
      </w:r>
    </w:p>
    <w:p>
      <w:pPr>
        <w:spacing w:line="360" w:lineRule="exact" w:after="120"/>
        <w:ind w:firstLine="567"/>
        <w:jc w:val="both"/>
      </w:pPr>
      <w:r>
        <w:rPr>
          <w:rFonts w:ascii="Calibri" w:hAnsi="Calibri"/>
          <w:color w:val="333333"/>
          <w:sz w:val="22"/>
        </w:rPr>
        <w:t>Hasil ini menunjukkan bahwa pengelolaan keuangan, sarana, dan prasarana di Universitas Tulungagung berjalan dengan sangat baik, dengan semua indikator tercapai. Peningkatan signifikan terjadi pada sarana dan prasarana dibandingkan tahun 2023, menunjukkan efektivitas investasi yang dilakukan.</w:t>
      </w:r>
    </w:p>
    <w:p>
      <w:pPr>
        <w:pStyle w:val="Heading2"/>
        <w:keepNext/>
        <w:keepLines/>
        <w:spacing w:before="360" w:after="160"/>
      </w:pPr>
      <w:r>
        <w:rPr>
          <w:rFonts w:ascii="Calibri" w:hAnsi="Calibri"/>
          <w:b/>
          <w:color w:val="1A2B5C"/>
          <w:sz w:val="28"/>
        </w:rPr>
        <w:t>7.3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Keuangan, Sarana, dan Prasarana</w:t>
            </w:r>
          </w:p>
          <w:p>
            <w:pPr>
              <w:spacing w:line="280" w:lineRule="exact"/>
              <w:jc w:val="both"/>
            </w:pPr>
            <w:r>
              <w:rPr>
                <w:rFonts w:ascii="Calibri" w:hAnsi="Calibri"/>
                <w:color w:val="333333"/>
                <w:sz w:val="20"/>
              </w:rPr>
              <w:t>Rata-rata Skor: 14/14 Keuangan + 14/14 Sarana (100% Tercapai)</w:t>
              <w:br/>
              <w:t>Status: Semua indikator Tercapai</w:t>
              <w:br/>
              <w:t>Dokumen AMI: AMI Keuangan 2024-2025 + AMI Sarana Prasarana 2024-2025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7.1 Hasil Detail AMI Keuangan, Sarana, dan Prasarana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Realisasi Pendapatan terhadap Target RENOP</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95,20%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Realisasi Belanja Operasional Pendidikan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94,80%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Realisasi Belanja Kemahasiswaan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95,60%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Realisasi Belanja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96,10%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Realisasi Belanja Pengabdian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94,30%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Realisasi Belanja Investasi SDM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95,70%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Realisasi Belanja Investasi Sarana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Realisasi Belanja Investasi Prasarana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94,90%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Rasio Pendapatan terhadap Belanja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97,30%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95%</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Sarana dalam kondisi baik/terawat</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Prasarana dalam kondisi baik/terawat</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Ruang kelas sesuai standar rasio</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94,50%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Laboratorium sesuai standar</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96,30%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Fasilitas ICT, internet, WiFi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95,40%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90%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7.4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Seluruh 14 indikator AMI Keuangan berstatus Tercapai</w:t>
      </w:r>
    </w:p>
    <w:p>
      <w:pPr>
        <w:pStyle w:val="ListBullet"/>
        <w:spacing w:line="320" w:lineRule="exact" w:after="60"/>
      </w:pPr>
      <w:r>
        <w:rPr>
          <w:rFonts w:ascii="Calibri" w:hAnsi="Calibri"/>
          <w:color w:val="333333"/>
          <w:sz w:val="22"/>
        </w:rPr>
        <w:t>Seluruh 14 indikator AMI Sarana Prasarana berstatus Tercapai</w:t>
      </w:r>
    </w:p>
    <w:p>
      <w:pPr>
        <w:pStyle w:val="ListBullet"/>
        <w:spacing w:line="320" w:lineRule="exact" w:after="60"/>
      </w:pPr>
      <w:r>
        <w:rPr>
          <w:rFonts w:ascii="Calibri" w:hAnsi="Calibri"/>
          <w:color w:val="333333"/>
          <w:sz w:val="22"/>
        </w:rPr>
        <w:t>Realisasi pendapatan 95,20% dari target RENOP</w:t>
      </w:r>
    </w:p>
    <w:p>
      <w:pPr>
        <w:pStyle w:val="ListBullet"/>
        <w:spacing w:line="320" w:lineRule="exact" w:after="60"/>
      </w:pPr>
      <w:r>
        <w:rPr>
          <w:rFonts w:ascii="Calibri" w:hAnsi="Calibri"/>
          <w:color w:val="333333"/>
          <w:sz w:val="22"/>
        </w:rPr>
        <w:t>Sarana baik meningkat dari 83% (2023) menjadi 95,20% (2025)</w:t>
      </w:r>
    </w:p>
    <w:p>
      <w:pPr>
        <w:pStyle w:val="ListBullet"/>
        <w:spacing w:line="320" w:lineRule="exact" w:after="60"/>
      </w:pPr>
      <w:r>
        <w:rPr>
          <w:rFonts w:ascii="Calibri" w:hAnsi="Calibri"/>
          <w:color w:val="333333"/>
          <w:sz w:val="22"/>
        </w:rPr>
        <w:t>Prasarana baik meningkat dari 84% (2023) menjadi 95,80% (2025)</w:t>
      </w:r>
    </w:p>
    <w:p>
      <w:pPr>
        <w:pStyle w:val="ListBullet"/>
        <w:spacing w:line="320" w:lineRule="exact" w:after="60"/>
      </w:pPr>
      <w:r>
        <w:rPr>
          <w:rFonts w:ascii="Calibri" w:hAnsi="Calibri"/>
          <w:color w:val="333333"/>
          <w:sz w:val="22"/>
        </w:rPr>
        <w:t>Rasio pendapatan terhadap belanja mencapai 97,30%</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Pendapatan dari sumber selain SPP masih perlu diversifikasi</w:t>
      </w:r>
    </w:p>
    <w:p>
      <w:pPr>
        <w:pStyle w:val="ListBullet"/>
        <w:spacing w:line="320" w:lineRule="exact" w:after="60"/>
      </w:pPr>
      <w:r>
        <w:rPr>
          <w:rFonts w:ascii="Calibri" w:hAnsi="Calibri"/>
          <w:color w:val="333333"/>
          <w:sz w:val="22"/>
        </w:rPr>
        <w:t>Beberapa sarana (scanner, stand LCD, diesel) perlu perbaikan</w:t>
      </w:r>
    </w:p>
    <w:p>
      <w:pPr>
        <w:pStyle w:val="ListBullet"/>
        <w:spacing w:line="320" w:lineRule="exact" w:after="60"/>
      </w:pPr>
      <w:r>
        <w:rPr>
          <w:rFonts w:ascii="Calibri" w:hAnsi="Calibri"/>
          <w:color w:val="333333"/>
          <w:sz w:val="22"/>
        </w:rPr>
        <w:t>Opini audit eksternal masih WDP, target WTP</w:t>
      </w:r>
    </w:p>
    <w:p>
      <w:pPr>
        <w:pStyle w:val="ListBullet"/>
        <w:spacing w:line="320" w:lineRule="exact" w:after="60"/>
      </w:pPr>
      <w:r>
        <w:rPr>
          <w:rFonts w:ascii="Calibri" w:hAnsi="Calibri"/>
          <w:color w:val="333333"/>
          <w:sz w:val="22"/>
        </w:rPr>
        <w:t>Smart campus components masih terbatas</w:t>
      </w:r>
    </w:p>
    <w:p>
      <w:pPr>
        <w:pStyle w:val="Heading2"/>
        <w:keepNext/>
        <w:keepLines/>
        <w:spacing w:before="360" w:after="160"/>
      </w:pPr>
      <w:r>
        <w:rPr>
          <w:rFonts w:ascii="Calibri" w:hAnsi="Calibri"/>
          <w:b/>
          <w:color w:val="1A2B5C"/>
          <w:sz w:val="28"/>
        </w:rPr>
        <w:t>7.5 Rekomendasi</w:t>
      </w:r>
    </w:p>
    <w:p>
      <w:pPr>
        <w:pStyle w:val="ListNumber"/>
        <w:spacing w:line="320" w:lineRule="exact" w:after="60"/>
      </w:pPr>
      <w:r>
        <w:rPr>
          <w:rFonts w:ascii="Calibri" w:hAnsi="Calibri"/>
          <w:color w:val="333333"/>
          <w:sz w:val="22"/>
        </w:rPr>
        <w:t>Meningkatkan diversifikasi sumber pendapatan melalui RGU dan kerja sama DUDI</w:t>
      </w:r>
    </w:p>
    <w:p>
      <w:pPr>
        <w:pStyle w:val="ListNumber"/>
        <w:spacing w:line="320" w:lineRule="exact" w:after="60"/>
      </w:pPr>
      <w:r>
        <w:rPr>
          <w:rFonts w:ascii="Calibri" w:hAnsi="Calibri"/>
          <w:color w:val="333333"/>
          <w:sz w:val="22"/>
        </w:rPr>
        <w:t>Memperbaiki sarana yang dalam kondisi kurang baik (scanner, LCD, diesel)</w:t>
      </w:r>
    </w:p>
    <w:p>
      <w:pPr>
        <w:pStyle w:val="ListNumber"/>
        <w:spacing w:line="320" w:lineRule="exact" w:after="60"/>
      </w:pPr>
      <w:r>
        <w:rPr>
          <w:rFonts w:ascii="Calibri" w:hAnsi="Calibri"/>
          <w:color w:val="333333"/>
          <w:sz w:val="22"/>
        </w:rPr>
        <w:t>Meningkatkan tata kelola keuangan untuk mencapai opini WTP</w:t>
      </w:r>
    </w:p>
    <w:p>
      <w:pPr>
        <w:pStyle w:val="ListNumber"/>
        <w:spacing w:line="320" w:lineRule="exact" w:after="60"/>
      </w:pPr>
      <w:r>
        <w:rPr>
          <w:rFonts w:ascii="Calibri" w:hAnsi="Calibri"/>
          <w:color w:val="333333"/>
          <w:sz w:val="22"/>
        </w:rPr>
        <w:t>Mengembangkan smart campus dengan WiFi campus-wide dan smart classroom</w:t>
      </w:r>
    </w:p>
    <w:p>
      <w:pPr>
        <w:pStyle w:val="ListNumber"/>
        <w:spacing w:line="320" w:lineRule="exact" w:after="60"/>
      </w:pPr>
      <w:r>
        <w:rPr>
          <w:rFonts w:ascii="Calibri" w:hAnsi="Calibri"/>
          <w:color w:val="333333"/>
          <w:sz w:val="22"/>
        </w:rPr>
        <w:t>Menginvestasikan dana untuk pemeliharaan sarana-prasarana secara berkala</w:t>
      </w:r>
    </w:p>
    <w:p>
      <w:pPr>
        <w:pStyle w:val="ListNumber"/>
        <w:spacing w:line="320" w:lineRule="exact" w:after="60"/>
      </w:pPr>
      <w:r>
        <w:rPr>
          <w:rFonts w:ascii="Calibri" w:hAnsi="Calibri"/>
          <w:color w:val="333333"/>
          <w:sz w:val="22"/>
        </w:rPr>
        <w:t>Mengembangkan sistem inventarisasi berbasis IT untuk monitoring real-time</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8</w:t>
        <w:br/>
        <w:t>KRITERIA 6: PENDIDIKAN</w:t>
      </w:r>
    </w:p>
    <w:p>
      <w:pPr>
        <w:pStyle w:val="Heading2"/>
        <w:keepNext/>
        <w:keepLines/>
        <w:spacing w:before="360" w:after="160"/>
      </w:pPr>
      <w:r>
        <w:rPr>
          <w:rFonts w:ascii="Calibri" w:hAnsi="Calibri"/>
          <w:b/>
          <w:color w:val="1A2B5C"/>
          <w:sz w:val="28"/>
        </w:rPr>
        <w:t>8.1 Deskripsi Kriteria</w:t>
      </w:r>
    </w:p>
    <w:p>
      <w:pPr>
        <w:spacing w:line="360" w:lineRule="exact" w:after="120"/>
        <w:ind w:firstLine="567"/>
        <w:jc w:val="both"/>
      </w:pPr>
      <w:r>
        <w:rPr>
          <w:rFonts w:ascii="Calibri" w:hAnsi="Calibri"/>
          <w:color w:val="333333"/>
          <w:sz w:val="22"/>
        </w:rPr>
        <w:t>Kriteria 6 mengevaluasi penyelenggaraan pendidikan di Universitas Tulungagung, mencakup Standar Kompetensi Lulusan, Standar Proses Pembelajaran, Standar Penilaian, Standar Pengelolaan, Standar Isi, Standar Dosen dan Tenaga Kependidikan, Standar Sarana dan Prasarana, serta Standar Pembiayaan. Kriteria ini merupakan kriteria dengan evaluasi paling komprehensif, mencakup 19 indikator dari AMI Pendidikan dan 20 indikator dari AMI Proses Pembelajaran.</w:t>
      </w:r>
    </w:p>
    <w:p>
      <w:pPr>
        <w:spacing w:line="360" w:lineRule="exact" w:after="120"/>
        <w:ind w:firstLine="567"/>
        <w:jc w:val="both"/>
      </w:pPr>
      <w:r>
        <w:rPr>
          <w:rFonts w:ascii="Calibri" w:hAnsi="Calibri"/>
          <w:color w:val="333333"/>
          <w:sz w:val="22"/>
        </w:rPr>
        <w:t>Berdasarkan hasil AMI Pendidikan 2024/2025, terdapat peningkatan signifikan dibandingkan periode AMI 2023. Beberapa capaian yang telah ditingkatkan meliputi: tingkat penyerapan kerja lulusan dari 80% menjadi 86,50%, peningkatan persentase lulusan wirausahawan dari 15% menjadi 18,20%, perbaikan rata-rata IPK dari 3,42 menjadi 3,48, percepatan masa studi, dan peningkatan rasio dosen pembimbing tugas akhir dari 12:1 menjadi 8:1.</w:t>
      </w:r>
    </w:p>
    <w:p>
      <w:pPr>
        <w:spacing w:line="360" w:lineRule="exact" w:after="120"/>
        <w:ind w:firstLine="567"/>
        <w:jc w:val="both"/>
      </w:pPr>
      <w:r>
        <w:rPr>
          <w:rFonts w:ascii="Calibri" w:hAnsi="Calibri"/>
          <w:color w:val="333333"/>
          <w:sz w:val="22"/>
        </w:rPr>
        <w:t>Untuk proses pembelajaran, hasil AMI menunjukkan tren peningkatan skor rata-rata dari 3,43 (Gasal 2023-2) menjadi 3,49 (Gasal 2024-1) menjadi 3,59 (Genap 2024-2), dengan seluruh fakultas (FE, FH, FISIP, FP, FT, F.KES) menunjukkan peningkatan performa yang substansial. Peningkatan ini merupakan hasil konsisten dari implementasi Rencana Tindak Lanjut (RTL) periode sebelumnya.</w:t>
      </w:r>
    </w:p>
    <w:p>
      <w:pPr>
        <w:pStyle w:val="Heading2"/>
        <w:keepNext/>
        <w:keepLines/>
        <w:spacing w:before="360" w:after="160"/>
      </w:pPr>
      <w:r>
        <w:rPr>
          <w:rFonts w:ascii="Calibri" w:hAnsi="Calibri"/>
          <w:b/>
          <w:color w:val="1A2B5C"/>
          <w:sz w:val="28"/>
        </w:rPr>
        <w:t>8.2 Analisis dan Evaluasi</w:t>
      </w:r>
    </w:p>
    <w:p>
      <w:pPr>
        <w:spacing w:line="360" w:lineRule="exact" w:after="120"/>
        <w:ind w:firstLine="567"/>
        <w:jc w:val="both"/>
      </w:pPr>
      <w:r>
        <w:rPr>
          <w:rFonts w:ascii="Calibri" w:hAnsi="Calibri"/>
          <w:color w:val="333333"/>
          <w:sz w:val="22"/>
        </w:rPr>
        <w:t>Berdasarkan hasil AMI Pendidikan 2024/2025, seluruh 19 indikator berstatus Tercapai. Capaian utama meliputi: persentase lulusan terserap di dunia kerja 86,50% (target ≥70%), persentase lulusan wirausahawan 18,20% (target ≥10%), rata-rata IPK lulusan 3,48 (target ≥3,00), rata-rata masa studi 3,8 tahun (target ≤4,5 tahun), dan rata-rata masa tunggu kerja 3,2 bulan (target ≤6 bulan).</w:t>
      </w:r>
    </w:p>
    <w:p>
      <w:pPr>
        <w:spacing w:line="360" w:lineRule="exact" w:after="120"/>
        <w:ind w:firstLine="567"/>
        <w:jc w:val="both"/>
      </w:pPr>
      <w:r>
        <w:rPr>
          <w:rFonts w:ascii="Calibri" w:hAnsi="Calibri"/>
          <w:color w:val="333333"/>
          <w:sz w:val="22"/>
        </w:rPr>
        <w:t>Untuk standar isi, ketersediaan dan kelengkapan dokumen kurikulum mencapai 100%, frekuensi tinjauan kurikulum 2 kali/tahun, rasio mahasiswa per dosen pembimbing akademik 16:1 (target ≤20:1), dan rasio mahasiswa per dosen pembimbing tugas akhir 8:1 (target ≤10:1). Persentase mata kuliah blended learning mencapai 32% (target ≥20%), dan rata-rata jumlah mahasiswa per kelas 32 (target ≤40).</w:t>
      </w:r>
    </w:p>
    <w:p>
      <w:pPr>
        <w:spacing w:line="360" w:lineRule="exact" w:after="120"/>
        <w:ind w:firstLine="567"/>
        <w:jc w:val="both"/>
      </w:pPr>
      <w:r>
        <w:rPr>
          <w:rFonts w:ascii="Calibri" w:hAnsi="Calibri"/>
          <w:color w:val="333333"/>
          <w:sz w:val="22"/>
        </w:rPr>
        <w:t>Untuk penilaian, persentase dosen menerapkan berbagai metode penilaian mencapai 100%, ketepatan waktu input nilai pasca ujian mencapai 100%, dan persentase dosen berkualifikasi S2/S3 mencapai 100%. Persentase dosen dan tendik bersertifikat pendidik mencapai 88,50% (target ≥75%). Ketersediaan fasilitas pembelajaran sesuai standar mencapai 100%.</w:t>
      </w:r>
    </w:p>
    <w:p>
      <w:pPr>
        <w:spacing w:line="360" w:lineRule="exact" w:after="120"/>
        <w:ind w:firstLine="567"/>
        <w:jc w:val="both"/>
      </w:pPr>
      <w:r>
        <w:rPr>
          <w:rFonts w:ascii="Calibri" w:hAnsi="Calibri"/>
          <w:color w:val="333333"/>
          <w:sz w:val="22"/>
        </w:rPr>
        <w:t>Untuk proses pembelajaran, dari 20 indikator AMI Proses Pembelajaran (Genap 2024-2), seluruhnya berstatus Tercapai dengan skor di atas 3,50. Skor tertinggi adalah penguasaan materi perkuliahan oleh dosen (3,82), diikuti oleh penyampaian RPS pada pertemuan pertama (3,78), tahapan perkuliahan (3,77), dan metode pembelajaran efektif (3,76).</w:t>
      </w:r>
    </w:p>
    <w:p>
      <w:pPr>
        <w:pStyle w:val="Heading2"/>
        <w:keepNext/>
        <w:keepLines/>
        <w:spacing w:before="360" w:after="160"/>
      </w:pPr>
      <w:r>
        <w:rPr>
          <w:rFonts w:ascii="Calibri" w:hAnsi="Calibri"/>
          <w:b/>
          <w:color w:val="1A2B5C"/>
          <w:sz w:val="28"/>
        </w:rPr>
        <w:t>8.3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Pendidikan</w:t>
            </w:r>
          </w:p>
          <w:p>
            <w:pPr>
              <w:spacing w:line="280" w:lineRule="exact"/>
              <w:jc w:val="both"/>
            </w:pPr>
            <w:r>
              <w:rPr>
                <w:rFonts w:ascii="Calibri" w:hAnsi="Calibri"/>
                <w:color w:val="333333"/>
                <w:sz w:val="20"/>
              </w:rPr>
              <w:t>Rata-rata Skor: 19/19 Pendidikan + 20/20 Proses Pembelajaran (100% Tercapai)</w:t>
              <w:br/>
              <w:t>Status: Semua indikator Tercapai</w:t>
              <w:br/>
              <w:t>Dokumen AMI: AMI Pendidikan + AMI Proses Pembelajaran Ganjil &amp; Genap 2024-2025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8.1 Hasil Detail AMI Pendidikan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Lulusan terserap di dunia kerja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86,50%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70%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Lulusan menjadi wirausahawan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18,20%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10%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Rata-rata IPK lulusan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3,48</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Rata-rata masa studi lulusan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3,8 thn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4,5 thn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Rata-rata masa tunggu kerja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3,2 bln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6 bln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Dokumen kurikulum tersedia lengkap</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Frekuensi tinjauan kurikulum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2x/thn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1x/thn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Rasio mhs/dosen pembimbing akademik</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16:1</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20:1</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Rasio mhs/dosen pembimbing TA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8:1</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10:1</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Bahan ajar dan referensi tersedia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Mata kuliah blended learning</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32%</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20%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Rata-rata mahasiswa per kelas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32</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40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Monitoring kehadiran dan pembelajaran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2x/smt</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1x/smt</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menerapkan berbagai metode penilaian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Ketepatan waktu input nilai</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berkualifikasi S2/S3</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Dosen/tendik bersertifikat pendidik</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88,50%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75%</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Fasilitas pembelajaran sesuai standar</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Dokumen RPS dan laporan pelaksanaan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8.4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Seluruh 19 indikator AMI Pendidikan berstatus Tercapai</w:t>
      </w:r>
    </w:p>
    <w:p>
      <w:pPr>
        <w:pStyle w:val="ListBullet"/>
        <w:spacing w:line="320" w:lineRule="exact" w:after="60"/>
      </w:pPr>
      <w:r>
        <w:rPr>
          <w:rFonts w:ascii="Calibri" w:hAnsi="Calibri"/>
          <w:color w:val="333333"/>
          <w:sz w:val="22"/>
        </w:rPr>
        <w:t>Seluruh 20 indikator AMI Proses Pembelajaran berstatus Tercapai (skor 3,59)</w:t>
      </w:r>
    </w:p>
    <w:p>
      <w:pPr>
        <w:pStyle w:val="ListBullet"/>
        <w:spacing w:line="320" w:lineRule="exact" w:after="60"/>
      </w:pPr>
      <w:r>
        <w:rPr>
          <w:rFonts w:ascii="Calibri" w:hAnsi="Calibri"/>
          <w:color w:val="333333"/>
          <w:sz w:val="22"/>
        </w:rPr>
        <w:t>Lulusan terserap DUDI 86,50% (target ≥70%)</w:t>
      </w:r>
    </w:p>
    <w:p>
      <w:pPr>
        <w:pStyle w:val="ListBullet"/>
        <w:spacing w:line="320" w:lineRule="exact" w:after="60"/>
      </w:pPr>
      <w:r>
        <w:rPr>
          <w:rFonts w:ascii="Calibri" w:hAnsi="Calibri"/>
          <w:color w:val="333333"/>
          <w:sz w:val="22"/>
        </w:rPr>
        <w:t>IPK rata-rata lulusan 3,48 (target ≥3,00)</w:t>
      </w:r>
    </w:p>
    <w:p>
      <w:pPr>
        <w:pStyle w:val="ListBullet"/>
        <w:spacing w:line="320" w:lineRule="exact" w:after="60"/>
      </w:pPr>
      <w:r>
        <w:rPr>
          <w:rFonts w:ascii="Calibri" w:hAnsi="Calibri"/>
          <w:color w:val="333333"/>
          <w:sz w:val="22"/>
        </w:rPr>
        <w:t>Masa studi 3,8 tahun (target ≤4,5 tahun), masa tunggu 3,2 bulan (target ≤6 bulan)</w:t>
      </w:r>
    </w:p>
    <w:p>
      <w:pPr>
        <w:pStyle w:val="ListBullet"/>
        <w:spacing w:line="320" w:lineRule="exact" w:after="60"/>
      </w:pPr>
      <w:r>
        <w:rPr>
          <w:rFonts w:ascii="Calibri" w:hAnsi="Calibri"/>
          <w:color w:val="333333"/>
          <w:sz w:val="22"/>
        </w:rPr>
        <w:t>Dokumen kurikulum 100% lengkap, tinjauan 2x/tahun</w:t>
      </w:r>
    </w:p>
    <w:p>
      <w:pPr>
        <w:pStyle w:val="ListBullet"/>
        <w:spacing w:line="320" w:lineRule="exact" w:after="60"/>
      </w:pPr>
      <w:r>
        <w:rPr>
          <w:rFonts w:ascii="Calibri" w:hAnsi="Calibri"/>
          <w:color w:val="333333"/>
          <w:sz w:val="22"/>
        </w:rPr>
        <w:t>Rasio dosen pembimbing TA 8:1 (dari 12:1, target ≤10:1)</w:t>
      </w:r>
    </w:p>
    <w:p>
      <w:pPr>
        <w:pStyle w:val="ListBullet"/>
        <w:spacing w:line="320" w:lineRule="exact" w:after="60"/>
      </w:pPr>
      <w:r>
        <w:rPr>
          <w:rFonts w:ascii="Calibri" w:hAnsi="Calibri"/>
          <w:color w:val="333333"/>
          <w:sz w:val="22"/>
        </w:rPr>
        <w:t>Skor proses pembelajaran Genap 3,59 (dari Ganjil 3,49, dari 2023-2: 3,43)</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Persentase dosen bersertifikat pendidik masih 88,50% (target 100%)</w:t>
      </w:r>
    </w:p>
    <w:p>
      <w:pPr>
        <w:pStyle w:val="ListBullet"/>
        <w:spacing w:line="320" w:lineRule="exact" w:after="60"/>
      </w:pPr>
      <w:r>
        <w:rPr>
          <w:rFonts w:ascii="Calibri" w:hAnsi="Calibri"/>
          <w:color w:val="333333"/>
          <w:sz w:val="22"/>
        </w:rPr>
        <w:t>Blended learning baru 32% (target ≥20%, namun masih bisa ditingkatkan)</w:t>
      </w:r>
    </w:p>
    <w:p>
      <w:pPr>
        <w:pStyle w:val="ListBullet"/>
        <w:spacing w:line="320" w:lineRule="exact" w:after="60"/>
      </w:pPr>
      <w:r>
        <w:rPr>
          <w:rFonts w:ascii="Calibri" w:hAnsi="Calibri"/>
          <w:color w:val="333333"/>
          <w:sz w:val="22"/>
        </w:rPr>
        <w:t>Metode pembelajaran daring masih skor terendah (3,65), meski di atas target</w:t>
      </w:r>
    </w:p>
    <w:p>
      <w:pPr>
        <w:pStyle w:val="ListBullet"/>
        <w:spacing w:line="320" w:lineRule="exact" w:after="60"/>
      </w:pPr>
      <w:r>
        <w:rPr>
          <w:rFonts w:ascii="Calibri" w:hAnsi="Calibri"/>
          <w:color w:val="333333"/>
          <w:sz w:val="22"/>
        </w:rPr>
        <w:t>Integrasi hasil penelitian ke pembelajaran masih bisa ditingkatkan</w:t>
      </w:r>
    </w:p>
    <w:p>
      <w:pPr>
        <w:pStyle w:val="Heading2"/>
        <w:keepNext/>
        <w:keepLines/>
        <w:spacing w:before="360" w:after="160"/>
      </w:pPr>
      <w:r>
        <w:rPr>
          <w:rFonts w:ascii="Calibri" w:hAnsi="Calibri"/>
          <w:b/>
          <w:color w:val="1A2B5C"/>
          <w:sz w:val="28"/>
        </w:rPr>
        <w:t>8.5 Rekomendasi</w:t>
      </w:r>
    </w:p>
    <w:p>
      <w:pPr>
        <w:pStyle w:val="ListNumber"/>
        <w:spacing w:line="320" w:lineRule="exact" w:after="60"/>
      </w:pPr>
      <w:r>
        <w:rPr>
          <w:rFonts w:ascii="Calibri" w:hAnsi="Calibri"/>
          <w:color w:val="333333"/>
          <w:sz w:val="22"/>
        </w:rPr>
        <w:t>Memfasilitasi dosen yang belum bersertifikat untuk mengikuti sertifikasi pendidik</w:t>
      </w:r>
    </w:p>
    <w:p>
      <w:pPr>
        <w:pStyle w:val="ListNumber"/>
        <w:spacing w:line="320" w:lineRule="exact" w:after="60"/>
      </w:pPr>
      <w:r>
        <w:rPr>
          <w:rFonts w:ascii="Calibri" w:hAnsi="Calibri"/>
          <w:color w:val="333333"/>
          <w:sz w:val="22"/>
        </w:rPr>
        <w:t>Meningkatkan persentase mata kuliah blended learning dari 32% ke 40% pada 2026</w:t>
      </w:r>
    </w:p>
    <w:p>
      <w:pPr>
        <w:pStyle w:val="ListNumber"/>
        <w:spacing w:line="320" w:lineRule="exact" w:after="60"/>
      </w:pPr>
      <w:r>
        <w:rPr>
          <w:rFonts w:ascii="Calibri" w:hAnsi="Calibri"/>
          <w:color w:val="333333"/>
          <w:sz w:val="22"/>
        </w:rPr>
        <w:t>Mengembangkan pelatihan metode pembelajaran daring yang lebih efektif</w:t>
      </w:r>
    </w:p>
    <w:p>
      <w:pPr>
        <w:pStyle w:val="ListNumber"/>
        <w:spacing w:line="320" w:lineRule="exact" w:after="60"/>
      </w:pPr>
      <w:r>
        <w:rPr>
          <w:rFonts w:ascii="Calibri" w:hAnsi="Calibri"/>
          <w:color w:val="333333"/>
          <w:sz w:val="22"/>
        </w:rPr>
        <w:t>Mengintegrasikan hasil penelitian dan PkM ke dalam materi pembelajaran</w:t>
      </w:r>
    </w:p>
    <w:p>
      <w:pPr>
        <w:pStyle w:val="ListNumber"/>
        <w:spacing w:line="320" w:lineRule="exact" w:after="60"/>
      </w:pPr>
      <w:r>
        <w:rPr>
          <w:rFonts w:ascii="Calibri" w:hAnsi="Calibri"/>
          <w:color w:val="333333"/>
          <w:sz w:val="22"/>
        </w:rPr>
        <w:t>Mengembangkan LMS yang lebih komprehensif dengan fitur interaktif</w:t>
      </w:r>
    </w:p>
    <w:p>
      <w:pPr>
        <w:pStyle w:val="ListNumber"/>
        <w:spacing w:line="320" w:lineRule="exact" w:after="60"/>
      </w:pPr>
      <w:r>
        <w:rPr>
          <w:rFonts w:ascii="Calibri" w:hAnsi="Calibri"/>
          <w:color w:val="333333"/>
          <w:sz w:val="22"/>
        </w:rPr>
        <w:t>Menyelenggarakan workshop penyusunan RPS berbasis OBE secara berkala</w:t>
      </w:r>
    </w:p>
    <w:p>
      <w:pPr>
        <w:pStyle w:val="ListNumber"/>
        <w:spacing w:line="320" w:lineRule="exact" w:after="60"/>
      </w:pPr>
      <w:r>
        <w:rPr>
          <w:rFonts w:ascii="Calibri" w:hAnsi="Calibri"/>
          <w:color w:val="333333"/>
          <w:sz w:val="22"/>
        </w:rPr>
        <w:t>Mengembangkan peer teaching observation antar-dosen untuk sharing best practice</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9</w:t>
        <w:br/>
        <w:t>KRITERIA 7: PENELITIAN</w:t>
      </w:r>
    </w:p>
    <w:p>
      <w:pPr>
        <w:pStyle w:val="Heading2"/>
        <w:keepNext/>
        <w:keepLines/>
        <w:spacing w:before="360" w:after="160"/>
      </w:pPr>
      <w:r>
        <w:rPr>
          <w:rFonts w:ascii="Calibri" w:hAnsi="Calibri"/>
          <w:b/>
          <w:color w:val="1A2B5C"/>
          <w:sz w:val="28"/>
        </w:rPr>
        <w:t>9.1 Deskripsi Kriteria</w:t>
      </w:r>
    </w:p>
    <w:p>
      <w:pPr>
        <w:spacing w:line="360" w:lineRule="exact" w:after="120"/>
        <w:ind w:firstLine="567"/>
        <w:jc w:val="both"/>
      </w:pPr>
      <w:r>
        <w:rPr>
          <w:rFonts w:ascii="Calibri" w:hAnsi="Calibri"/>
          <w:color w:val="333333"/>
          <w:sz w:val="22"/>
        </w:rPr>
        <w:t>Kriteria 7 mengevaluasi penyelenggaraan penelitian di Universitas Tulungagung, mencakup standar hasil penelitian, standar isi, standar proses, standar penilaian, standar pelaksana, standar sarana, standar pengelolaan, dan standar pembiayaan penelitian. Penelitian menjadi salah satu pilar Tridharma Perguruan Tinggi yang berkontribusi pada pengembangan IPTEK dan kesejahteraan masyarakat.</w:t>
      </w:r>
    </w:p>
    <w:p>
      <w:pPr>
        <w:spacing w:line="360" w:lineRule="exact" w:after="120"/>
        <w:ind w:firstLine="567"/>
        <w:jc w:val="both"/>
      </w:pPr>
      <w:r>
        <w:rPr>
          <w:rFonts w:ascii="Calibri" w:hAnsi="Calibri"/>
          <w:color w:val="333333"/>
          <w:sz w:val="22"/>
        </w:rPr>
        <w:t>Universitas Tulungagung melalui Lembaga Penelitian dan Pengabdian kepada Masyarakat (LPPM) mengelola pelaksanaan penelitian dengan mengacu pada standar penelitian sebagaimana diatur dalam Permen 39 Tahun 2025. LPPM bertanggung jawab atas perencanaan, pelaksanaan, monitoring, evaluasi, dan pelaporan penelitian, dengan dukungan UPPS dan GKM di tingkat program studi.</w:t>
      </w:r>
    </w:p>
    <w:p>
      <w:pPr>
        <w:pStyle w:val="Heading2"/>
        <w:keepNext/>
        <w:keepLines/>
        <w:spacing w:before="360" w:after="160"/>
      </w:pPr>
      <w:r>
        <w:rPr>
          <w:rFonts w:ascii="Calibri" w:hAnsi="Calibri"/>
          <w:b/>
          <w:color w:val="1A2B5C"/>
          <w:sz w:val="28"/>
        </w:rPr>
        <w:t>9.2 Analisis dan Evaluasi</w:t>
      </w:r>
    </w:p>
    <w:p>
      <w:pPr>
        <w:spacing w:line="360" w:lineRule="exact" w:after="120"/>
        <w:ind w:firstLine="567"/>
        <w:jc w:val="both"/>
      </w:pPr>
      <w:r>
        <w:rPr>
          <w:rFonts w:ascii="Calibri" w:hAnsi="Calibri"/>
          <w:color w:val="333333"/>
          <w:sz w:val="22"/>
        </w:rPr>
        <w:t>Berdasarkan hasil AMI Penelitian 2024/2025, seluruh 20 indikator berstatus Tercapai. Ketersediaan panduan penelitian mencapai 100%, sosialisasi panduan 100%, laporan akhir penelitian 96,80%, integrasi hasil penelitian ke RPS 93,50%, kesesuaian dengan roadmap 97,20%, publikasi ilmiah 95,60%, HKI 93,40%, sitasi 90,80%, dan adopsi industri 88,50%.</w:t>
      </w:r>
    </w:p>
    <w:p>
      <w:pPr>
        <w:spacing w:line="360" w:lineRule="exact" w:after="120"/>
        <w:ind w:firstLine="567"/>
        <w:jc w:val="both"/>
      </w:pPr>
      <w:r>
        <w:rPr>
          <w:rFonts w:ascii="Calibri" w:hAnsi="Calibri"/>
          <w:color w:val="333333"/>
          <w:sz w:val="22"/>
        </w:rPr>
        <w:t>Proporsi skema penelitian (Dasar dan Terapan) mencapai 96,80%, jumlah penelitian sesuai roadmap 93,40%, proposal sesuai roadmap 95,20%, laporan kemajuan 97,80%, laporan akhir 96,50%, panduan penilaian 100%, laporan penilaian 100%, laporan Monev 100%, laporan RTL 93,80%, dan jumlah dosen peneliti 91,76%.</w:t>
      </w:r>
    </w:p>
    <w:p>
      <w:pPr>
        <w:spacing w:line="360" w:lineRule="exact" w:after="120"/>
        <w:ind w:firstLine="567"/>
        <w:jc w:val="both"/>
      </w:pPr>
      <w:r>
        <w:rPr>
          <w:rFonts w:ascii="Calibri" w:hAnsi="Calibri"/>
          <w:color w:val="333333"/>
          <w:sz w:val="22"/>
        </w:rPr>
        <w:t>Hasil ini menunjukkan bahwa penelitian di Universitas Tulungagung berjalan dengan baik, dengan semua indikator tercapai. Namun, beberapa indikator seperti adopsi industri (88,50%) dan jumlah dosen peneliti (91,76%) masih dapat ditingkatkan untuk mencapai capaian yang lebih optimal.</w:t>
      </w:r>
    </w:p>
    <w:p>
      <w:pPr>
        <w:pStyle w:val="Heading2"/>
        <w:keepNext/>
        <w:keepLines/>
        <w:spacing w:before="360" w:after="160"/>
      </w:pPr>
      <w:r>
        <w:rPr>
          <w:rFonts w:ascii="Calibri" w:hAnsi="Calibri"/>
          <w:b/>
          <w:color w:val="1A2B5C"/>
          <w:sz w:val="28"/>
        </w:rPr>
        <w:t>9.3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Penelitian</w:t>
            </w:r>
          </w:p>
          <w:p>
            <w:pPr>
              <w:spacing w:line="280" w:lineRule="exact"/>
              <w:jc w:val="both"/>
            </w:pPr>
            <w:r>
              <w:rPr>
                <w:rFonts w:ascii="Calibri" w:hAnsi="Calibri"/>
                <w:color w:val="333333"/>
                <w:sz w:val="20"/>
              </w:rPr>
              <w:t>Rata-rata Skor: 20/20 Tercapai (100%)</w:t>
              <w:br/>
              <w:t>Status: Semua indikator Tercapai</w:t>
              <w:br/>
              <w:t>Dokumen AMI: AMI Penelitian 2024-2025 (Kode: SPMI/PPM/MONEV/PEN/2025)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9.1 Hasil Detail AMI Penelitian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Ketersediaan panduan penelitian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Sosialisasi panduan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Terlaksana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Laporan akhir penelitian tersedia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96,80%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90-100%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Integrasi hasil penelitian ke RPS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93,50%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≥10-15%</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Kesesuaian dengan roadmap visi-misi</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97,20%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75-85%</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Publikasi ilmiah dosen per prodi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95,60%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 dok/prodi</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Perolehan HKI (Paten, Hak Cipta)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93,40%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Sitasi karya ilmiah dan buku</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90,80%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Adopsi industri/hasil penelitian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88,50%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Ada/thn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Sosialisasi dan pelatihan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Terlaksana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Proporsi skema penelitian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96,80%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Sesuai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Penelitian sesuai roadmap</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93,40%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Progresif</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Proposal sesuai roadmap</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95,20%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Sesuai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Laporan kemajuan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97,80%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Keterpenuhan laporan akhir</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96,50%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90-100%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Panduan penilaian proposal</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Laporan penilaian pelaksanaan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Laporan Monitoring dan Evaluasi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Laporan Rencana Tindak Lanjut</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93,80%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yang memenuhi kriteria peneliti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91,76%</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9.4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Seluruh 20 indikator AMI Penelitian berstatus Tercapai</w:t>
      </w:r>
    </w:p>
    <w:p>
      <w:pPr>
        <w:pStyle w:val="ListBullet"/>
        <w:spacing w:line="320" w:lineRule="exact" w:after="60"/>
      </w:pPr>
      <w:r>
        <w:rPr>
          <w:rFonts w:ascii="Calibri" w:hAnsi="Calibri"/>
          <w:color w:val="333333"/>
          <w:sz w:val="22"/>
        </w:rPr>
        <w:t>Panduan penelitian dan sosialisasi mencapai 100%</w:t>
      </w:r>
    </w:p>
    <w:p>
      <w:pPr>
        <w:pStyle w:val="ListBullet"/>
        <w:spacing w:line="320" w:lineRule="exact" w:after="60"/>
      </w:pPr>
      <w:r>
        <w:rPr>
          <w:rFonts w:ascii="Calibri" w:hAnsi="Calibri"/>
          <w:color w:val="333333"/>
          <w:sz w:val="22"/>
        </w:rPr>
        <w:t>Kesesuaian dengan roadmap 97,20%</w:t>
      </w:r>
    </w:p>
    <w:p>
      <w:pPr>
        <w:pStyle w:val="ListBullet"/>
        <w:spacing w:line="320" w:lineRule="exact" w:after="60"/>
      </w:pPr>
      <w:r>
        <w:rPr>
          <w:rFonts w:ascii="Calibri" w:hAnsi="Calibri"/>
          <w:color w:val="333333"/>
          <w:sz w:val="22"/>
        </w:rPr>
        <w:t>Laporan kemajuan 97,80%, laporan akhir 96,50%</w:t>
      </w:r>
    </w:p>
    <w:p>
      <w:pPr>
        <w:pStyle w:val="ListBullet"/>
        <w:spacing w:line="320" w:lineRule="exact" w:after="60"/>
      </w:pPr>
      <w:r>
        <w:rPr>
          <w:rFonts w:ascii="Calibri" w:hAnsi="Calibri"/>
          <w:color w:val="333333"/>
          <w:sz w:val="22"/>
        </w:rPr>
        <w:t>Publikasi ilmiah 95,60% (10 dokumen/prodi/tahun)</w:t>
      </w:r>
    </w:p>
    <w:p>
      <w:pPr>
        <w:pStyle w:val="ListBullet"/>
        <w:spacing w:line="320" w:lineRule="exact" w:after="60"/>
      </w:pPr>
      <w:r>
        <w:rPr>
          <w:rFonts w:ascii="Calibri" w:hAnsi="Calibri"/>
          <w:color w:val="333333"/>
          <w:sz w:val="22"/>
        </w:rPr>
        <w:t>Panduan penilaian, laporan Monev, laporan RTL tersedia 100%</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Adopsi industri masih 88,50%, perlu peningkatan</w:t>
      </w:r>
    </w:p>
    <w:p>
      <w:pPr>
        <w:pStyle w:val="ListBullet"/>
        <w:spacing w:line="320" w:lineRule="exact" w:after="60"/>
      </w:pPr>
      <w:r>
        <w:rPr>
          <w:rFonts w:ascii="Calibri" w:hAnsi="Calibri"/>
          <w:color w:val="333333"/>
          <w:sz w:val="22"/>
        </w:rPr>
        <w:t>Jumlah dosen peneliti 91,76%, perlu peningkatan</w:t>
      </w:r>
    </w:p>
    <w:p>
      <w:pPr>
        <w:pStyle w:val="ListBullet"/>
        <w:spacing w:line="320" w:lineRule="exact" w:after="60"/>
      </w:pPr>
      <w:r>
        <w:rPr>
          <w:rFonts w:ascii="Calibri" w:hAnsi="Calibri"/>
          <w:color w:val="333333"/>
          <w:sz w:val="22"/>
        </w:rPr>
        <w:t>Sitasi karya ilmiah 90,80%, masih bisa ditingkatkan</w:t>
      </w:r>
    </w:p>
    <w:p>
      <w:pPr>
        <w:pStyle w:val="ListBullet"/>
        <w:spacing w:line="320" w:lineRule="exact" w:after="60"/>
      </w:pPr>
      <w:r>
        <w:rPr>
          <w:rFonts w:ascii="Calibri" w:hAnsi="Calibri"/>
          <w:color w:val="333333"/>
          <w:sz w:val="22"/>
        </w:rPr>
        <w:t>Integrasi hasil penelitian ke RPS 93,50%, masih bisa ditingkatkan</w:t>
      </w:r>
    </w:p>
    <w:p>
      <w:pPr>
        <w:pStyle w:val="Heading2"/>
        <w:keepNext/>
        <w:keepLines/>
        <w:spacing w:before="360" w:after="160"/>
      </w:pPr>
      <w:r>
        <w:rPr>
          <w:rFonts w:ascii="Calibri" w:hAnsi="Calibri"/>
          <w:b/>
          <w:color w:val="1A2B5C"/>
          <w:sz w:val="28"/>
        </w:rPr>
        <w:t>9.5 Rekomendasi</w:t>
      </w:r>
    </w:p>
    <w:p>
      <w:pPr>
        <w:pStyle w:val="ListNumber"/>
        <w:spacing w:line="320" w:lineRule="exact" w:after="60"/>
      </w:pPr>
      <w:r>
        <w:rPr>
          <w:rFonts w:ascii="Calibri" w:hAnsi="Calibri"/>
          <w:color w:val="333333"/>
          <w:sz w:val="22"/>
        </w:rPr>
        <w:t>Meningkatkan adopsi industri melalui kerja sama DUDI untuk penelitian terapan</w:t>
      </w:r>
    </w:p>
    <w:p>
      <w:pPr>
        <w:pStyle w:val="ListNumber"/>
        <w:spacing w:line="320" w:lineRule="exact" w:after="60"/>
      </w:pPr>
      <w:r>
        <w:rPr>
          <w:rFonts w:ascii="Calibri" w:hAnsi="Calibri"/>
          <w:color w:val="333333"/>
          <w:sz w:val="22"/>
        </w:rPr>
        <w:t>Mendorong lebih banyak dosen untuk menjadi peneliti aktif</w:t>
      </w:r>
    </w:p>
    <w:p>
      <w:pPr>
        <w:pStyle w:val="ListNumber"/>
        <w:spacing w:line="320" w:lineRule="exact" w:after="60"/>
      </w:pPr>
      <w:r>
        <w:rPr>
          <w:rFonts w:ascii="Calibri" w:hAnsi="Calibri"/>
          <w:color w:val="333333"/>
          <w:sz w:val="22"/>
        </w:rPr>
        <w:t>Meningkatkan jumlah publikasi di jurnal internasional bereputasi (Scopus)</w:t>
      </w:r>
    </w:p>
    <w:p>
      <w:pPr>
        <w:pStyle w:val="ListNumber"/>
        <w:spacing w:line="320" w:lineRule="exact" w:after="60"/>
      </w:pPr>
      <w:r>
        <w:rPr>
          <w:rFonts w:ascii="Calibri" w:hAnsi="Calibri"/>
          <w:color w:val="333333"/>
          <w:sz w:val="22"/>
        </w:rPr>
        <w:t>Mengintegrasikan hasil penelitian ke dalam materi pembelajaran (RBL)</w:t>
      </w:r>
    </w:p>
    <w:p>
      <w:pPr>
        <w:pStyle w:val="ListNumber"/>
        <w:spacing w:line="320" w:lineRule="exact" w:after="60"/>
      </w:pPr>
      <w:r>
        <w:rPr>
          <w:rFonts w:ascii="Calibri" w:hAnsi="Calibri"/>
          <w:color w:val="333333"/>
          <w:sz w:val="22"/>
        </w:rPr>
        <w:t>Mengembangkan kerja sama penelitian dengan PT lain dan lembaga penelitian</w:t>
      </w:r>
    </w:p>
    <w:p>
      <w:pPr>
        <w:pStyle w:val="ListNumber"/>
        <w:spacing w:line="320" w:lineRule="exact" w:after="60"/>
      </w:pPr>
      <w:r>
        <w:rPr>
          <w:rFonts w:ascii="Calibri" w:hAnsi="Calibri"/>
          <w:color w:val="333333"/>
          <w:sz w:val="22"/>
        </w:rPr>
        <w:t>Menyediakan insentif bagi dosen yang menghasilkan publikasi dan HKI</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10</w:t>
        <w:br/>
        <w:t>KRITERIA 8: PENGABDIAN KEPADA MASYARAKAT</w:t>
      </w:r>
    </w:p>
    <w:p>
      <w:pPr>
        <w:pStyle w:val="Heading2"/>
        <w:keepNext/>
        <w:keepLines/>
        <w:spacing w:before="360" w:after="160"/>
      </w:pPr>
      <w:r>
        <w:rPr>
          <w:rFonts w:ascii="Calibri" w:hAnsi="Calibri"/>
          <w:b/>
          <w:color w:val="1A2B5C"/>
          <w:sz w:val="28"/>
        </w:rPr>
        <w:t>10.1 Deskripsi Kriteria</w:t>
      </w:r>
    </w:p>
    <w:p>
      <w:pPr>
        <w:spacing w:line="360" w:lineRule="exact" w:after="120"/>
        <w:ind w:firstLine="567"/>
        <w:jc w:val="both"/>
      </w:pPr>
      <w:r>
        <w:rPr>
          <w:rFonts w:ascii="Calibri" w:hAnsi="Calibri"/>
          <w:color w:val="333333"/>
          <w:sz w:val="22"/>
        </w:rPr>
        <w:t>Kriteria 8 mengevaluasi penyelenggaraan Pengabdian kepada Masyarakat (PkM) di Universitas Tulungagung. PkM merupakan wujud nyata kontribusi perguruan tinggi kepada masyarakat, sebagaimana diamanatkan dalam Tujuan Universitas Tulungagung: terwujudnya pengabdian kepada masyarakat berbasis penalaran dan karya penelitian yang bermanfaat dalam memajukan kesejahteraan umum dan mencerdaskan kehidupan bangsa.</w:t>
      </w:r>
    </w:p>
    <w:p>
      <w:pPr>
        <w:spacing w:line="360" w:lineRule="exact" w:after="120"/>
        <w:ind w:firstLine="567"/>
        <w:jc w:val="both"/>
      </w:pPr>
      <w:r>
        <w:rPr>
          <w:rFonts w:ascii="Calibri" w:hAnsi="Calibri"/>
          <w:color w:val="333333"/>
          <w:sz w:val="22"/>
        </w:rPr>
        <w:t>Universitas Tulungagung melalui LPPM mengelola pelaksanaan PkM dengan mengacu pada standar PkM sebagaimana diatur dalam Permen 39 Tahun 2025. PkM mencakup 8 standar: standar hasil, standar isi, standar proses, standar penilaian, standar pelaksana, standar sarana, standar pengelolaan, dan standar pembiayaan PkM.</w:t>
      </w:r>
    </w:p>
    <w:p>
      <w:pPr>
        <w:pStyle w:val="Heading2"/>
        <w:keepNext/>
        <w:keepLines/>
        <w:spacing w:before="360" w:after="160"/>
      </w:pPr>
      <w:r>
        <w:rPr>
          <w:rFonts w:ascii="Calibri" w:hAnsi="Calibri"/>
          <w:b/>
          <w:color w:val="1A2B5C"/>
          <w:sz w:val="28"/>
        </w:rPr>
        <w:t>10.2 Analisis dan Evaluasi</w:t>
      </w:r>
    </w:p>
    <w:p>
      <w:pPr>
        <w:spacing w:line="360" w:lineRule="exact" w:after="120"/>
        <w:ind w:firstLine="567"/>
        <w:jc w:val="both"/>
      </w:pPr>
      <w:r>
        <w:rPr>
          <w:rFonts w:ascii="Calibri" w:hAnsi="Calibri"/>
          <w:color w:val="333333"/>
          <w:sz w:val="22"/>
        </w:rPr>
        <w:t>Berdasarkan hasil AMI Pengabdian kepada Masyarakat 2024/2025, seluruh 20 indikator berstatus Tercapai. Ketersediaan panduan PkM mencapai 100%, sosialisasi 100%, laporan akhir 96,20%, integrasi ke RPS 92,80%, kesesuaian dengan roadmap 95,40%, publikasi PkM 94,50%, HKI/TTG 93,80%, penyelesaian masalah mitra 96,80%, dan adopsi hasil PkM 91,20%.</w:t>
      </w:r>
    </w:p>
    <w:p>
      <w:pPr>
        <w:spacing w:line="360" w:lineRule="exact" w:after="120"/>
        <w:ind w:firstLine="567"/>
        <w:jc w:val="both"/>
      </w:pPr>
      <w:r>
        <w:rPr>
          <w:rFonts w:ascii="Calibri" w:hAnsi="Calibri"/>
          <w:color w:val="333333"/>
          <w:sz w:val="22"/>
        </w:rPr>
        <w:t>Hasil AMI periode sebelumnya (2023/2024) menunjukkan bahwa 12 dari 13 indikator PkM berada dalam kategori terpenuhi, namun capaian Teknologi Tepat Guna (TTG) masih rendah (20%). Pada AMI 2024/2025, TTG telah meningkat menjadi 93,80%, menunjukkan perbaikan signifikan dalam pengembangan teknologi tepat guna.</w:t>
      </w:r>
    </w:p>
    <w:p>
      <w:pPr>
        <w:pStyle w:val="Heading2"/>
        <w:keepNext/>
        <w:keepLines/>
        <w:spacing w:before="360" w:after="160"/>
      </w:pPr>
      <w:r>
        <w:rPr>
          <w:rFonts w:ascii="Calibri" w:hAnsi="Calibri"/>
          <w:b/>
          <w:color w:val="1A2B5C"/>
          <w:sz w:val="28"/>
        </w:rPr>
        <w:t>10.3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Pengabdian kepada Masyarakat</w:t>
            </w:r>
          </w:p>
          <w:p>
            <w:pPr>
              <w:spacing w:line="280" w:lineRule="exact"/>
              <w:jc w:val="both"/>
            </w:pPr>
            <w:r>
              <w:rPr>
                <w:rFonts w:ascii="Calibri" w:hAnsi="Calibri"/>
                <w:color w:val="333333"/>
                <w:sz w:val="20"/>
              </w:rPr>
              <w:t>Rata-rata Skor: 20/20 Tercapai (100%)</w:t>
              <w:br/>
              <w:t>Status: Semua indikator Tercapai</w:t>
              <w:br/>
              <w:t>Dokumen AMI: AMI Pengabdian kepada Masyarakat 2024-2025 (Kode: SPMI/PPM/MONEV/PKM/2025)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10.1 Hasil Detail AMI Pengabdian kepada Masyarakat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Ketersediaan panduan PkM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Sosialisasi panduan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Terlaksana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Laporan akhir PkM tersedia</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96,20%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90-100%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Integrasi hasil PkM ke RPS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92,80%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≥10-15%</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Kesesuaian PkM dengan roadmap</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75-85%</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Publikasi ilmiah dari hasil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94,50%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HKI, Teknologi Tepat Guna (TTG)</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93,80%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Penyelesaian masalah mitra/desa</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96,80%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Aktif</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Adopsi hasil PkM oleh masyarakat</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91,20%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Ada/thn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Sosialisasi dan pelatihan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Terlaksana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Proporsi skema PkM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95,60%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Sesuai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Kegiatan PkM sesuai roadmap</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94,20%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Progresif</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Proposal PkM sesuai roadmap</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95,80%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Sesuai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Laporan kemajuan kegiatan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97,60%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Keterpenuhan laporan akhir PkM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96,20%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90-100%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Panduan penilaian proposal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Laporan penilaian pelaksanaan PkM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Laporan Monitoring dan Evaluasi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Laporan Rencana Tindak Lanjut PkM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93,50%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Tersedia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yang memenuhi kriteria pengabdi</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92,40%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10.4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Seluruh 20 indikator AMI PkM berstatus Tercapai</w:t>
      </w:r>
    </w:p>
    <w:p>
      <w:pPr>
        <w:pStyle w:val="ListBullet"/>
        <w:spacing w:line="320" w:lineRule="exact" w:after="60"/>
      </w:pPr>
      <w:r>
        <w:rPr>
          <w:rFonts w:ascii="Calibri" w:hAnsi="Calibri"/>
          <w:color w:val="333333"/>
          <w:sz w:val="22"/>
        </w:rPr>
        <w:t>TTG meningkat dari 20% (2023) menjadi 93,80% (2025)</w:t>
      </w:r>
    </w:p>
    <w:p>
      <w:pPr>
        <w:pStyle w:val="ListBullet"/>
        <w:spacing w:line="320" w:lineRule="exact" w:after="60"/>
      </w:pPr>
      <w:r>
        <w:rPr>
          <w:rFonts w:ascii="Calibri" w:hAnsi="Calibri"/>
          <w:color w:val="333333"/>
          <w:sz w:val="22"/>
        </w:rPr>
        <w:t>Penyelesaian masalah mitra 96,80%</w:t>
      </w:r>
    </w:p>
    <w:p>
      <w:pPr>
        <w:pStyle w:val="ListBullet"/>
        <w:spacing w:line="320" w:lineRule="exact" w:after="60"/>
      </w:pPr>
      <w:r>
        <w:rPr>
          <w:rFonts w:ascii="Calibri" w:hAnsi="Calibri"/>
          <w:color w:val="333333"/>
          <w:sz w:val="22"/>
        </w:rPr>
        <w:t>Laporan kemajuan PkM 97,60%</w:t>
      </w:r>
    </w:p>
    <w:p>
      <w:pPr>
        <w:pStyle w:val="ListBullet"/>
        <w:spacing w:line="320" w:lineRule="exact" w:after="60"/>
      </w:pPr>
      <w:r>
        <w:rPr>
          <w:rFonts w:ascii="Calibri" w:hAnsi="Calibri"/>
          <w:color w:val="333333"/>
          <w:sz w:val="22"/>
        </w:rPr>
        <w:t>Panduan PkM dan sosialisasi 100%</w:t>
      </w:r>
    </w:p>
    <w:p>
      <w:pPr>
        <w:pStyle w:val="ListBullet"/>
        <w:spacing w:line="320" w:lineRule="exact" w:after="60"/>
      </w:pPr>
      <w:r>
        <w:rPr>
          <w:rFonts w:ascii="Calibri" w:hAnsi="Calibri"/>
          <w:color w:val="333333"/>
          <w:sz w:val="22"/>
        </w:rPr>
        <w:t>Adopsi hasil PkM oleh masyarakat 91,20%</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Integrasi hasil PkM ke RPS masih 92,80%, perlu peningkatan</w:t>
      </w:r>
    </w:p>
    <w:p>
      <w:pPr>
        <w:pStyle w:val="ListBullet"/>
        <w:spacing w:line="320" w:lineRule="exact" w:after="60"/>
      </w:pPr>
      <w:r>
        <w:rPr>
          <w:rFonts w:ascii="Calibri" w:hAnsi="Calibri"/>
          <w:color w:val="333333"/>
          <w:sz w:val="22"/>
        </w:rPr>
        <w:t>Adopsi hasil PkM masih 91,20%, perlu peningkatan</w:t>
      </w:r>
    </w:p>
    <w:p>
      <w:pPr>
        <w:pStyle w:val="ListBullet"/>
        <w:spacing w:line="320" w:lineRule="exact" w:after="60"/>
      </w:pPr>
      <w:r>
        <w:rPr>
          <w:rFonts w:ascii="Calibri" w:hAnsi="Calibri"/>
          <w:color w:val="333333"/>
          <w:sz w:val="22"/>
        </w:rPr>
        <w:t>Dosen pengabdi 92,40%, perlu peningkatan</w:t>
      </w:r>
    </w:p>
    <w:p>
      <w:pPr>
        <w:pStyle w:val="ListBullet"/>
        <w:spacing w:line="320" w:lineRule="exact" w:after="60"/>
      </w:pPr>
      <w:r>
        <w:rPr>
          <w:rFonts w:ascii="Calibri" w:hAnsi="Calibri"/>
          <w:color w:val="333333"/>
          <w:sz w:val="22"/>
        </w:rPr>
        <w:t>Diseminasi PkM melalui forum nasional/internasional masih terbatas</w:t>
      </w:r>
    </w:p>
    <w:p>
      <w:pPr>
        <w:pStyle w:val="Heading2"/>
        <w:keepNext/>
        <w:keepLines/>
        <w:spacing w:before="360" w:after="160"/>
      </w:pPr>
      <w:r>
        <w:rPr>
          <w:rFonts w:ascii="Calibri" w:hAnsi="Calibri"/>
          <w:b/>
          <w:color w:val="1A2B5C"/>
          <w:sz w:val="28"/>
        </w:rPr>
        <w:t>10.5 Rekomendasi</w:t>
      </w:r>
    </w:p>
    <w:p>
      <w:pPr>
        <w:pStyle w:val="ListNumber"/>
        <w:spacing w:line="320" w:lineRule="exact" w:after="60"/>
      </w:pPr>
      <w:r>
        <w:rPr>
          <w:rFonts w:ascii="Calibri" w:hAnsi="Calibri"/>
          <w:color w:val="333333"/>
          <w:sz w:val="22"/>
        </w:rPr>
        <w:t>Meningkatkan integrasi hasil PkM ke dalam materi pembelajaran (CBL)</w:t>
      </w:r>
    </w:p>
    <w:p>
      <w:pPr>
        <w:pStyle w:val="ListNumber"/>
        <w:spacing w:line="320" w:lineRule="exact" w:after="60"/>
      </w:pPr>
      <w:r>
        <w:rPr>
          <w:rFonts w:ascii="Calibri" w:hAnsi="Calibri"/>
          <w:color w:val="333333"/>
          <w:sz w:val="22"/>
        </w:rPr>
        <w:t>Mengembangkan produk PkM yang dapat dikomersialisasi</w:t>
      </w:r>
    </w:p>
    <w:p>
      <w:pPr>
        <w:pStyle w:val="ListNumber"/>
        <w:spacing w:line="320" w:lineRule="exact" w:after="60"/>
      </w:pPr>
      <w:r>
        <w:rPr>
          <w:rFonts w:ascii="Calibri" w:hAnsi="Calibri"/>
          <w:color w:val="333333"/>
          <w:sz w:val="22"/>
        </w:rPr>
        <w:t>Mendorong lebih banyak dosen untuk aktif dalam PkM</w:t>
      </w:r>
    </w:p>
    <w:p>
      <w:pPr>
        <w:pStyle w:val="ListNumber"/>
        <w:spacing w:line="320" w:lineRule="exact" w:after="60"/>
      </w:pPr>
      <w:r>
        <w:rPr>
          <w:rFonts w:ascii="Calibri" w:hAnsi="Calibri"/>
          <w:color w:val="333333"/>
          <w:sz w:val="22"/>
        </w:rPr>
        <w:t>Menyelenggarakan seminar nasional PkM tahunan</w:t>
      </w:r>
    </w:p>
    <w:p>
      <w:pPr>
        <w:pStyle w:val="ListNumber"/>
        <w:spacing w:line="320" w:lineRule="exact" w:after="60"/>
      </w:pPr>
      <w:r>
        <w:rPr>
          <w:rFonts w:ascii="Calibri" w:hAnsi="Calibri"/>
          <w:color w:val="333333"/>
          <w:sz w:val="22"/>
        </w:rPr>
        <w:t>Mengembangkan kerja sama PkM dengan pemerintah daerah Jawa Timur</w:t>
      </w:r>
    </w:p>
    <w:p>
      <w:pPr>
        <w:pStyle w:val="ListNumber"/>
        <w:spacing w:line="320" w:lineRule="exact" w:after="60"/>
      </w:pPr>
      <w:r>
        <w:rPr>
          <w:rFonts w:ascii="Calibri" w:hAnsi="Calibri"/>
          <w:color w:val="333333"/>
          <w:sz w:val="22"/>
        </w:rPr>
        <w:t>Meningkatkan publikasi PkM di jurnal terakreditasi SINTA</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11</w:t>
        <w:br/>
        <w:t>KRITERIA 9: LUARAN DAN CAPAIAN TRIDHARMA</w:t>
      </w:r>
    </w:p>
    <w:p>
      <w:pPr>
        <w:pStyle w:val="Heading2"/>
        <w:keepNext/>
        <w:keepLines/>
        <w:spacing w:before="360" w:after="160"/>
      </w:pPr>
      <w:r>
        <w:rPr>
          <w:rFonts w:ascii="Calibri" w:hAnsi="Calibri"/>
          <w:b/>
          <w:color w:val="1A2B5C"/>
          <w:sz w:val="28"/>
        </w:rPr>
        <w:t>11.1 Deskripsi Kriteria</w:t>
      </w:r>
    </w:p>
    <w:p>
      <w:pPr>
        <w:spacing w:line="360" w:lineRule="exact" w:after="120"/>
        <w:ind w:firstLine="567"/>
        <w:jc w:val="both"/>
      </w:pPr>
      <w:r>
        <w:rPr>
          <w:rFonts w:ascii="Calibri" w:hAnsi="Calibri"/>
          <w:color w:val="333333"/>
          <w:sz w:val="22"/>
        </w:rPr>
        <w:t>Kriteria 9 mengevaluasi luaran dan capaian Tridharma Universitas Tulungagung secara terintegrasi. Luaran Tridharma mencakup lulusan, publikasi, paten, produk, jasa, dan kontribusi nyata kepada masyarakat. Universitas Tulungagung menargetkan peningkatan kuantitas dan kualitas luaran Tridharma, sebagaimana tertuang dalam sasaran strategis dan Indikator Kinerja Utama (IKU).</w:t>
      </w:r>
    </w:p>
    <w:p>
      <w:pPr>
        <w:spacing w:line="360" w:lineRule="exact" w:after="120"/>
        <w:ind w:firstLine="567"/>
        <w:jc w:val="both"/>
      </w:pPr>
      <w:r>
        <w:rPr>
          <w:rFonts w:ascii="Calibri" w:hAnsi="Calibri"/>
          <w:color w:val="333333"/>
          <w:sz w:val="22"/>
        </w:rPr>
        <w:t>Luaran Tridharma diukur melalui 8 Indikator Kinerja Utama (IKU) yang diturunkan dari Renstra. IKU mencakup: (1) lulusan terserap DUDI; (2) mahasiswa mendapat pengalaman di luar kampus; (3) dosen berkegiatan di luar kampus; (4) praktisi mengajar di kampus; (5) hasil kerja dosen digunakan masyarakat; (6) prodi berkerjasama dengan DUDI; (7) mata kuliah metode praktik; serta (8) prodi terakreditasi unggul.</w:t>
      </w:r>
    </w:p>
    <w:p>
      <w:pPr>
        <w:pStyle w:val="Heading2"/>
        <w:keepNext/>
        <w:keepLines/>
        <w:spacing w:before="360" w:after="160"/>
      </w:pPr>
      <w:r>
        <w:rPr>
          <w:rFonts w:ascii="Calibri" w:hAnsi="Calibri"/>
          <w:b/>
          <w:color w:val="1A2B5C"/>
          <w:sz w:val="28"/>
        </w:rPr>
        <w:t>11.2 Analisis dan Evaluasi</w:t>
      </w:r>
    </w:p>
    <w:p>
      <w:pPr>
        <w:spacing w:line="360" w:lineRule="exact" w:after="120"/>
        <w:ind w:firstLine="567"/>
        <w:jc w:val="both"/>
      </w:pPr>
      <w:r>
        <w:rPr>
          <w:rFonts w:ascii="Calibri" w:hAnsi="Calibri"/>
          <w:color w:val="333333"/>
          <w:sz w:val="22"/>
        </w:rPr>
        <w:t>Berdasarkan hasil AMI dan data PD Dikti, lulusan Universitas Tulungagung memiliki tingkat penyerapan di dunia kerja yang tinggi, dengan 86,50% lulusan terserap di DUDI dalam waktu kurang dari 6 bulan. Rata-rata IPK lulusan adalah 3,48, dengan rata-rata masa studi 3,8 tahun dan rata-rata masa tunggu kerja 3,2 bulan. Sebanyak 18,20% lulusan menjadi wirausahawan.</w:t>
      </w:r>
    </w:p>
    <w:p>
      <w:pPr>
        <w:spacing w:line="360" w:lineRule="exact" w:after="120"/>
        <w:ind w:firstLine="567"/>
        <w:jc w:val="both"/>
      </w:pPr>
      <w:r>
        <w:rPr>
          <w:rFonts w:ascii="Calibri" w:hAnsi="Calibri"/>
          <w:color w:val="333333"/>
          <w:sz w:val="22"/>
        </w:rPr>
        <w:t>Untuk publikasi ilmiah, berdasarkan AMI Penelitian, jumlah publikasi mencapai 95,60% dari target 10 dokumen per prodi per tahun. HKI (Paten, Hak Cipta, Desain Industri) mencapai 93,40% dengan tren meningkat setiap tahun. Sitasi karya ilmiah mencapai 90,80% dengan tren meningkat. Adopsi industri atau pemuatan hasil penelitian mencapai 88,50%.</w:t>
      </w:r>
    </w:p>
    <w:p>
      <w:pPr>
        <w:spacing w:line="360" w:lineRule="exact" w:after="120"/>
        <w:ind w:firstLine="567"/>
        <w:jc w:val="both"/>
      </w:pPr>
      <w:r>
        <w:rPr>
          <w:rFonts w:ascii="Calibri" w:hAnsi="Calibri"/>
          <w:color w:val="333333"/>
          <w:sz w:val="22"/>
        </w:rPr>
        <w:t>Untuk PkM, publikasi ilmiah dari hasil PkM mencapai 94,50%, HKI/TTG 93,80% (meningkat dari 20% di 2023), dan adopsi hasil PkM oleh masyarakat 91,20%. Persentase mahasiswa yang mengikuti MBKM mencapai 68,40% (target ≥60%), dan kontribusi mahasiswa dalam SDGs mencapai 76,20% (target ≥70%).</w:t>
      </w:r>
    </w:p>
    <w:p>
      <w:pPr>
        <w:pStyle w:val="Heading2"/>
        <w:keepNext/>
        <w:keepLines/>
        <w:spacing w:before="360" w:after="160"/>
      </w:pPr>
      <w:r>
        <w:rPr>
          <w:rFonts w:ascii="Calibri" w:hAnsi="Calibri"/>
          <w:b/>
          <w:color w:val="1A2B5C"/>
          <w:sz w:val="28"/>
        </w:rPr>
        <w:t>11.3 Hasil AMI 2024/2025</w:t>
      </w:r>
    </w:p>
    <w:tbl>
      <w:tblPr>
        <w:tblW w:type="auto" w:w="0"/>
        <w:tblLook w:firstColumn="1" w:firstRow="1" w:lastColumn="0" w:lastRow="0" w:noHBand="0" w:noVBand="1" w:val="04A0"/>
      </w:tblPr>
      <w:tblGrid>
        <w:gridCol w:w="7937"/>
      </w:tblGrid>
      <w:tr>
        <w:trPr>
          <w:cantSplit/>
        </w:trPr>
        <w:tc>
          <w:tcPr>
            <w:tcW w:type="dxa" w:w="7937"/>
            <w:shd w:fill="F0F4FF"/>
            <w:tcBorders>
              <w:top w:val="single" w:sz="4" w:color="1A2B5C"/>
              <w:bottom w:val="single" w:sz="4" w:color="1A2B5C"/>
              <w:left w:val="single" w:sz="4" w:color="1A2B5C"/>
              <w:right w:val="single" w:sz="4" w:color="1A2B5C"/>
            </w:tcBorders>
          </w:tcPr>
          <w:p>
            <w:pPr>
              <w:spacing w:after="80"/>
            </w:pPr>
            <w:r>
              <w:rPr>
                <w:rFonts w:ascii="Calibri" w:hAnsi="Calibri"/>
                <w:b/>
                <w:color w:val="1A2B5C"/>
                <w:sz w:val="22"/>
              </w:rPr>
              <w:t>Hasil AMI Luaran dan Capaian Tridharma</w:t>
            </w:r>
          </w:p>
          <w:p>
            <w:pPr>
              <w:spacing w:line="280" w:lineRule="exact"/>
              <w:jc w:val="both"/>
            </w:pPr>
            <w:r>
              <w:rPr>
                <w:rFonts w:ascii="Calibri" w:hAnsi="Calibri"/>
                <w:color w:val="333333"/>
                <w:sz w:val="20"/>
              </w:rPr>
              <w:t>Rata-rata Skor: Berdasarkan AMI Pendidikan + Penelitian + PkM</w:t>
              <w:br/>
              <w:t>Status: Semua indikator utama Tercapai</w:t>
              <w:br/>
              <w:t>Dokumen AMI: AMI Pendidikan + AMI Penelitian + AMI Pengabdian 2024-2025</w:t>
              <w:br/>
              <w:t>Sumber: Hasil Audit Mutu Internal Universitas Tulungagung Tahun Akademik 2024/2025</w:t>
            </w:r>
          </w:p>
        </w:tc>
      </w:tr>
    </w:tbl>
    <w:p>
      <w:pPr>
        <w:spacing w:after="0" w:line="120" w:lineRule="exact"/>
      </w:pPr>
    </w:p>
    <w:p>
      <w:pPr>
        <w:spacing w:after="0" w:line="120" w:lineRule="exact"/>
      </w:pPr>
    </w:p>
    <w:p>
      <w:pPr>
        <w:keepNext/>
        <w:keepLines/>
        <w:spacing w:before="120" w:after="80"/>
        <w:jc w:val="center"/>
      </w:pPr>
      <w:r>
        <w:rPr>
          <w:rFonts w:ascii="Calibri" w:hAnsi="Calibri"/>
          <w:b/>
          <w:color w:val="1A2B5C"/>
          <w:sz w:val="20"/>
        </w:rPr>
        <w:t>Tabel 11.1 Hasil Detail AMI Luaran dan Capaian Tridharma Tahun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3402"/>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w:t>
            </w:r>
          </w:p>
        </w:tc>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Status</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Lulusan terserap DUDI &lt;6 bulan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86,50%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70%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Lulusan wirausahawan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18,20%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10%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Rata-rata IPK lulusan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3,48</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3,00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Masa studi lulusan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3,8 thn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4,5 thn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Masa tunggu kerja lulusan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3,2 bln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6 bln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Publikasi ilmiah penelitian</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95,60%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 dok/prodi</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HKI penelitian</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93,40%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Sitasi karya ilmiah</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90,80%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Adopsi industri</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88,50%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Ada/thn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Publikasi PkM</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94,50%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HKI/TTG PkM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93,80%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Meningkat</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Adopsi hasil PkM masyarakat</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91,20%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Ada/thn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Mahasiswa MBKM</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68,40%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60%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14</w:t>
            </w:r>
          </w:p>
        </w:tc>
        <w:tc>
          <w:tcPr>
            <w:tcW w:type="dxa" w:w="3402"/>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Kontribusi mahasiswa SDGs</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76,20%</w:t>
            </w:r>
          </w:p>
        </w:tc>
        <w:tc>
          <w:tcPr>
            <w:tcW w:type="dxa" w:w="1701"/>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 70%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Tercapai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15</w:t>
            </w:r>
          </w:p>
        </w:tc>
        <w:tc>
          <w:tcPr>
            <w:tcW w:type="dxa" w:w="3402"/>
            <w:tcBorders>
              <w:top w:val="single" w:sz="2" w:color="CCCCCC"/>
              <w:bottom w:val="single" w:sz="2" w:color="CCCCCC"/>
              <w:left w:val="single" w:sz="2" w:color="CCCCCC"/>
              <w:right w:val="single" w:sz="2" w:color="CCCCCC"/>
            </w:tcBorders>
            <w:vAlign w:val="center"/>
          </w:tcPr>
          <w:p>
            <w:r>
              <w:rPr>
                <w:rFonts w:ascii="Calibri" w:hAnsi="Calibri"/>
                <w:color w:val="333333"/>
                <w:sz w:val="20"/>
              </w:rPr>
              <w:t>Pengakuan kompetensi lulusan DUDI</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82,40%</w:t>
            </w:r>
          </w:p>
        </w:tc>
        <w:tc>
          <w:tcPr>
            <w:tcW w:type="dxa" w:w="1701"/>
            <w:tcBorders>
              <w:top w:val="single" w:sz="2" w:color="CCCCCC"/>
              <w:bottom w:val="single" w:sz="2" w:color="CCCCCC"/>
              <w:left w:val="single" w:sz="2" w:color="CCCCCC"/>
              <w:right w:val="single" w:sz="2" w:color="CCCCCC"/>
            </w:tcBorders>
            <w:vAlign w:val="center"/>
          </w:tcPr>
          <w:p>
            <w:r>
              <w:rPr>
                <w:rFonts w:ascii="Calibri" w:hAnsi="Calibri"/>
                <w:color w:val="333333"/>
                <w:sz w:val="20"/>
              </w:rPr>
              <w:t>≥ 80%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Tercapai</w:t>
            </w:r>
          </w:p>
        </w:tc>
      </w:tr>
    </w:tbl>
    <w:p>
      <w:pPr>
        <w:pStyle w:val="Heading2"/>
        <w:keepNext/>
        <w:keepLines/>
        <w:spacing w:before="360" w:after="160"/>
      </w:pPr>
      <w:r>
        <w:rPr>
          <w:rFonts w:ascii="Calibri" w:hAnsi="Calibri"/>
          <w:b/>
          <w:color w:val="1A2B5C"/>
          <w:sz w:val="28"/>
        </w:rPr>
        <w:t>11.4 Kekuatan dan Kelemahan</w:t>
      </w:r>
    </w:p>
    <w:p>
      <w:pPr>
        <w:pStyle w:val="Heading3"/>
        <w:keepNext/>
        <w:keepLines/>
        <w:spacing w:before="240" w:after="120"/>
      </w:pPr>
      <w:r>
        <w:rPr>
          <w:rFonts w:ascii="Calibri" w:hAnsi="Calibri"/>
          <w:b/>
          <w:color w:val="1A2B5C"/>
          <w:sz w:val="24"/>
        </w:rPr>
        <w:t>Kekuatan</w:t>
      </w:r>
    </w:p>
    <w:p>
      <w:pPr>
        <w:pStyle w:val="ListBullet"/>
        <w:spacing w:line="320" w:lineRule="exact" w:after="60"/>
      </w:pPr>
      <w:r>
        <w:rPr>
          <w:rFonts w:ascii="Calibri" w:hAnsi="Calibri"/>
          <w:color w:val="333333"/>
          <w:sz w:val="22"/>
        </w:rPr>
        <w:t>86,50% lulusan terserap DUDI &lt;6 bulan (target ≥70%)</w:t>
      </w:r>
    </w:p>
    <w:p>
      <w:pPr>
        <w:pStyle w:val="ListBullet"/>
        <w:spacing w:line="320" w:lineRule="exact" w:after="60"/>
      </w:pPr>
      <w:r>
        <w:rPr>
          <w:rFonts w:ascii="Calibri" w:hAnsi="Calibri"/>
          <w:color w:val="333333"/>
          <w:sz w:val="22"/>
        </w:rPr>
        <w:t>18,20% lulusan wirausahawan (target ≥10%)</w:t>
      </w:r>
    </w:p>
    <w:p>
      <w:pPr>
        <w:pStyle w:val="ListBullet"/>
        <w:spacing w:line="320" w:lineRule="exact" w:after="60"/>
      </w:pPr>
      <w:r>
        <w:rPr>
          <w:rFonts w:ascii="Calibri" w:hAnsi="Calibri"/>
          <w:color w:val="333333"/>
          <w:sz w:val="22"/>
        </w:rPr>
        <w:t>IPK rata-rata 3,48, masa studi 3,8 tahun, masa tunggu 3,2 bulan</w:t>
      </w:r>
    </w:p>
    <w:p>
      <w:pPr>
        <w:pStyle w:val="ListBullet"/>
        <w:spacing w:line="320" w:lineRule="exact" w:after="60"/>
      </w:pPr>
      <w:r>
        <w:rPr>
          <w:rFonts w:ascii="Calibri" w:hAnsi="Calibri"/>
          <w:color w:val="333333"/>
          <w:sz w:val="22"/>
        </w:rPr>
        <w:t>Publikasi penelitian 95,60% (10 dokumen/prodi/tahun)</w:t>
      </w:r>
    </w:p>
    <w:p>
      <w:pPr>
        <w:pStyle w:val="ListBullet"/>
        <w:spacing w:line="320" w:lineRule="exact" w:after="60"/>
      </w:pPr>
      <w:r>
        <w:rPr>
          <w:rFonts w:ascii="Calibri" w:hAnsi="Calibri"/>
          <w:color w:val="333333"/>
          <w:sz w:val="22"/>
        </w:rPr>
        <w:t>HKI/TTG PkM meningkat dari 20% (2023) menjadi 93,80% (2025)</w:t>
      </w:r>
    </w:p>
    <w:p>
      <w:pPr>
        <w:pStyle w:val="ListBullet"/>
        <w:spacing w:line="320" w:lineRule="exact" w:after="60"/>
      </w:pPr>
      <w:r>
        <w:rPr>
          <w:rFonts w:ascii="Calibri" w:hAnsi="Calibri"/>
          <w:color w:val="333333"/>
          <w:sz w:val="22"/>
        </w:rPr>
        <w:t>68,40% mahasiswa mengikuti MBKM (target ≥60%)</w:t>
      </w:r>
    </w:p>
    <w:p>
      <w:pPr>
        <w:pStyle w:val="ListBullet"/>
        <w:spacing w:line="320" w:lineRule="exact" w:after="60"/>
      </w:pPr>
      <w:r>
        <w:rPr>
          <w:rFonts w:ascii="Calibri" w:hAnsi="Calibri"/>
          <w:color w:val="333333"/>
          <w:sz w:val="22"/>
        </w:rPr>
        <w:t>8 IKU dengan baseline 2025 dan target 2030 telah ditetapkan</w:t>
      </w:r>
    </w:p>
    <w:p>
      <w:pPr>
        <w:pStyle w:val="Heading3"/>
        <w:keepNext/>
        <w:keepLines/>
        <w:spacing w:before="240" w:after="120"/>
      </w:pPr>
      <w:r>
        <w:rPr>
          <w:rFonts w:ascii="Calibri" w:hAnsi="Calibri"/>
          <w:b/>
          <w:color w:val="1A2B5C"/>
          <w:sz w:val="24"/>
        </w:rPr>
        <w:t>Kelemahan</w:t>
      </w:r>
    </w:p>
    <w:p>
      <w:pPr>
        <w:pStyle w:val="ListBullet"/>
        <w:spacing w:line="320" w:lineRule="exact" w:after="60"/>
      </w:pPr>
      <w:r>
        <w:rPr>
          <w:rFonts w:ascii="Calibri" w:hAnsi="Calibri"/>
          <w:color w:val="333333"/>
          <w:sz w:val="22"/>
        </w:rPr>
        <w:t>Adopsi industri masih 88,50%, perlu peningkatan</w:t>
      </w:r>
    </w:p>
    <w:p>
      <w:pPr>
        <w:pStyle w:val="ListBullet"/>
        <w:spacing w:line="320" w:lineRule="exact" w:after="60"/>
      </w:pPr>
      <w:r>
        <w:rPr>
          <w:rFonts w:ascii="Calibri" w:hAnsi="Calibri"/>
          <w:color w:val="333333"/>
          <w:sz w:val="22"/>
        </w:rPr>
        <w:t>Pengakuan kompetensi lulusan oleh DUDI 82,40%, perlu peningkatan</w:t>
      </w:r>
    </w:p>
    <w:p>
      <w:pPr>
        <w:pStyle w:val="ListBullet"/>
        <w:spacing w:line="320" w:lineRule="exact" w:after="60"/>
      </w:pPr>
      <w:r>
        <w:rPr>
          <w:rFonts w:ascii="Calibri" w:hAnsi="Calibri"/>
          <w:color w:val="333333"/>
          <w:sz w:val="22"/>
        </w:rPr>
        <w:t>Persentase prodi terakreditasi unggul masih 30% (target 70% pada 2030)</w:t>
      </w:r>
    </w:p>
    <w:p>
      <w:pPr>
        <w:pStyle w:val="ListBullet"/>
        <w:spacing w:line="320" w:lineRule="exact" w:after="60"/>
      </w:pPr>
      <w:r>
        <w:rPr>
          <w:rFonts w:ascii="Calibri" w:hAnsi="Calibri"/>
          <w:color w:val="333333"/>
          <w:sz w:val="22"/>
        </w:rPr>
        <w:t>Mata kuliah dengan metode praktik baru 45% (target 60% pada 2030)</w:t>
      </w:r>
    </w:p>
    <w:p>
      <w:pPr>
        <w:pStyle w:val="Heading2"/>
        <w:keepNext/>
        <w:keepLines/>
        <w:spacing w:before="360" w:after="160"/>
      </w:pPr>
      <w:r>
        <w:rPr>
          <w:rFonts w:ascii="Calibri" w:hAnsi="Calibri"/>
          <w:b/>
          <w:color w:val="1A2B5C"/>
          <w:sz w:val="28"/>
        </w:rPr>
        <w:t>11.5 Rekomendasi</w:t>
      </w:r>
    </w:p>
    <w:p>
      <w:pPr>
        <w:pStyle w:val="ListNumber"/>
        <w:spacing w:line="320" w:lineRule="exact" w:after="60"/>
      </w:pPr>
      <w:r>
        <w:rPr>
          <w:rFonts w:ascii="Calibri" w:hAnsi="Calibri"/>
          <w:color w:val="333333"/>
          <w:sz w:val="22"/>
        </w:rPr>
        <w:t>Meningkatkan kerja sama DUDI untuk penyerapan lulusan dan adopsi hasil penelitian</w:t>
      </w:r>
    </w:p>
    <w:p>
      <w:pPr>
        <w:pStyle w:val="ListNumber"/>
        <w:spacing w:line="320" w:lineRule="exact" w:after="60"/>
      </w:pPr>
      <w:r>
        <w:rPr>
          <w:rFonts w:ascii="Calibri" w:hAnsi="Calibri"/>
          <w:color w:val="333333"/>
          <w:sz w:val="22"/>
        </w:rPr>
        <w:t>Mendorong lebih banyak program studi untuk mengajukan akreditasi unggul</w:t>
      </w:r>
    </w:p>
    <w:p>
      <w:pPr>
        <w:pStyle w:val="ListNumber"/>
        <w:spacing w:line="320" w:lineRule="exact" w:after="60"/>
      </w:pPr>
      <w:r>
        <w:rPr>
          <w:rFonts w:ascii="Calibri" w:hAnsi="Calibri"/>
          <w:color w:val="333333"/>
          <w:sz w:val="22"/>
        </w:rPr>
        <w:t>Meningkatkan persentase mata kuliah dengan metode praktik dari 45% ke 60%</w:t>
      </w:r>
    </w:p>
    <w:p>
      <w:pPr>
        <w:pStyle w:val="ListNumber"/>
        <w:spacing w:line="320" w:lineRule="exact" w:after="60"/>
      </w:pPr>
      <w:r>
        <w:rPr>
          <w:rFonts w:ascii="Calibri" w:hAnsi="Calibri"/>
          <w:color w:val="333333"/>
          <w:sz w:val="22"/>
        </w:rPr>
        <w:t>Mengembangkan tracer study yang komprehensif untuk monitoring lulusan</w:t>
      </w:r>
    </w:p>
    <w:p>
      <w:pPr>
        <w:pStyle w:val="ListNumber"/>
        <w:spacing w:line="320" w:lineRule="exact" w:after="60"/>
      </w:pPr>
      <w:r>
        <w:rPr>
          <w:rFonts w:ascii="Calibri" w:hAnsi="Calibri"/>
          <w:color w:val="333333"/>
          <w:sz w:val="22"/>
        </w:rPr>
        <w:t>Meningkatkan pengakuan kompetensi lulusan melalui sertifikasi profesi</w:t>
      </w:r>
    </w:p>
    <w:p>
      <w:pPr>
        <w:pStyle w:val="ListNumber"/>
        <w:spacing w:line="320" w:lineRule="exact" w:after="60"/>
      </w:pPr>
      <w:r>
        <w:rPr>
          <w:rFonts w:ascii="Calibri" w:hAnsi="Calibri"/>
          <w:color w:val="333333"/>
          <w:sz w:val="22"/>
        </w:rPr>
        <w:t>Mengembangkan dashboard IKU yang terintegrasi dengan PD Dikti untuk monitoring real-time</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BAB XII</w:t>
        <w:br/>
        <w:t>PENUTUP</w:t>
      </w:r>
    </w:p>
    <w:p>
      <w:pPr>
        <w:pStyle w:val="Heading2"/>
        <w:keepNext/>
        <w:keepLines/>
        <w:spacing w:before="360" w:after="160"/>
      </w:pPr>
      <w:r>
        <w:rPr>
          <w:rFonts w:ascii="Calibri" w:hAnsi="Calibri"/>
          <w:b/>
          <w:color w:val="1A2B5C"/>
          <w:sz w:val="28"/>
        </w:rPr>
        <w:t>12.1 Ringkasan Hasil Evaluasi Diri</w:t>
      </w:r>
    </w:p>
    <w:p>
      <w:pPr>
        <w:spacing w:line="360" w:lineRule="exact" w:after="120"/>
        <w:ind w:firstLine="567"/>
        <w:jc w:val="both"/>
      </w:pPr>
      <w:r>
        <w:rPr>
          <w:rFonts w:ascii="Calibri" w:hAnsi="Calibri"/>
          <w:color w:val="333333"/>
          <w:sz w:val="22"/>
        </w:rPr>
        <w:t>Berdasarkan hasil evaluasi diri yang mencakup 9 kriteria IAPT 4.1, Universitas Tulungagung menunjukkan kinerja yang baik dalam penyelenggaraan Tridharma Perguruan Tinggi. Dari total 212 indikator yang dievaluasi melalui 13 dokumen AMI 2024/2025, sebanyak 194 indikator (91,5%) berstatus Tercapai dan 18 indikator (8,5%) berstatus Belum Tercapai.</w:t>
      </w:r>
    </w:p>
    <w:p>
      <w:pPr>
        <w:spacing w:line="360" w:lineRule="exact" w:after="120"/>
        <w:ind w:firstLine="567"/>
        <w:jc w:val="both"/>
      </w:pPr>
      <w:r>
        <w:rPr>
          <w:rFonts w:ascii="Calibri" w:hAnsi="Calibri"/>
          <w:color w:val="333333"/>
          <w:sz w:val="22"/>
        </w:rPr>
        <w:t>Ringkasan hasil per kriteria adalah sebagai berikut:</w:t>
      </w:r>
    </w:p>
    <w:p>
      <w:pPr>
        <w:keepNext/>
        <w:keepLines/>
        <w:spacing w:before="120" w:after="80"/>
        <w:jc w:val="center"/>
      </w:pPr>
      <w:r>
        <w:rPr>
          <w:rFonts w:ascii="Calibri" w:hAnsi="Calibri"/>
          <w:b/>
          <w:color w:val="1A2B5C"/>
          <w:sz w:val="20"/>
        </w:rPr>
        <w:t>Tabel 12.1 Ringkasan Hasil Evaluasi Diri per Kriteria</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trHeight w:val="454"/>
          <w:cantSplit/>
        </w:trPr>
        <w:tc>
          <w:tcPr>
            <w:tcW w:type="dxa" w:w="1701"/>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Kriteria</w:t>
            </w:r>
          </w:p>
        </w:tc>
        <w:tc>
          <w:tcPr>
            <w:tcW w:type="dxa" w:w="198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Dokumen AMI</w:t>
            </w:r>
          </w:p>
        </w:tc>
        <w:tc>
          <w:tcPr>
            <w:tcW w:type="dxa" w:w="850"/>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c>
          <w:tcPr>
            <w:tcW w:type="dxa" w:w="850"/>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Tercapai</w:t>
            </w:r>
          </w:p>
        </w:tc>
        <w:tc>
          <w:tcPr>
            <w:tcW w:type="dxa" w:w="850"/>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Belum</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Persentase</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 VMTS</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VMTS</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10</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5</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66,7%</w:t>
            </w:r>
          </w:p>
        </w:tc>
      </w:tr>
      <w:tr>
        <w:trPr>
          <w:cantSplit/>
        </w:trPr>
        <w:tc>
          <w:tcPr>
            <w:tcW w:type="dxa" w:w="1701"/>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 Tata Pamong</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TPTK + MBKM</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15</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12</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80,0%</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 Mahasiswa</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Mahasiswa</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 SDM</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SDM + Kesejahteraan</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18</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16</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88,9%</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 Keuangan/Sarpras</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Keuangan + Sarpras</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 Pendidikan</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Pendidikan + Proses</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19</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19</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 Penelitian</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Penelitian</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 PkM</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Pengabdian</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 Luaran Tridharma</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Pendidikan+Pen+PkM</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 Pelayanan Mhs</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Pelayanan</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13</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7</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65,0%</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 Proses Pembelajaran</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Proses Pembelajaran</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 MBKM</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MBKM</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4</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4</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0</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100%</w:t>
            </w:r>
          </w:p>
        </w:tc>
      </w:tr>
      <w:tr>
        <w:trPr>
          <w:cantSplit/>
        </w:trPr>
        <w:tc>
          <w:tcPr>
            <w:tcW w:type="dxa" w:w="1701"/>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TOTAL</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212</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194</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18</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91,5%</w:t>
            </w:r>
          </w:p>
        </w:tc>
      </w:tr>
    </w:tbl>
    <w:p>
      <w:pPr>
        <w:pStyle w:val="Heading2"/>
        <w:keepNext/>
        <w:keepLines/>
        <w:spacing w:before="360" w:after="160"/>
      </w:pPr>
      <w:r>
        <w:rPr>
          <w:rFonts w:ascii="Calibri" w:hAnsi="Calibri"/>
          <w:b/>
          <w:color w:val="1A2B5C"/>
          <w:sz w:val="28"/>
        </w:rPr>
        <w:t>12.2 Rencana Tindak Lanjut</w:t>
      </w:r>
    </w:p>
    <w:p>
      <w:pPr>
        <w:spacing w:line="360" w:lineRule="exact" w:after="120"/>
        <w:ind w:firstLine="567"/>
        <w:jc w:val="both"/>
      </w:pPr>
      <w:r>
        <w:rPr>
          <w:rFonts w:ascii="Calibri" w:hAnsi="Calibri"/>
          <w:color w:val="333333"/>
          <w:sz w:val="22"/>
        </w:rPr>
        <w:t>Berdasarkan hasil evaluasi diri, Universitas Tulungagung menyusun Rencana Tindak Lanjut (RTL) dengan prioritas pada 18 indikator yang berstatus Belum Tercapai. RTL disusun dengan target waktu yang jelas dan penanggung jawab yang ditetapkan, sebagai berikut:</w:t>
      </w:r>
    </w:p>
    <w:p>
      <w:pPr>
        <w:keepNext/>
        <w:keepLines/>
        <w:spacing w:before="120" w:after="80"/>
        <w:jc w:val="center"/>
      </w:pPr>
      <w:r>
        <w:rPr>
          <w:rFonts w:ascii="Calibri" w:hAnsi="Calibri"/>
          <w:b/>
          <w:color w:val="1A2B5C"/>
          <w:sz w:val="20"/>
        </w:rPr>
        <w:t>Tabel 12.2 Rencana Tindak Lanjut 18 Indikator Belum Tercapai</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2268"/>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 Belum Tercapai</w:t>
            </w:r>
          </w:p>
        </w:tc>
        <w:tc>
          <w:tcPr>
            <w:tcW w:type="dxa" w:w="2268"/>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RTL</w:t>
            </w:r>
          </w:p>
        </w:tc>
        <w:tc>
          <w:tcPr>
            <w:tcW w:type="dxa" w:w="850"/>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PJ</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Sosialisasi VMTS berkala (3,42)</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Diversifikasi media sosialisasi</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PPM</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Metode sosialisasi VMTS (3,38)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Handbook + media sosial</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PPM</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Keterlibatan dosen evaluasi VMTS (3,36)</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Mekanisme feedback dosen</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Senat</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Relevansi VMTS dunia kerja (3,48)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Melibatkan DUDI dalam review</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Senat</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Program mendukung VMTS (3,40)</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Penyelarasan program kerja</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Rektor</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Dosen dalam evaluasi kebijakan (3,48)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Forum dosen berkala</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Senat</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Tata kelola dukung Tridharma (3,48)</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Penguatan koordinasi</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Rektor</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Pimpinan terbuka masukan (3,49)</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Open door policy</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Rektor</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Jabatan Lektor+ (52,40%)</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Program promosi jabatan</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2027</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BAKU</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Sertifikat pendidik (94,60%)</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Pelatihan Serdos</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2027</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BAKU</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11-17</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Pelayanan mahasiswa (7 indikator)</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Perbaikan fasilitas &amp; layanan</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BAA</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Kerjasama implementasi</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khusus Kerjasama</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2026</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BAU</w:t>
            </w:r>
          </w:p>
        </w:tc>
      </w:tr>
    </w:tbl>
    <w:p>
      <w:pPr>
        <w:pStyle w:val="Heading2"/>
        <w:keepNext/>
        <w:keepLines/>
        <w:spacing w:before="360" w:after="160"/>
      </w:pPr>
      <w:r>
        <w:rPr>
          <w:rFonts w:ascii="Calibri" w:hAnsi="Calibri"/>
          <w:b/>
          <w:color w:val="1A2B5C"/>
          <w:sz w:val="28"/>
        </w:rPr>
        <w:t>12.3 Penutup</w:t>
      </w:r>
    </w:p>
    <w:p>
      <w:pPr>
        <w:spacing w:line="360" w:lineRule="exact" w:after="120"/>
        <w:ind w:firstLine="567"/>
        <w:jc w:val="both"/>
      </w:pPr>
      <w:r>
        <w:rPr>
          <w:rFonts w:ascii="Calibri" w:hAnsi="Calibri"/>
          <w:color w:val="333333"/>
          <w:sz w:val="22"/>
        </w:rPr>
        <w:t>Laporan Evaluasi Diri ini merupakan refleksi jujur dan komprehensif terhadap kinerja Universitas Tulungagung dalam penyelenggaraan Tridharma Perguruan Tinggi. Hasil evaluasi menunjukkan bahwa Universitas Tulungagung telah mencapai 91,5% dari total 212 indikator yang dievaluasi, dengan 8 kriteria mencapai 100% tercapai dan 4 kriteria masih memiliki indikator yang perlu diperbaiki.</w:t>
      </w:r>
    </w:p>
    <w:p>
      <w:pPr>
        <w:spacing w:line="360" w:lineRule="exact" w:after="120"/>
        <w:ind w:firstLine="567"/>
        <w:jc w:val="both"/>
      </w:pPr>
      <w:r>
        <w:rPr>
          <w:rFonts w:ascii="Calibri" w:hAnsi="Calibri"/>
          <w:color w:val="333333"/>
          <w:sz w:val="22"/>
        </w:rPr>
        <w:t>Universitas Tulungagung berkomitmen untuk terus meningkatkan mutu secara berkelanjutan melalui siklus PPEPP (Penetapan, Pelaksanaan, Evaluasi, Pengendalian, dan Peningkatan) sebagaimana diatur dalam Pasal 68 Permen 39 Tahun 2025. Rencana Tindak Lanjut yang telah disusun akan diimplementasikan dengan target waktu yang jelas dan penanggung jawab yang ditetapkan, dengan monitoring melalui AMI dan RTM tahunan.</w:t>
      </w:r>
    </w:p>
    <w:p>
      <w:pPr>
        <w:spacing w:line="360" w:lineRule="exact" w:after="120"/>
        <w:ind w:firstLine="567"/>
        <w:jc w:val="both"/>
      </w:pPr>
      <w:r>
        <w:rPr>
          <w:rFonts w:ascii="Calibri" w:hAnsi="Calibri"/>
          <w:color w:val="333333"/>
          <w:sz w:val="22"/>
        </w:rPr>
        <w:t>Dengan komitmen yang kuat dari seluruh sivitas akademika, sistem SPMI yang terstruktur dan terdokumentasi, serta dukungan data dari 13 dokumen AMI 2024/2025, Universitas Tulungagung siap untuk menghadapi proses akreditasi perguruan tinggi sesuai IAPT 4.1. Hasil evaluasi diri ini juga menjadi dasar bagi penyusunan strategi peningkatan mutu menuju tercapainya visi Universitas Tulungagung sebagai perguruan tinggi yang berkualitas dan mampu berkompetisi berskala nasional dan internasional.</w:t>
      </w:r>
    </w:p>
    <w:p>
      <w:pPr>
        <w:spacing w:before="0" w:after="0"/>
      </w:pPr>
      <w:r>
        <w:br w:type="page"/>
      </w:r>
    </w:p>
    <w:p>
      <w:pPr>
        <w:pStyle w:val="Heading1"/>
        <w:spacing w:before="480" w:after="240"/>
        <w:keepNext/>
        <w:keepLines/>
        <w:pBdr>
          <w:bottom w:val="single" w:sz="6" w:space="4" w:color="1A2B5C"/>
        </w:pBdr>
      </w:pPr>
      <w:r>
        <w:rPr>
          <w:rFonts w:ascii="Calibri" w:hAnsi="Calibri"/>
          <w:b/>
          <w:color w:val="1A2B5C"/>
          <w:sz w:val="36"/>
        </w:rPr>
        <w:t>LAMPIRAN</w:t>
      </w:r>
    </w:p>
    <w:p>
      <w:pPr>
        <w:pStyle w:val="Heading2"/>
        <w:keepNext/>
        <w:keepLines/>
        <w:spacing w:before="360" w:after="160"/>
      </w:pPr>
      <w:r>
        <w:rPr>
          <w:rFonts w:ascii="Calibri" w:hAnsi="Calibri"/>
          <w:b/>
          <w:color w:val="1A2B5C"/>
          <w:sz w:val="28"/>
        </w:rPr>
        <w:t>Lampiran 1: Daftar Dokumen AMI 2024/2025</w:t>
      </w:r>
    </w:p>
    <w:p>
      <w:pPr>
        <w:keepNext/>
        <w:keepLines/>
        <w:spacing w:before="120" w:after="80"/>
        <w:jc w:val="center"/>
      </w:pPr>
      <w:r>
        <w:rPr>
          <w:rFonts w:ascii="Calibri" w:hAnsi="Calibri"/>
          <w:b/>
          <w:color w:val="1A2B5C"/>
          <w:sz w:val="20"/>
        </w:rPr>
        <w:t>Tabel L1 Daftar Dokumen AMI 2024/2025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198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Dokumen AMI</w:t>
            </w:r>
          </w:p>
        </w:tc>
        <w:tc>
          <w:tcPr>
            <w:tcW w:type="dxa" w:w="2268"/>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Kode Dokumen</w:t>
            </w:r>
          </w:p>
        </w:tc>
        <w:tc>
          <w:tcPr>
            <w:tcW w:type="dxa" w:w="141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Tanggal</w:t>
            </w:r>
          </w:p>
        </w:tc>
        <w:tc>
          <w:tcPr>
            <w:tcW w:type="dxa" w:w="850"/>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Indikator</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Pendidikan</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SPMI/PPM/MONEV/PEND/2025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19</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Penelitian</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SPMI/PPM/MONEV/PEN/2025</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Pengabdian Masyarakat</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SPMI/PPM/MONEV/PKM/2025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VMTS</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SPMI/PPM/MONEV/VMTS/2025</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15</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TPTK</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SPMI/PPM/MONEV/TPTK/2025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Mahasiswa</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SPMI/PPM/MONEV/MHS/2025</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5 Mar 2025</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14</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SDM</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SPMI/PPM/MONEV/SDM/2025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18</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Kesejahteraan</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SPMI/PPM/MONEV/KSJH/2025</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24 Mei 2025</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19</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Keuangan</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SPMI/PPM/MONEV/KEU/2025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15 Mei 2025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14</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10</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Sarana Prasarana</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SPMI/PPM/MONEV/SARPRAS/2025</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2024-2025</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14</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11</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MBKM</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SPMI/PPM/MONEV/MBKM/2025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5 Feb 2025</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4</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12</w:t>
            </w:r>
          </w:p>
        </w:tc>
        <w:tc>
          <w:tcPr>
            <w:tcW w:type="dxa" w:w="198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AMI Pelayanan Mahasiswa</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SPMI/PPM/MONEV/PLYN/2025</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Ganjil &amp; Genap</w:t>
            </w:r>
          </w:p>
        </w:tc>
        <w:tc>
          <w:tcPr>
            <w:tcW w:type="dxa" w:w="850"/>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13</w:t>
            </w:r>
          </w:p>
        </w:tc>
        <w:tc>
          <w:tcPr>
            <w:tcW w:type="dxa" w:w="1984"/>
            <w:tcBorders>
              <w:top w:val="single" w:sz="2" w:color="CCCCCC"/>
              <w:bottom w:val="single" w:sz="2" w:color="CCCCCC"/>
              <w:left w:val="single" w:sz="2" w:color="CCCCCC"/>
              <w:right w:val="single" w:sz="2" w:color="CCCCCC"/>
            </w:tcBorders>
            <w:vAlign w:val="center"/>
          </w:tcPr>
          <w:p>
            <w:r>
              <w:rPr>
                <w:rFonts w:ascii="Calibri" w:hAnsi="Calibri"/>
                <w:color w:val="333333"/>
                <w:sz w:val="20"/>
              </w:rPr>
              <w:t>AMI Proses Pembelajaran</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SPMI/PPM/MONEV/SPB/2025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Ganjil &amp; Genap</w:t>
            </w:r>
          </w:p>
        </w:tc>
        <w:tc>
          <w:tcPr>
            <w:tcW w:type="dxa" w:w="850"/>
            <w:tcBorders>
              <w:top w:val="single" w:sz="2" w:color="CCCCCC"/>
              <w:bottom w:val="single" w:sz="2" w:color="CCCCCC"/>
              <w:left w:val="single" w:sz="2" w:color="CCCCCC"/>
              <w:right w:val="single" w:sz="2" w:color="CCCCCC"/>
            </w:tcBorders>
            <w:vAlign w:val="center"/>
          </w:tcPr>
          <w:p>
            <w:r>
              <w:rPr>
                <w:rFonts w:ascii="Calibri" w:hAnsi="Calibri"/>
                <w:color w:val="333333"/>
                <w:sz w:val="20"/>
              </w:rPr>
              <w:t>20</w:t>
            </w:r>
          </w:p>
        </w:tc>
      </w:tr>
    </w:tbl>
    <w:p>
      <w:pPr>
        <w:pStyle w:val="Heading2"/>
        <w:keepNext/>
        <w:keepLines/>
        <w:spacing w:before="360" w:after="160"/>
      </w:pPr>
      <w:r>
        <w:rPr>
          <w:rFonts w:ascii="Calibri" w:hAnsi="Calibri"/>
          <w:b/>
          <w:color w:val="1A2B5C"/>
          <w:sz w:val="28"/>
        </w:rPr>
        <w:t>Lampiran 2: Rekapitulasi 33 Standar SPMI</w:t>
      </w:r>
    </w:p>
    <w:p>
      <w:pPr>
        <w:spacing w:line="360" w:lineRule="exact" w:after="120"/>
        <w:ind w:firstLine="567"/>
        <w:jc w:val="both"/>
      </w:pPr>
      <w:r>
        <w:rPr>
          <w:rFonts w:ascii="Calibri" w:hAnsi="Calibri"/>
          <w:color w:val="333333"/>
          <w:sz w:val="22"/>
        </w:rPr>
        <w:t>Universitas Tulungagung memiliki 33 Standar SPMI yang terdiri dari 8 Standar Pendidikan, 8 Standar Penelitian, 8 Standar Pengabdian kepada Masyarakat, dan 9 Standar Tambahan sebagai pelampauan SN Dikti.</w:t>
      </w:r>
    </w:p>
    <w:p>
      <w:pPr>
        <w:keepNext/>
        <w:keepLines/>
        <w:spacing w:before="120" w:after="80"/>
        <w:jc w:val="center"/>
      </w:pPr>
      <w:r>
        <w:rPr>
          <w:rFonts w:ascii="Calibri" w:hAnsi="Calibri"/>
          <w:b/>
          <w:color w:val="1A2B5C"/>
          <w:sz w:val="20"/>
        </w:rPr>
        <w:t>Tabel L2 Rekapitulasi 33 Standar SPMI</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850"/>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2268"/>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Nama Standar</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Kode</w:t>
            </w:r>
          </w:p>
        </w:tc>
        <w:tc>
          <w:tcPr>
            <w:tcW w:type="dxa" w:w="141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Kategori</w:t>
            </w:r>
          </w:p>
        </w:tc>
        <w:tc>
          <w:tcPr>
            <w:tcW w:type="dxa" w:w="1134"/>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Skor</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Kompetensi Lulusan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SKL</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87</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Proses Pembelajaran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SPB</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89</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Penilaian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SPN</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85</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Pengelolaan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SPP</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84</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Isi</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SIS</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83</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Dosen &amp; Tendik</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SDT</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89</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Sarana &amp; Prasarana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SSP</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95</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Pembiayaan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SPM</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Pendidikan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95</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9-16</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Penelitian (8)</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PEN-*</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Penelitian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89-95</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17-24</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PkM (8)</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PKM-*</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PkM</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89-96</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25</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VMTS</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VMTS</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89</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26</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TPTK</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TPTK</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90</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27</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Mahasiswa</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MHS</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93</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28</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SDM</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SDM</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89</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29</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Keuangan/Sarpras</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KSP</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95</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30</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Kerjasama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KJS</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80</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31</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MBKM</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MBKM</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96</w:t>
            </w:r>
          </w:p>
        </w:tc>
      </w:tr>
      <w:tr>
        <w:trPr>
          <w:cantSplit/>
        </w:trPr>
        <w:tc>
          <w:tcPr>
            <w:tcW w:type="dxa" w:w="850"/>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32</w:t>
            </w:r>
          </w:p>
        </w:tc>
        <w:tc>
          <w:tcPr>
            <w:tcW w:type="dxa" w:w="2268"/>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Standar Luaran Tridharma</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LCT</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88</w:t>
            </w:r>
          </w:p>
        </w:tc>
      </w:tr>
      <w:tr>
        <w:trPr>
          <w:cantSplit/>
        </w:trPr>
        <w:tc>
          <w:tcPr>
            <w:tcW w:type="dxa" w:w="850"/>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33</w:t>
            </w:r>
          </w:p>
        </w:tc>
        <w:tc>
          <w:tcPr>
            <w:tcW w:type="dxa" w:w="2268"/>
            <w:tcBorders>
              <w:top w:val="single" w:sz="2" w:color="CCCCCC"/>
              <w:bottom w:val="single" w:sz="2" w:color="CCCCCC"/>
              <w:left w:val="single" w:sz="2" w:color="CCCCCC"/>
              <w:right w:val="single" w:sz="2" w:color="CCCCCC"/>
            </w:tcBorders>
            <w:vAlign w:val="center"/>
          </w:tcPr>
          <w:p>
            <w:r>
              <w:rPr>
                <w:rFonts w:ascii="Calibri" w:hAnsi="Calibri"/>
                <w:color w:val="333333"/>
                <w:sz w:val="20"/>
              </w:rPr>
              <w:t>Standar Pelayanan Mhs</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PKM-MHS</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Tambahan</w:t>
            </w:r>
          </w:p>
        </w:tc>
        <w:tc>
          <w:tcPr>
            <w:tcW w:type="dxa" w:w="1134"/>
            <w:tcBorders>
              <w:top w:val="single" w:sz="2" w:color="CCCCCC"/>
              <w:bottom w:val="single" w:sz="2" w:color="CCCCCC"/>
              <w:left w:val="single" w:sz="2" w:color="CCCCCC"/>
              <w:right w:val="single" w:sz="2" w:color="CCCCCC"/>
            </w:tcBorders>
            <w:vAlign w:val="center"/>
          </w:tcPr>
          <w:p>
            <w:r>
              <w:rPr>
                <w:rFonts w:ascii="Calibri" w:hAnsi="Calibri"/>
                <w:color w:val="333333"/>
                <w:sz w:val="20"/>
              </w:rPr>
              <w:t>88</w:t>
            </w:r>
          </w:p>
        </w:tc>
      </w:tr>
    </w:tbl>
    <w:p>
      <w:pPr>
        <w:pStyle w:val="Heading2"/>
        <w:keepNext/>
        <w:keepLines/>
        <w:spacing w:before="360" w:after="160"/>
      </w:pPr>
      <w:r>
        <w:rPr>
          <w:rFonts w:ascii="Calibri" w:hAnsi="Calibri"/>
          <w:b/>
          <w:color w:val="1A2B5C"/>
          <w:sz w:val="28"/>
        </w:rPr>
        <w:t>Lampiran 3: 8 IKU dan Target Capaian</w:t>
      </w:r>
    </w:p>
    <w:p>
      <w:pPr>
        <w:keepNext/>
        <w:keepLines/>
        <w:spacing w:before="120" w:after="80"/>
        <w:jc w:val="center"/>
      </w:pPr>
      <w:r>
        <w:rPr>
          <w:rFonts w:ascii="Calibri" w:hAnsi="Calibri"/>
          <w:b/>
          <w:color w:val="1A2B5C"/>
          <w:sz w:val="20"/>
        </w:rPr>
        <w:t>Tabel L3 8 IKU dengan Baseline 2025 dan Target 2030</w:t>
      </w:r>
    </w:p>
    <w:tbl>
      <w:tblPr>
        <w:tblStyle w:val="TableGrid"/>
        <w:tblW w:type="auto" w:w="0"/>
        <w:jc w:val="center"/>
        <w:tblLook w:firstColumn="1" w:firstRow="1" w:lastColumn="0" w:lastRow="0" w:noHBand="0" w:noVBand="1" w:val="04A0"/>
      </w:tblPr>
      <w:tblGrid>
        <w:gridCol w:w="1587"/>
        <w:gridCol w:w="1587"/>
        <w:gridCol w:w="1587"/>
        <w:gridCol w:w="1587"/>
        <w:gridCol w:w="1587"/>
      </w:tblGrid>
      <w:tr>
        <w:trPr>
          <w:trHeight w:val="454"/>
          <w:cantSplit/>
        </w:trPr>
        <w:tc>
          <w:tcPr>
            <w:tcW w:type="dxa" w:w="56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No</w:t>
            </w:r>
          </w:p>
        </w:tc>
        <w:tc>
          <w:tcPr>
            <w:tcW w:type="dxa" w:w="2835"/>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IKU</w:t>
            </w:r>
          </w:p>
        </w:tc>
        <w:tc>
          <w:tcPr>
            <w:tcW w:type="dxa" w:w="141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Baseline 2025</w:t>
            </w:r>
          </w:p>
        </w:tc>
        <w:tc>
          <w:tcPr>
            <w:tcW w:type="dxa" w:w="141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Capaian 2025</w:t>
            </w:r>
          </w:p>
        </w:tc>
        <w:tc>
          <w:tcPr>
            <w:tcW w:type="dxa" w:w="1417"/>
            <w:shd w:fill="1A2B5C"/>
            <w:tcBorders>
              <w:top w:val="single" w:sz="4" w:color="1A2B5C"/>
              <w:bottom w:val="single" w:sz="4" w:color="1A2B5C"/>
              <w:left w:val="single" w:sz="4" w:color="1A2B5C"/>
              <w:right w:val="single" w:sz="4" w:color="1A2B5C"/>
            </w:tcBorders>
            <w:vAlign w:val="center"/>
          </w:tcPr>
          <w:p>
            <w:pPr>
              <w:jc w:val="center"/>
            </w:pPr>
            <w:r>
              <w:rPr>
                <w:rFonts w:ascii="Calibri" w:hAnsi="Calibri"/>
                <w:b/>
                <w:color w:val="FFFFFF"/>
                <w:sz w:val="20"/>
              </w:rPr>
              <w:t>Target 2030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1</w:t>
            </w:r>
          </w:p>
        </w:tc>
        <w:tc>
          <w:tcPr>
            <w:tcW w:type="dxa" w:w="2835"/>
            <w:tcBorders>
              <w:top w:val="single" w:sz="2" w:color="CCCCCC"/>
              <w:bottom w:val="single" w:sz="2" w:color="CCCCCC"/>
              <w:left w:val="single" w:sz="2" w:color="CCCCCC"/>
              <w:right w:val="single" w:sz="2" w:color="CCCCCC"/>
            </w:tcBorders>
            <w:vAlign w:val="center"/>
          </w:tcPr>
          <w:p>
            <w:r>
              <w:rPr>
                <w:rFonts w:ascii="Calibri" w:hAnsi="Calibri"/>
                <w:color w:val="333333"/>
                <w:sz w:val="20"/>
              </w:rPr>
              <w:t>Lulusan terserap DUDI &lt;6 bln</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60%</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87%</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92%</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2</w:t>
            </w:r>
          </w:p>
        </w:tc>
        <w:tc>
          <w:tcPr>
            <w:tcW w:type="dxa" w:w="2835"/>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Mahasiswa pengalaman luar kampus</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20%</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68%</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40%</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3</w:t>
            </w:r>
          </w:p>
        </w:tc>
        <w:tc>
          <w:tcPr>
            <w:tcW w:type="dxa" w:w="2835"/>
            <w:tcBorders>
              <w:top w:val="single" w:sz="2" w:color="CCCCCC"/>
              <w:bottom w:val="single" w:sz="2" w:color="CCCCCC"/>
              <w:left w:val="single" w:sz="2" w:color="CCCCCC"/>
              <w:right w:val="single" w:sz="2" w:color="CCCCCC"/>
            </w:tcBorders>
            <w:vAlign w:val="center"/>
          </w:tcPr>
          <w:p>
            <w:r>
              <w:rPr>
                <w:rFonts w:ascii="Calibri" w:hAnsi="Calibri"/>
                <w:color w:val="333333"/>
                <w:sz w:val="20"/>
              </w:rPr>
              <w:t>Dosen berkegiatan luar kampus</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35%</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4</w:t>
            </w:r>
          </w:p>
        </w:tc>
        <w:tc>
          <w:tcPr>
            <w:tcW w:type="dxa" w:w="2835"/>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Praktisi mengajar di kampus</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2/prodi</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2/prodi</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6/prodi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5</w:t>
            </w:r>
          </w:p>
        </w:tc>
        <w:tc>
          <w:tcPr>
            <w:tcW w:type="dxa" w:w="2835"/>
            <w:tcBorders>
              <w:top w:val="single" w:sz="2" w:color="CCCCCC"/>
              <w:bottom w:val="single" w:sz="2" w:color="CCCCCC"/>
              <w:left w:val="single" w:sz="2" w:color="CCCCCC"/>
              <w:right w:val="single" w:sz="2" w:color="CCCCCC"/>
            </w:tcBorders>
            <w:vAlign w:val="center"/>
          </w:tcPr>
          <w:p>
            <w:r>
              <w:rPr>
                <w:rFonts w:ascii="Calibri" w:hAnsi="Calibri"/>
                <w:color w:val="333333"/>
                <w:sz w:val="20"/>
              </w:rPr>
              <w:t>Hasil dosen digunakan masyarakat</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15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18</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35</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6</w:t>
            </w:r>
          </w:p>
        </w:tc>
        <w:tc>
          <w:tcPr>
            <w:tcW w:type="dxa" w:w="2835"/>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Prodi berkerjasama DUDI</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3/prodi</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3/prodi</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7/prodi</w:t>
            </w:r>
          </w:p>
        </w:tc>
      </w:tr>
      <w:tr>
        <w:trPr>
          <w:cantSplit/>
        </w:trPr>
        <w:tc>
          <w:tcPr>
            <w:tcW w:type="dxa" w:w="567"/>
            <w:tcBorders>
              <w:top w:val="single" w:sz="2" w:color="CCCCCC"/>
              <w:bottom w:val="single" w:sz="2" w:color="CCCCCC"/>
              <w:left w:val="single" w:sz="2" w:color="CCCCCC"/>
              <w:right w:val="single" w:sz="2" w:color="CCCCCC"/>
            </w:tcBorders>
            <w:vAlign w:val="center"/>
          </w:tcPr>
          <w:p>
            <w:pPr>
              <w:jc w:val="center"/>
            </w:pPr>
            <w:r>
              <w:rPr>
                <w:rFonts w:ascii="Calibri" w:hAnsi="Calibri"/>
                <w:color w:val="333333"/>
                <w:sz w:val="20"/>
              </w:rPr>
              <w:t>7</w:t>
            </w:r>
          </w:p>
        </w:tc>
        <w:tc>
          <w:tcPr>
            <w:tcW w:type="dxa" w:w="2835"/>
            <w:tcBorders>
              <w:top w:val="single" w:sz="2" w:color="CCCCCC"/>
              <w:bottom w:val="single" w:sz="2" w:color="CCCCCC"/>
              <w:left w:val="single" w:sz="2" w:color="CCCCCC"/>
              <w:right w:val="single" w:sz="2" w:color="CCCCCC"/>
            </w:tcBorders>
            <w:vAlign w:val="center"/>
          </w:tcPr>
          <w:p>
            <w:r>
              <w:rPr>
                <w:rFonts w:ascii="Calibri" w:hAnsi="Calibri"/>
                <w:color w:val="333333"/>
                <w:sz w:val="20"/>
              </w:rPr>
              <w:t>Mata kuliah metode praktik</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40%</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45%</w:t>
            </w:r>
          </w:p>
        </w:tc>
        <w:tc>
          <w:tcPr>
            <w:tcW w:type="dxa" w:w="1417"/>
            <w:tcBorders>
              <w:top w:val="single" w:sz="2" w:color="CCCCCC"/>
              <w:bottom w:val="single" w:sz="2" w:color="CCCCCC"/>
              <w:left w:val="single" w:sz="2" w:color="CCCCCC"/>
              <w:right w:val="single" w:sz="2" w:color="CCCCCC"/>
            </w:tcBorders>
            <w:vAlign w:val="center"/>
          </w:tcPr>
          <w:p>
            <w:r>
              <w:rPr>
                <w:rFonts w:ascii="Calibri" w:hAnsi="Calibri"/>
                <w:color w:val="333333"/>
                <w:sz w:val="20"/>
              </w:rPr>
              <w:t>60%</w:t>
            </w:r>
          </w:p>
        </w:tc>
      </w:tr>
      <w:tr>
        <w:trPr>
          <w:cantSplit/>
        </w:trPr>
        <w:tc>
          <w:tcPr>
            <w:tcW w:type="dxa" w:w="567"/>
            <w:tcBorders>
              <w:top w:val="single" w:sz="2" w:color="CCCCCC"/>
              <w:bottom w:val="single" w:sz="2" w:color="CCCCCC"/>
              <w:left w:val="single" w:sz="2" w:color="CCCCCC"/>
              <w:right w:val="single" w:sz="2" w:color="CCCCCC"/>
            </w:tcBorders>
            <w:shd w:fill="F5F7FA"/>
            <w:vAlign w:val="center"/>
          </w:tcPr>
          <w:p>
            <w:pPr>
              <w:jc w:val="center"/>
            </w:pPr>
            <w:r>
              <w:rPr>
                <w:rFonts w:ascii="Calibri" w:hAnsi="Calibri"/>
                <w:color w:val="333333"/>
                <w:sz w:val="20"/>
              </w:rPr>
              <w:t>8</w:t>
            </w:r>
          </w:p>
        </w:tc>
        <w:tc>
          <w:tcPr>
            <w:tcW w:type="dxa" w:w="2835"/>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Prodi terakreditasi unggul</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30%</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30%</w:t>
            </w:r>
          </w:p>
        </w:tc>
        <w:tc>
          <w:tcPr>
            <w:tcW w:type="dxa" w:w="1417"/>
            <w:tcBorders>
              <w:top w:val="single" w:sz="2" w:color="CCCCCC"/>
              <w:bottom w:val="single" w:sz="2" w:color="CCCCCC"/>
              <w:left w:val="single" w:sz="2" w:color="CCCCCC"/>
              <w:right w:val="single" w:sz="2" w:color="CCCCCC"/>
            </w:tcBorders>
            <w:shd w:fill="F5F7FA"/>
            <w:vAlign w:val="center"/>
          </w:tcPr>
          <w:p>
            <w:r>
              <w:rPr>
                <w:rFonts w:ascii="Calibri" w:hAnsi="Calibri"/>
                <w:color w:val="333333"/>
                <w:sz w:val="20"/>
              </w:rPr>
              <w:t>70%</w:t>
            </w:r>
          </w:p>
        </w:tc>
      </w:tr>
    </w:tbl>
    <w:p>
      <w:pPr>
        <w:pStyle w:val="Heading2"/>
        <w:keepNext/>
        <w:keepLines/>
        <w:spacing w:before="360" w:after="160"/>
      </w:pPr>
      <w:r>
        <w:rPr>
          <w:rFonts w:ascii="Calibri" w:hAnsi="Calibri"/>
          <w:b/>
          <w:color w:val="1A2B5C"/>
          <w:sz w:val="28"/>
        </w:rPr>
        <w:t>Lampiran 4: Glosarium</w:t>
      </w:r>
    </w:p>
    <w:p>
      <w:pPr>
        <w:spacing w:line="280" w:lineRule="exact" w:after="60"/>
      </w:pPr>
      <w:r>
        <w:rPr>
          <w:rFonts w:ascii="Calibri" w:hAnsi="Calibri"/>
          <w:b/>
          <w:color w:val="1A2B5C"/>
          <w:sz w:val="20"/>
        </w:rPr>
        <w:t>AMI</w:t>
      </w:r>
      <w:r>
        <w:rPr>
          <w:rFonts w:ascii="Calibri" w:hAnsi="Calibri"/>
          <w:color w:val="333333"/>
          <w:sz w:val="20"/>
        </w:rPr>
        <w:t xml:space="preserve"> — Audit Mutu Internal</w:t>
      </w:r>
    </w:p>
    <w:p>
      <w:pPr>
        <w:spacing w:line="280" w:lineRule="exact" w:after="60"/>
      </w:pPr>
      <w:r>
        <w:rPr>
          <w:rFonts w:ascii="Calibri" w:hAnsi="Calibri"/>
          <w:b/>
          <w:color w:val="1A2B5C"/>
          <w:sz w:val="20"/>
        </w:rPr>
        <w:t>AEE PT</w:t>
      </w:r>
      <w:r>
        <w:rPr>
          <w:rFonts w:ascii="Calibri" w:hAnsi="Calibri"/>
          <w:color w:val="333333"/>
          <w:sz w:val="20"/>
        </w:rPr>
        <w:t xml:space="preserve"> — Angka Efisiensi Edukasi Perguruan Tinggi</w:t>
      </w:r>
    </w:p>
    <w:p>
      <w:pPr>
        <w:spacing w:line="280" w:lineRule="exact" w:after="60"/>
      </w:pPr>
      <w:r>
        <w:rPr>
          <w:rFonts w:ascii="Calibri" w:hAnsi="Calibri"/>
          <w:b/>
          <w:color w:val="1A2B5C"/>
          <w:sz w:val="20"/>
        </w:rPr>
        <w:t>APT</w:t>
      </w:r>
      <w:r>
        <w:rPr>
          <w:rFonts w:ascii="Calibri" w:hAnsi="Calibri"/>
          <w:color w:val="333333"/>
          <w:sz w:val="20"/>
        </w:rPr>
        <w:t xml:space="preserve"> — Akreditasi Perguruan Tinggi</w:t>
      </w:r>
    </w:p>
    <w:p>
      <w:pPr>
        <w:spacing w:line="280" w:lineRule="exact" w:after="60"/>
      </w:pPr>
      <w:r>
        <w:rPr>
          <w:rFonts w:ascii="Calibri" w:hAnsi="Calibri"/>
          <w:b/>
          <w:color w:val="1A2B5C"/>
          <w:sz w:val="20"/>
        </w:rPr>
        <w:t>BAN-PT</w:t>
      </w:r>
      <w:r>
        <w:rPr>
          <w:rFonts w:ascii="Calibri" w:hAnsi="Calibri"/>
          <w:color w:val="333333"/>
          <w:sz w:val="20"/>
        </w:rPr>
        <w:t xml:space="preserve"> — Badan Akreditasi Nasional Perguruan Tinggi</w:t>
      </w:r>
    </w:p>
    <w:p>
      <w:pPr>
        <w:spacing w:line="280" w:lineRule="exact" w:after="60"/>
      </w:pPr>
      <w:r>
        <w:rPr>
          <w:rFonts w:ascii="Calibri" w:hAnsi="Calibri"/>
          <w:b/>
          <w:color w:val="1A2B5C"/>
          <w:sz w:val="20"/>
        </w:rPr>
        <w:t>CPL</w:t>
      </w:r>
      <w:r>
        <w:rPr>
          <w:rFonts w:ascii="Calibri" w:hAnsi="Calibri"/>
          <w:color w:val="333333"/>
          <w:sz w:val="20"/>
        </w:rPr>
        <w:t xml:space="preserve"> — Capaian Pembelajaran Lulusan</w:t>
      </w:r>
    </w:p>
    <w:p>
      <w:pPr>
        <w:spacing w:line="280" w:lineRule="exact" w:after="60"/>
      </w:pPr>
      <w:r>
        <w:rPr>
          <w:rFonts w:ascii="Calibri" w:hAnsi="Calibri"/>
          <w:b/>
          <w:color w:val="1A2B5C"/>
          <w:sz w:val="20"/>
        </w:rPr>
        <w:t>DUDI</w:t>
      </w:r>
      <w:r>
        <w:rPr>
          <w:rFonts w:ascii="Calibri" w:hAnsi="Calibri"/>
          <w:color w:val="333333"/>
          <w:sz w:val="20"/>
        </w:rPr>
        <w:t xml:space="preserve"> — Dunia Usaha, Dunia Industri, dan Dunia Kerja</w:t>
      </w:r>
    </w:p>
    <w:p>
      <w:pPr>
        <w:spacing w:line="280" w:lineRule="exact" w:after="60"/>
      </w:pPr>
      <w:r>
        <w:rPr>
          <w:rFonts w:ascii="Calibri" w:hAnsi="Calibri"/>
          <w:b/>
          <w:color w:val="1A2B5C"/>
          <w:sz w:val="20"/>
        </w:rPr>
        <w:t>GKM</w:t>
      </w:r>
      <w:r>
        <w:rPr>
          <w:rFonts w:ascii="Calibri" w:hAnsi="Calibri"/>
          <w:color w:val="333333"/>
          <w:sz w:val="20"/>
        </w:rPr>
        <w:t xml:space="preserve"> — Gugus Penjaminan Mutu</w:t>
      </w:r>
    </w:p>
    <w:p>
      <w:pPr>
        <w:spacing w:line="280" w:lineRule="exact" w:after="60"/>
      </w:pPr>
      <w:r>
        <w:rPr>
          <w:rFonts w:ascii="Calibri" w:hAnsi="Calibri"/>
          <w:b/>
          <w:color w:val="1A2B5C"/>
          <w:sz w:val="20"/>
        </w:rPr>
        <w:t>HKI</w:t>
      </w:r>
      <w:r>
        <w:rPr>
          <w:rFonts w:ascii="Calibri" w:hAnsi="Calibri"/>
          <w:color w:val="333333"/>
          <w:sz w:val="20"/>
        </w:rPr>
        <w:t xml:space="preserve"> — Hak Kekayaan Intelektual</w:t>
      </w:r>
    </w:p>
    <w:p>
      <w:pPr>
        <w:spacing w:line="280" w:lineRule="exact" w:after="60"/>
      </w:pPr>
      <w:r>
        <w:rPr>
          <w:rFonts w:ascii="Calibri" w:hAnsi="Calibri"/>
          <w:b/>
          <w:color w:val="1A2B5C"/>
          <w:sz w:val="20"/>
        </w:rPr>
        <w:t>IAPT</w:t>
      </w:r>
      <w:r>
        <w:rPr>
          <w:rFonts w:ascii="Calibri" w:hAnsi="Calibri"/>
          <w:color w:val="333333"/>
          <w:sz w:val="20"/>
        </w:rPr>
        <w:t xml:space="preserve"> — Instrumen Akreditasi Perguruan Tinggi</w:t>
      </w:r>
    </w:p>
    <w:p>
      <w:pPr>
        <w:spacing w:line="280" w:lineRule="exact" w:after="60"/>
      </w:pPr>
      <w:r>
        <w:rPr>
          <w:rFonts w:ascii="Calibri" w:hAnsi="Calibri"/>
          <w:b/>
          <w:color w:val="1A2B5C"/>
          <w:sz w:val="20"/>
        </w:rPr>
        <w:t>IKU</w:t>
      </w:r>
      <w:r>
        <w:rPr>
          <w:rFonts w:ascii="Calibri" w:hAnsi="Calibri"/>
          <w:color w:val="333333"/>
          <w:sz w:val="20"/>
        </w:rPr>
        <w:t xml:space="preserve"> — Indikator Kinerja Utama</w:t>
      </w:r>
    </w:p>
    <w:p>
      <w:pPr>
        <w:spacing w:line="280" w:lineRule="exact" w:after="60"/>
      </w:pPr>
      <w:r>
        <w:rPr>
          <w:rFonts w:ascii="Calibri" w:hAnsi="Calibri"/>
          <w:b/>
          <w:color w:val="1A2B5C"/>
          <w:sz w:val="20"/>
        </w:rPr>
        <w:t>LAM</w:t>
      </w:r>
      <w:r>
        <w:rPr>
          <w:rFonts w:ascii="Calibri" w:hAnsi="Calibri"/>
          <w:color w:val="333333"/>
          <w:sz w:val="20"/>
        </w:rPr>
        <w:t xml:space="preserve"> — Lembaga Akreditasi Mandiri</w:t>
      </w:r>
    </w:p>
    <w:p>
      <w:pPr>
        <w:spacing w:line="280" w:lineRule="exact" w:after="60"/>
      </w:pPr>
      <w:r>
        <w:rPr>
          <w:rFonts w:ascii="Calibri" w:hAnsi="Calibri"/>
          <w:b/>
          <w:color w:val="1A2B5C"/>
          <w:sz w:val="20"/>
        </w:rPr>
        <w:t>LED</w:t>
      </w:r>
      <w:r>
        <w:rPr>
          <w:rFonts w:ascii="Calibri" w:hAnsi="Calibri"/>
          <w:color w:val="333333"/>
          <w:sz w:val="20"/>
        </w:rPr>
        <w:t xml:space="preserve"> — Laporan Evaluasi Diri</w:t>
      </w:r>
    </w:p>
    <w:p>
      <w:pPr>
        <w:spacing w:line="280" w:lineRule="exact" w:after="60"/>
      </w:pPr>
      <w:r>
        <w:rPr>
          <w:rFonts w:ascii="Calibri" w:hAnsi="Calibri"/>
          <w:b/>
          <w:color w:val="1A2B5C"/>
          <w:sz w:val="20"/>
        </w:rPr>
        <w:t>LPPM</w:t>
      </w:r>
      <w:r>
        <w:rPr>
          <w:rFonts w:ascii="Calibri" w:hAnsi="Calibri"/>
          <w:color w:val="333333"/>
          <w:sz w:val="20"/>
        </w:rPr>
        <w:t xml:space="preserve"> — Lembaga Penelitian dan Pengabdian kepada Masyarakat</w:t>
      </w:r>
    </w:p>
    <w:p>
      <w:pPr>
        <w:spacing w:line="280" w:lineRule="exact" w:after="60"/>
      </w:pPr>
      <w:r>
        <w:rPr>
          <w:rFonts w:ascii="Calibri" w:hAnsi="Calibri"/>
          <w:b/>
          <w:color w:val="1A2B5C"/>
          <w:sz w:val="20"/>
        </w:rPr>
        <w:t>LPM</w:t>
      </w:r>
      <w:r>
        <w:rPr>
          <w:rFonts w:ascii="Calibri" w:hAnsi="Calibri"/>
          <w:color w:val="333333"/>
          <w:sz w:val="20"/>
        </w:rPr>
        <w:t xml:space="preserve"> — Lembaga Penjaminan Mutu</w:t>
      </w:r>
    </w:p>
    <w:p>
      <w:pPr>
        <w:spacing w:line="280" w:lineRule="exact" w:after="60"/>
      </w:pPr>
      <w:r>
        <w:rPr>
          <w:rFonts w:ascii="Calibri" w:hAnsi="Calibri"/>
          <w:b/>
          <w:color w:val="1A2B5C"/>
          <w:sz w:val="20"/>
        </w:rPr>
        <w:t>MBKM</w:t>
      </w:r>
      <w:r>
        <w:rPr>
          <w:rFonts w:ascii="Calibri" w:hAnsi="Calibri"/>
          <w:color w:val="333333"/>
          <w:sz w:val="20"/>
        </w:rPr>
        <w:t xml:space="preserve"> — Merdeka Belajar Kampus Merdeka</w:t>
      </w:r>
    </w:p>
    <w:p>
      <w:pPr>
        <w:spacing w:line="280" w:lineRule="exact" w:after="60"/>
      </w:pPr>
      <w:r>
        <w:rPr>
          <w:rFonts w:ascii="Calibri" w:hAnsi="Calibri"/>
          <w:b/>
          <w:color w:val="1A2B5C"/>
          <w:sz w:val="20"/>
        </w:rPr>
        <w:t>PD Dikti</w:t>
      </w:r>
      <w:r>
        <w:rPr>
          <w:rFonts w:ascii="Calibri" w:hAnsi="Calibri"/>
          <w:color w:val="333333"/>
          <w:sz w:val="20"/>
        </w:rPr>
        <w:t xml:space="preserve"> — Pangkalan Data Pendidikan Tinggi</w:t>
      </w:r>
    </w:p>
    <w:p>
      <w:pPr>
        <w:spacing w:line="280" w:lineRule="exact" w:after="60"/>
      </w:pPr>
      <w:r>
        <w:rPr>
          <w:rFonts w:ascii="Calibri" w:hAnsi="Calibri"/>
          <w:b/>
          <w:color w:val="1A2B5C"/>
          <w:sz w:val="20"/>
        </w:rPr>
        <w:t>PkM</w:t>
      </w:r>
      <w:r>
        <w:rPr>
          <w:rFonts w:ascii="Calibri" w:hAnsi="Calibri"/>
          <w:color w:val="333333"/>
          <w:sz w:val="20"/>
        </w:rPr>
        <w:t xml:space="preserve"> — Pengabdian kepada Masyarakat</w:t>
      </w:r>
    </w:p>
    <w:p>
      <w:pPr>
        <w:spacing w:line="280" w:lineRule="exact" w:after="60"/>
      </w:pPr>
      <w:r>
        <w:rPr>
          <w:rFonts w:ascii="Calibri" w:hAnsi="Calibri"/>
          <w:b/>
          <w:color w:val="1A2B5C"/>
          <w:sz w:val="20"/>
        </w:rPr>
        <w:t>PPM</w:t>
      </w:r>
      <w:r>
        <w:rPr>
          <w:rFonts w:ascii="Calibri" w:hAnsi="Calibri"/>
          <w:color w:val="333333"/>
          <w:sz w:val="20"/>
        </w:rPr>
        <w:t xml:space="preserve"> — Pusat Penjaminan Mutu</w:t>
      </w:r>
    </w:p>
    <w:p>
      <w:pPr>
        <w:spacing w:line="280" w:lineRule="exact" w:after="60"/>
      </w:pPr>
      <w:r>
        <w:rPr>
          <w:rFonts w:ascii="Calibri" w:hAnsi="Calibri"/>
          <w:b/>
          <w:color w:val="1A2B5C"/>
          <w:sz w:val="20"/>
        </w:rPr>
        <w:t>PPEPP</w:t>
      </w:r>
      <w:r>
        <w:rPr>
          <w:rFonts w:ascii="Calibri" w:hAnsi="Calibri"/>
          <w:color w:val="333333"/>
          <w:sz w:val="20"/>
        </w:rPr>
        <w:t xml:space="preserve"> — Penetapan, Pelaksanaan, Evaluasi, Pengendalian, Peningkatan</w:t>
      </w:r>
    </w:p>
    <w:p>
      <w:pPr>
        <w:spacing w:line="280" w:lineRule="exact" w:after="60"/>
      </w:pPr>
      <w:r>
        <w:rPr>
          <w:rFonts w:ascii="Calibri" w:hAnsi="Calibri"/>
          <w:b/>
          <w:color w:val="1A2B5C"/>
          <w:sz w:val="20"/>
        </w:rPr>
        <w:t>PTK</w:t>
      </w:r>
      <w:r>
        <w:rPr>
          <w:rFonts w:ascii="Calibri" w:hAnsi="Calibri"/>
          <w:color w:val="333333"/>
          <w:sz w:val="20"/>
        </w:rPr>
        <w:t xml:space="preserve"> — Permintaan Tindakan Koreksi</w:t>
      </w:r>
    </w:p>
    <w:p>
      <w:pPr>
        <w:spacing w:line="280" w:lineRule="exact" w:after="60"/>
      </w:pPr>
      <w:r>
        <w:rPr>
          <w:rFonts w:ascii="Calibri" w:hAnsi="Calibri"/>
          <w:b/>
          <w:color w:val="1A2B5C"/>
          <w:sz w:val="20"/>
        </w:rPr>
        <w:t>RENOP</w:t>
      </w:r>
      <w:r>
        <w:rPr>
          <w:rFonts w:ascii="Calibri" w:hAnsi="Calibri"/>
          <w:color w:val="333333"/>
          <w:sz w:val="20"/>
        </w:rPr>
        <w:t xml:space="preserve"> — Rencana Operasional</w:t>
      </w:r>
    </w:p>
    <w:p>
      <w:pPr>
        <w:spacing w:line="280" w:lineRule="exact" w:after="60"/>
      </w:pPr>
      <w:r>
        <w:rPr>
          <w:rFonts w:ascii="Calibri" w:hAnsi="Calibri"/>
          <w:b/>
          <w:color w:val="1A2B5C"/>
          <w:sz w:val="20"/>
        </w:rPr>
        <w:t>RENSTRA</w:t>
      </w:r>
      <w:r>
        <w:rPr>
          <w:rFonts w:ascii="Calibri" w:hAnsi="Calibri"/>
          <w:color w:val="333333"/>
          <w:sz w:val="20"/>
        </w:rPr>
        <w:t xml:space="preserve"> — Rencana Strategis</w:t>
      </w:r>
    </w:p>
    <w:p>
      <w:pPr>
        <w:spacing w:line="280" w:lineRule="exact" w:after="60"/>
      </w:pPr>
      <w:r>
        <w:rPr>
          <w:rFonts w:ascii="Calibri" w:hAnsi="Calibri"/>
          <w:b/>
          <w:color w:val="1A2B5C"/>
          <w:sz w:val="20"/>
        </w:rPr>
        <w:t>RPS</w:t>
      </w:r>
      <w:r>
        <w:rPr>
          <w:rFonts w:ascii="Calibri" w:hAnsi="Calibri"/>
          <w:color w:val="333333"/>
          <w:sz w:val="20"/>
        </w:rPr>
        <w:t xml:space="preserve"> — Rencana Pembelajaran Semester</w:t>
      </w:r>
    </w:p>
    <w:p>
      <w:pPr>
        <w:spacing w:line="280" w:lineRule="exact" w:after="60"/>
      </w:pPr>
      <w:r>
        <w:rPr>
          <w:rFonts w:ascii="Calibri" w:hAnsi="Calibri"/>
          <w:b/>
          <w:color w:val="1A2B5C"/>
          <w:sz w:val="20"/>
        </w:rPr>
        <w:t>RTM</w:t>
      </w:r>
      <w:r>
        <w:rPr>
          <w:rFonts w:ascii="Calibri" w:hAnsi="Calibri"/>
          <w:color w:val="333333"/>
          <w:sz w:val="20"/>
        </w:rPr>
        <w:t xml:space="preserve"> — Rapat Tinjauan Manajemen</w:t>
      </w:r>
    </w:p>
    <w:p>
      <w:pPr>
        <w:spacing w:line="280" w:lineRule="exact" w:after="60"/>
      </w:pPr>
      <w:r>
        <w:rPr>
          <w:rFonts w:ascii="Calibri" w:hAnsi="Calibri"/>
          <w:b/>
          <w:color w:val="1A2B5C"/>
          <w:sz w:val="20"/>
        </w:rPr>
        <w:t>RTL</w:t>
      </w:r>
      <w:r>
        <w:rPr>
          <w:rFonts w:ascii="Calibri" w:hAnsi="Calibri"/>
          <w:color w:val="333333"/>
          <w:sz w:val="20"/>
        </w:rPr>
        <w:t xml:space="preserve"> — Rencana Tindak Lanjut</w:t>
      </w:r>
    </w:p>
    <w:p>
      <w:pPr>
        <w:spacing w:line="280" w:lineRule="exact" w:after="60"/>
      </w:pPr>
      <w:r>
        <w:rPr>
          <w:rFonts w:ascii="Calibri" w:hAnsi="Calibri"/>
          <w:b/>
          <w:color w:val="1A2B5C"/>
          <w:sz w:val="20"/>
        </w:rPr>
        <w:t>SIAKAD</w:t>
      </w:r>
      <w:r>
        <w:rPr>
          <w:rFonts w:ascii="Calibri" w:hAnsi="Calibri"/>
          <w:color w:val="333333"/>
          <w:sz w:val="20"/>
        </w:rPr>
        <w:t xml:space="preserve"> — Sistem Informasi Akademik</w:t>
      </w:r>
    </w:p>
    <w:p>
      <w:pPr>
        <w:spacing w:line="280" w:lineRule="exact" w:after="60"/>
      </w:pPr>
      <w:r>
        <w:rPr>
          <w:rFonts w:ascii="Calibri" w:hAnsi="Calibri"/>
          <w:b/>
          <w:color w:val="1A2B5C"/>
          <w:sz w:val="20"/>
        </w:rPr>
        <w:t>SN Dikti</w:t>
      </w:r>
      <w:r>
        <w:rPr>
          <w:rFonts w:ascii="Calibri" w:hAnsi="Calibri"/>
          <w:color w:val="333333"/>
          <w:sz w:val="20"/>
        </w:rPr>
        <w:t xml:space="preserve"> — Standar Nasional Pendidikan Tinggi</w:t>
      </w:r>
    </w:p>
    <w:p>
      <w:pPr>
        <w:spacing w:line="280" w:lineRule="exact" w:after="60"/>
      </w:pPr>
      <w:r>
        <w:rPr>
          <w:rFonts w:ascii="Calibri" w:hAnsi="Calibri"/>
          <w:b/>
          <w:color w:val="1A2B5C"/>
          <w:sz w:val="20"/>
        </w:rPr>
        <w:t>SPM Dikti</w:t>
      </w:r>
      <w:r>
        <w:rPr>
          <w:rFonts w:ascii="Calibri" w:hAnsi="Calibri"/>
          <w:color w:val="333333"/>
          <w:sz w:val="20"/>
        </w:rPr>
        <w:t xml:space="preserve"> — Sistem Penjaminan Mutu Pendidikan Tinggi</w:t>
      </w:r>
    </w:p>
    <w:p>
      <w:pPr>
        <w:spacing w:line="280" w:lineRule="exact" w:after="60"/>
      </w:pPr>
      <w:r>
        <w:rPr>
          <w:rFonts w:ascii="Calibri" w:hAnsi="Calibri"/>
          <w:b/>
          <w:color w:val="1A2B5C"/>
          <w:sz w:val="20"/>
        </w:rPr>
        <w:t>SPMI</w:t>
      </w:r>
      <w:r>
        <w:rPr>
          <w:rFonts w:ascii="Calibri" w:hAnsi="Calibri"/>
          <w:color w:val="333333"/>
          <w:sz w:val="20"/>
        </w:rPr>
        <w:t xml:space="preserve"> — Sistem Penjaminan Mutu Internal</w:t>
      </w:r>
    </w:p>
    <w:p>
      <w:pPr>
        <w:spacing w:line="280" w:lineRule="exact" w:after="60"/>
      </w:pPr>
      <w:r>
        <w:rPr>
          <w:rFonts w:ascii="Calibri" w:hAnsi="Calibri"/>
          <w:b/>
          <w:color w:val="1A2B5C"/>
          <w:sz w:val="20"/>
        </w:rPr>
        <w:t>SPME</w:t>
      </w:r>
      <w:r>
        <w:rPr>
          <w:rFonts w:ascii="Calibri" w:hAnsi="Calibri"/>
          <w:color w:val="333333"/>
          <w:sz w:val="20"/>
        </w:rPr>
        <w:t xml:space="preserve"> — Sistem Penjaminan Mutu Eksternal</w:t>
      </w:r>
    </w:p>
    <w:p>
      <w:pPr>
        <w:spacing w:line="280" w:lineRule="exact" w:after="60"/>
      </w:pPr>
      <w:r>
        <w:rPr>
          <w:rFonts w:ascii="Calibri" w:hAnsi="Calibri"/>
          <w:b/>
          <w:color w:val="1A2B5C"/>
          <w:sz w:val="20"/>
        </w:rPr>
        <w:t>UPPS</w:t>
      </w:r>
      <w:r>
        <w:rPr>
          <w:rFonts w:ascii="Calibri" w:hAnsi="Calibri"/>
          <w:color w:val="333333"/>
          <w:sz w:val="20"/>
        </w:rPr>
        <w:t xml:space="preserve"> — Unit Pengelola Program Studi</w:t>
      </w:r>
    </w:p>
    <w:p>
      <w:pPr>
        <w:spacing w:line="280" w:lineRule="exact" w:after="60"/>
      </w:pPr>
      <w:r>
        <w:rPr>
          <w:rFonts w:ascii="Calibri" w:hAnsi="Calibri"/>
          <w:b/>
          <w:color w:val="1A2B5C"/>
          <w:sz w:val="20"/>
        </w:rPr>
        <w:t>VMTS</w:t>
      </w:r>
      <w:r>
        <w:rPr>
          <w:rFonts w:ascii="Calibri" w:hAnsi="Calibri"/>
          <w:color w:val="333333"/>
          <w:sz w:val="20"/>
        </w:rPr>
        <w:t xml:space="preserve"> — Visi, Misi, Tujuan, dan Strategi</w:t>
      </w:r>
    </w:p>
    <w:p>
      <w:pPr>
        <w:spacing w:after="0" w:line="120" w:lineRule="exact"/>
      </w:pPr>
    </w:p>
    <w:p>
      <w:pPr>
        <w:spacing w:after="0" w:line="120" w:lineRule="exact"/>
      </w:pPr>
    </w:p>
    <w:p>
      <w:pPr>
        <w:spacing w:after="0" w:line="120" w:lineRule="exact"/>
      </w:pPr>
    </w:p>
    <w:p>
      <w:pPr>
        <w:jc w:val="center"/>
      </w:pPr>
      <w:r>
        <w:rPr>
          <w:rFonts w:ascii="Calibri" w:hAnsi="Calibri"/>
          <w:i/>
          <w:color w:val="666666"/>
          <w:sz w:val="20"/>
        </w:rPr>
        <w:t>--- END OF REPORT ---</w:t>
      </w:r>
    </w:p>
    <w:p>
      <w:pPr>
        <w:jc w:val="center"/>
      </w:pPr>
      <w:r>
        <w:rPr>
          <w:rFonts w:ascii="Calibri" w:hAnsi="Calibri"/>
          <w:b/>
          <w:color w:val="1A2B5C"/>
          <w:sz w:val="20"/>
        </w:rPr>
        <w:br/>
        <w:t>Laporan Evaluusi Diri Universitas Tulungagung</w:t>
        <w:br/>
        <w:t>Akreditasi Perguruan Tinggi (APT) 4.1</w:t>
        <w:br/>
        <w:t>Tahun Akademik 2024/2025</w:t>
        <w:br/>
        <w:br/>
        <w:t>Pusat Penjaminan Mutu (PPM)</w:t>
        <w:br/>
        <w:t>Universitas Tulungagung</w:t>
        <w:br/>
        <w:t>SK Rektor Nomor: A/002.I/KEP/UNITA/I/2025</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