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A3A6E"/>
          <w:sz w:val="36"/>
        </w:rPr>
        <w:t>UNIVERSITAS TULUNGAGUNG</w:t>
      </w:r>
    </w:p>
    <w:p>
      <w:pPr>
        <w:jc w:val="center"/>
      </w:pPr>
      <w:r>
        <w:rPr>
          <w:rFonts w:ascii="Calibri" w:hAnsi="Calibri"/>
          <w:color w:val="386EE6"/>
          <w:sz w:val="26"/>
        </w:rPr>
        <w:t>PUSAT PENJAMINAN MUTU (PPM)</w:t>
      </w:r>
    </w:p>
    <w:p>
      <w:pPr>
        <w:spacing w:before="400" w:after="400"/>
        <w:jc w:val="center"/>
      </w:pPr>
      <w:r>
        <w:rPr>
          <w:color w:val="386EE6"/>
          <w:sz w:val="20"/>
        </w:rPr>
        <w:t>━━━━━━━━━━━━━━━━━━━━━━━━━━━━━━━━━━━━━</w:t>
      </w:r>
    </w:p>
    <w:p/>
    <w:p/>
    <w:p>
      <w:pPr>
        <w:jc w:val="center"/>
      </w:pPr>
      <w:r>
        <w:rPr>
          <w:rFonts w:ascii="Calibri" w:hAnsi="Calibri"/>
          <w:b/>
          <w:color w:val="1A3A6E"/>
          <w:sz w:val="48"/>
        </w:rPr>
        <w:t>LAPORAN HASIL PELAKSANAAN DAN</w:t>
        <w:br/>
        <w:t>EVALUASI ASSESSMENT</w:t>
      </w:r>
    </w:p>
    <w:p>
      <w:pPr>
        <w:spacing w:before="240"/>
        <w:jc w:val="center"/>
      </w:pPr>
      <w:r>
        <w:rPr>
          <w:rFonts w:ascii="Calibri" w:hAnsi="Calibri"/>
          <w:b/>
          <w:color w:val="386EE6"/>
          <w:sz w:val="32"/>
        </w:rPr>
        <w:t>AUDIT MUTU INTERNAL (AMI)</w:t>
      </w:r>
    </w:p>
    <w:p>
      <w:pPr>
        <w:jc w:val="center"/>
      </w:pPr>
      <w:r>
        <w:rPr>
          <w:rFonts w:ascii="Calibri" w:hAnsi="Calibri"/>
          <w:color w:val="1F2937"/>
          <w:sz w:val="28"/>
        </w:rPr>
        <w:t>TAHUN AKADEMIK 2024/2025</w:t>
      </w:r>
    </w:p>
    <w:p/>
    <w:p/>
    <w:p/>
    <w:p>
      <w:pPr>
        <w:spacing w:before="600"/>
        <w:jc w:val="center"/>
      </w:pPr>
      <w:r>
        <w:rPr>
          <w:rFonts w:ascii="Calibri" w:hAnsi="Calibri"/>
          <w:i/>
          <w:color w:val="6B7280"/>
          <w:sz w:val="24"/>
        </w:rPr>
        <w:t>Siklus PPEPP — Tahap Evaluasi (E)</w:t>
      </w:r>
    </w:p>
    <w:p>
      <w:pPr>
        <w:jc w:val="center"/>
      </w:pPr>
      <w:r>
        <w:rPr>
          <w:rFonts w:ascii="Calibri" w:hAnsi="Calibri"/>
          <w:color w:val="6B7280"/>
          <w:sz w:val="22"/>
        </w:rPr>
        <w:t>Berbasis Peraturan Menteri Pendidikan Tinggi No. 39 Tahun 2025</w:t>
        <w:br/>
        <w:t>tentang Penjaminan Mutu Pendidikan Tinggi</w:t>
      </w:r>
    </w:p>
    <w:p/>
    <w:p/>
    <w:p/>
    <w:p/>
    <w:p>
      <w:pPr>
        <w:jc w:val="center"/>
      </w:pPr>
      <w:r>
        <w:rPr>
          <w:rFonts w:ascii="Calibri" w:hAnsi="Calibri"/>
          <w:b/>
          <w:color w:val="1A3A6E"/>
          <w:sz w:val="26"/>
        </w:rPr>
        <w:t>TULUNGAGUNG</w:t>
        <w:br/>
        <w:t>2025</w:t>
      </w:r>
    </w:p>
    <w:p>
      <w:r>
        <w:br w:type="page"/>
      </w:r>
    </w:p>
    <w:p>
      <w:pPr>
        <w:keepNext/>
        <w:spacing w:before="360" w:after="160"/>
        <w:jc w:val="center"/>
      </w:pPr>
      <w:r>
        <w:rPr>
          <w:rFonts w:ascii="Calibri" w:hAnsi="Calibri"/>
          <w:b/>
          <w:color w:val="1A3A6E"/>
          <w:sz w:val="36"/>
        </w:rPr>
        <w:t>LEMBAR PENGESAHAN</w:t>
      </w:r>
    </w:p>
    <w:p/>
    <w:p>
      <w:pPr>
        <w:spacing w:after="120" w:line="312" w:lineRule="auto"/>
        <w:ind w:firstLine="567"/>
        <w:jc w:val="both"/>
      </w:pPr>
      <w:r>
        <w:rPr>
          <w:rFonts w:ascii="Calibri" w:hAnsi="Calibri"/>
          <w:b w:val="0"/>
          <w:color w:val="1F2937"/>
          <w:sz w:val="22"/>
        </w:rPr>
        <w:t>Laporan Hasil Pelaksanaan dan Evaluasi Assessment Audit Mutu Internal (AMI) Tahun Akademik 2024/2025 ini telah disusun berdasarkan hasil audit terhadap 33 Standar SPMI yang mencakup 15 dokumen AMI dengan total 212 indikator penilaian, sebagai bentuk pelaksanaan tahap Evaluasi (E) pada siklus PPEPP Sistem Penjaminan Mutu Internal Universitas Tulungagung.</w:t>
      </w:r>
    </w:p>
    <w:p/>
    <w:p/>
    <w:tbl>
      <w:tblPr>
        <w:tblStyle w:val="TableGrid"/>
        <w:tblW w:type="auto" w:w="0"/>
        <w:jc w:val="center"/>
        <w:tblLayout w:type="fixed"/>
        <w:tblLook w:firstColumn="1" w:firstRow="1" w:lastColumn="0" w:lastRow="0" w:noHBand="0" w:noVBand="1" w:val="04A0"/>
      </w:tblPr>
      <w:tblGrid>
        <w:gridCol w:w="2646"/>
        <w:gridCol w:w="2646"/>
        <w:gridCol w:w="2646"/>
      </w:tblGrid>
      <w:tr>
        <w:tc>
          <w:tcPr>
            <w:tcW w:type="dxa" w:w="2646"/>
            <w:shd w:fill="1A3A6E"/>
          </w:tcPr>
          <w:p>
            <w:pPr>
              <w:jc w:val="center"/>
            </w:pPr>
            <w:r/>
            <w:r>
              <w:rPr>
                <w:b/>
                <w:color w:val="FFFFFF"/>
                <w:sz w:val="20"/>
              </w:rPr>
              <w:t>Proses</w:t>
            </w:r>
          </w:p>
        </w:tc>
        <w:tc>
          <w:tcPr>
            <w:tcW w:type="dxa" w:w="2646"/>
            <w:shd w:fill="1A3A6E"/>
          </w:tcPr>
          <w:p>
            <w:pPr>
              <w:jc w:val="center"/>
            </w:pPr>
            <w:r/>
            <w:r>
              <w:rPr>
                <w:b/>
                <w:color w:val="FFFFFF"/>
                <w:sz w:val="20"/>
              </w:rPr>
              <w:t>Nama Jabatan</w:t>
            </w:r>
          </w:p>
        </w:tc>
        <w:tc>
          <w:tcPr>
            <w:tcW w:type="dxa" w:w="2646"/>
            <w:shd w:fill="1A3A6E"/>
          </w:tcPr>
          <w:p>
            <w:pPr>
              <w:jc w:val="center"/>
            </w:pPr>
            <w:r/>
            <w:r>
              <w:rPr>
                <w:b/>
                <w:color w:val="FFFFFF"/>
                <w:sz w:val="20"/>
              </w:rPr>
              <w:t>Nama</w:t>
            </w:r>
          </w:p>
        </w:tc>
      </w:tr>
      <w:tr>
        <w:tc>
          <w:tcPr>
            <w:tcW w:type="dxa" w:w="2646"/>
          </w:tcPr>
          <w:p>
            <w:pPr>
              <w:jc w:val="center"/>
            </w:pPr>
            <w:r/>
            <w:r>
              <w:rPr>
                <w:rFonts w:ascii="Calibri" w:hAnsi="Calibri"/>
                <w:b/>
                <w:sz w:val="20"/>
              </w:rPr>
              <w:t>Perumus</w:t>
            </w:r>
          </w:p>
        </w:tc>
        <w:tc>
          <w:tcPr>
            <w:tcW w:type="dxa" w:w="2646"/>
          </w:tcPr>
          <w:p>
            <w:pPr>
              <w:jc w:val="left"/>
            </w:pPr>
            <w:r/>
            <w:r>
              <w:rPr>
                <w:rFonts w:ascii="Calibri" w:hAnsi="Calibri"/>
                <w:sz w:val="20"/>
              </w:rPr>
              <w:t>Anggota Audit &amp; Monev-in</w:t>
            </w:r>
          </w:p>
        </w:tc>
        <w:tc>
          <w:tcPr>
            <w:tcW w:type="dxa" w:w="2646"/>
          </w:tcPr>
          <w:p>
            <w:pPr>
              <w:jc w:val="left"/>
            </w:pPr>
            <w:r/>
            <w:r>
              <w:rPr>
                <w:rFonts w:ascii="Calibri" w:hAnsi="Calibri"/>
                <w:sz w:val="20"/>
              </w:rPr>
              <w:t>Desi Rahmawati, SE., M.M</w:t>
            </w:r>
          </w:p>
        </w:tc>
      </w:tr>
      <w:tr>
        <w:tc>
          <w:tcPr>
            <w:tcW w:type="dxa" w:w="2646"/>
          </w:tcPr>
          <w:p>
            <w:pPr>
              <w:jc w:val="center"/>
            </w:pPr>
            <w:r/>
            <w:r>
              <w:rPr>
                <w:rFonts w:ascii="Calibri" w:hAnsi="Calibri"/>
                <w:b/>
                <w:sz w:val="20"/>
              </w:rPr>
              <w:t>Pemeriksa</w:t>
            </w:r>
          </w:p>
        </w:tc>
        <w:tc>
          <w:tcPr>
            <w:tcW w:type="dxa" w:w="2646"/>
          </w:tcPr>
          <w:p>
            <w:pPr>
              <w:jc w:val="left"/>
            </w:pPr>
            <w:r/>
            <w:r>
              <w:rPr>
                <w:rFonts w:ascii="Calibri" w:hAnsi="Calibri"/>
                <w:sz w:val="20"/>
              </w:rPr>
              <w:t>Kabag. Audit &amp; Monev-in</w:t>
            </w:r>
          </w:p>
        </w:tc>
        <w:tc>
          <w:tcPr>
            <w:tcW w:type="dxa" w:w="2646"/>
          </w:tcPr>
          <w:p>
            <w:pPr>
              <w:jc w:val="left"/>
            </w:pPr>
            <w:r/>
            <w:r>
              <w:rPr>
                <w:rFonts w:ascii="Calibri" w:hAnsi="Calibri"/>
                <w:sz w:val="20"/>
              </w:rPr>
              <w:t>Eni Minarni, SE.Ak., M.Ak</w:t>
            </w:r>
          </w:p>
        </w:tc>
      </w:tr>
      <w:tr>
        <w:tc>
          <w:tcPr>
            <w:tcW w:type="dxa" w:w="2646"/>
          </w:tcPr>
          <w:p>
            <w:pPr>
              <w:jc w:val="center"/>
            </w:pPr>
            <w:r/>
            <w:r>
              <w:rPr>
                <w:rFonts w:ascii="Calibri" w:hAnsi="Calibri"/>
                <w:b/>
                <w:sz w:val="20"/>
              </w:rPr>
              <w:t>Persetujuan</w:t>
            </w:r>
          </w:p>
        </w:tc>
        <w:tc>
          <w:tcPr>
            <w:tcW w:type="dxa" w:w="2646"/>
          </w:tcPr>
          <w:p>
            <w:pPr>
              <w:jc w:val="left"/>
            </w:pPr>
            <w:r/>
            <w:r>
              <w:rPr>
                <w:rFonts w:ascii="Calibri" w:hAnsi="Calibri"/>
                <w:sz w:val="20"/>
              </w:rPr>
              <w:t>Ketua Pusat Penjaminan Mutu</w:t>
            </w:r>
          </w:p>
        </w:tc>
        <w:tc>
          <w:tcPr>
            <w:tcW w:type="dxa" w:w="2646"/>
          </w:tcPr>
          <w:p>
            <w:pPr>
              <w:jc w:val="left"/>
            </w:pPr>
            <w:r/>
            <w:r>
              <w:rPr>
                <w:rFonts w:ascii="Calibri" w:hAnsi="Calibri"/>
                <w:sz w:val="20"/>
              </w:rPr>
              <w:t>Dr. Anang Sugeng Cahoyono, S.AP., S.H., M.Si.</w:t>
            </w:r>
          </w:p>
        </w:tc>
      </w:tr>
      <w:tr>
        <w:tc>
          <w:tcPr>
            <w:tcW w:type="dxa" w:w="2646"/>
          </w:tcPr>
          <w:p>
            <w:pPr>
              <w:jc w:val="center"/>
            </w:pPr>
            <w:r/>
            <w:r>
              <w:rPr>
                <w:rFonts w:ascii="Calibri" w:hAnsi="Calibri"/>
                <w:b/>
                <w:sz w:val="20"/>
              </w:rPr>
              <w:t>Penetapan</w:t>
            </w:r>
          </w:p>
        </w:tc>
        <w:tc>
          <w:tcPr>
            <w:tcW w:type="dxa" w:w="2646"/>
          </w:tcPr>
          <w:p>
            <w:pPr>
              <w:jc w:val="left"/>
            </w:pPr>
            <w:r/>
            <w:r>
              <w:rPr>
                <w:rFonts w:ascii="Calibri" w:hAnsi="Calibri"/>
                <w:sz w:val="20"/>
              </w:rPr>
              <w:t>Rektor</w:t>
            </w:r>
          </w:p>
        </w:tc>
        <w:tc>
          <w:tcPr>
            <w:tcW w:type="dxa" w:w="2646"/>
          </w:tcPr>
          <w:p>
            <w:pPr>
              <w:jc w:val="left"/>
            </w:pPr>
            <w:r/>
            <w:r>
              <w:rPr>
                <w:rFonts w:ascii="Calibri" w:hAnsi="Calibri"/>
                <w:sz w:val="20"/>
              </w:rPr>
              <w:t>Dr. Muharsono, M.Si.</w:t>
            </w:r>
          </w:p>
        </w:tc>
      </w:tr>
      <w:tr>
        <w:tc>
          <w:tcPr>
            <w:tcW w:type="dxa" w:w="2646"/>
          </w:tcPr>
          <w:p>
            <w:pPr>
              <w:jc w:val="center"/>
            </w:pPr>
            <w:r/>
            <w:r>
              <w:rPr>
                <w:rFonts w:ascii="Calibri" w:hAnsi="Calibri"/>
                <w:b/>
                <w:sz w:val="20"/>
              </w:rPr>
              <w:t>Pengendalian</w:t>
            </w:r>
          </w:p>
        </w:tc>
        <w:tc>
          <w:tcPr>
            <w:tcW w:type="dxa" w:w="2646"/>
          </w:tcPr>
          <w:p>
            <w:pPr>
              <w:jc w:val="left"/>
            </w:pPr>
            <w:r/>
            <w:r>
              <w:rPr>
                <w:rFonts w:ascii="Calibri" w:hAnsi="Calibri"/>
                <w:sz w:val="20"/>
              </w:rPr>
              <w:t>Wakil Rektor I</w:t>
            </w:r>
          </w:p>
        </w:tc>
        <w:tc>
          <w:tcPr>
            <w:tcW w:type="dxa" w:w="2646"/>
          </w:tcPr>
          <w:p>
            <w:pPr>
              <w:jc w:val="left"/>
            </w:pPr>
            <w:r/>
            <w:r>
              <w:rPr>
                <w:rFonts w:ascii="Calibri" w:hAnsi="Calibri"/>
                <w:sz w:val="20"/>
              </w:rPr>
              <w:t>Dr. Ir. Bambang Tri Kurnianto, Dipl.Inv., M.MA</w:t>
            </w:r>
          </w:p>
        </w:tc>
      </w:tr>
    </w:tbl>
    <w:p/>
    <w:p/>
    <w:p>
      <w:pPr>
        <w:jc w:val="center"/>
      </w:pPr>
      <w:r>
        <w:rPr>
          <w:rFonts w:ascii="Calibri" w:hAnsi="Calibri"/>
          <w:sz w:val="22"/>
        </w:rPr>
        <w:t>Tulungagung, Agustus 2025</w:t>
      </w:r>
    </w:p>
    <w:p>
      <w:pPr>
        <w:jc w:val="center"/>
      </w:pPr>
      <w:r>
        <w:rPr>
          <w:rFonts w:ascii="Calibri" w:hAnsi="Calibri"/>
          <w:b/>
          <w:sz w:val="22"/>
        </w:rPr>
        <w:t>Pusat Penjaminan Mutu</w:t>
      </w:r>
    </w:p>
    <w:p>
      <w:r>
        <w:br w:type="page"/>
      </w:r>
    </w:p>
    <w:p>
      <w:pPr>
        <w:keepNext/>
        <w:spacing w:before="360" w:after="160"/>
      </w:pPr>
      <w:r>
        <w:rPr>
          <w:rFonts w:ascii="Calibri" w:hAnsi="Calibri"/>
          <w:b/>
          <w:color w:val="1A3A6E"/>
          <w:sz w:val="36"/>
        </w:rPr>
        <w:t>DAFTAR ISI</w:t>
      </w:r>
    </w:p>
    <w:p>
      <w:pPr>
        <w:tabs>
          <w:tab w:pos="8504" w:val="right" w:leader="dot"/>
        </w:tabs>
        <w:spacing w:after="80" w:line="312" w:lineRule="auto"/>
      </w:pPr>
      <w:r>
        <w:rPr>
          <w:rFonts w:ascii="Calibri" w:hAnsi="Calibri"/>
          <w:b/>
          <w:color w:val="1A3A6E"/>
          <w:sz w:val="22"/>
        </w:rPr>
        <w:t>LEMBAR PENGESAHAN</w:t>
      </w:r>
      <w:r>
        <w:rPr>
          <w:rFonts w:ascii="Calibri" w:hAnsi="Calibri"/>
          <w:b/>
          <w:color w:val="1A3A6E"/>
          <w:sz w:val="22"/>
        </w:rPr>
        <w:tab/>
        <w:t>ii</w:t>
      </w:r>
    </w:p>
    <w:p>
      <w:pPr>
        <w:tabs>
          <w:tab w:pos="8504" w:val="right" w:leader="dot"/>
        </w:tabs>
        <w:spacing w:after="80" w:line="312" w:lineRule="auto"/>
      </w:pPr>
      <w:r>
        <w:rPr>
          <w:rFonts w:ascii="Calibri" w:hAnsi="Calibri"/>
          <w:b/>
          <w:color w:val="1A3A6E"/>
          <w:sz w:val="22"/>
        </w:rPr>
        <w:t>DAFTAR ISI</w:t>
      </w:r>
      <w:r>
        <w:rPr>
          <w:rFonts w:ascii="Calibri" w:hAnsi="Calibri"/>
          <w:b/>
          <w:color w:val="1A3A6E"/>
          <w:sz w:val="22"/>
        </w:rPr>
        <w:tab/>
        <w:t>iii</w:t>
      </w:r>
    </w:p>
    <w:p>
      <w:pPr>
        <w:tabs>
          <w:tab w:pos="8504" w:val="right" w:leader="dot"/>
        </w:tabs>
        <w:spacing w:after="80" w:line="312" w:lineRule="auto"/>
      </w:pPr>
      <w:r>
        <w:rPr>
          <w:rFonts w:ascii="Calibri" w:hAnsi="Calibri"/>
          <w:b/>
          <w:color w:val="1A3A6E"/>
          <w:sz w:val="22"/>
        </w:rPr>
        <w:t>DAFTAR TABEL</w:t>
      </w:r>
      <w:r>
        <w:rPr>
          <w:rFonts w:ascii="Calibri" w:hAnsi="Calibri"/>
          <w:b/>
          <w:color w:val="1A3A6E"/>
          <w:sz w:val="22"/>
        </w:rPr>
        <w:tab/>
        <w:t>iv</w:t>
      </w:r>
    </w:p>
    <w:p>
      <w:pPr>
        <w:tabs>
          <w:tab w:pos="8504" w:val="right" w:leader="dot"/>
        </w:tabs>
        <w:spacing w:after="80" w:line="312" w:lineRule="auto"/>
      </w:pPr>
      <w:r>
        <w:rPr>
          <w:rFonts w:ascii="Calibri" w:hAnsi="Calibri"/>
          <w:b/>
          <w:color w:val="1A3A6E"/>
          <w:sz w:val="22"/>
        </w:rPr>
        <w:t>BAB I PENDAHULUAN</w:t>
      </w:r>
      <w:r>
        <w:rPr>
          <w:rFonts w:ascii="Calibri" w:hAnsi="Calibri"/>
          <w:b/>
          <w:color w:val="1A3A6E"/>
          <w:sz w:val="22"/>
        </w:rPr>
        <w:tab/>
        <w:t>1</w:t>
      </w:r>
    </w:p>
    <w:p>
      <w:pPr>
        <w:tabs>
          <w:tab w:pos="8504" w:val="right" w:leader="dot"/>
        </w:tabs>
        <w:spacing w:after="80" w:line="312" w:lineRule="auto"/>
      </w:pPr>
      <w:r>
        <w:rPr>
          <w:rFonts w:ascii="Calibri" w:hAnsi="Calibri"/>
          <w:b w:val="0"/>
          <w:color w:val="1F2937"/>
          <w:sz w:val="20"/>
        </w:rPr>
        <w:t xml:space="preserve">  1.1 Latar Belakang</w:t>
      </w:r>
      <w:r>
        <w:rPr>
          <w:rFonts w:ascii="Calibri" w:hAnsi="Calibri"/>
          <w:b w:val="0"/>
          <w:color w:val="1F2937"/>
          <w:sz w:val="20"/>
        </w:rPr>
        <w:tab/>
        <w:t>1</w:t>
      </w:r>
    </w:p>
    <w:p>
      <w:pPr>
        <w:tabs>
          <w:tab w:pos="8504" w:val="right" w:leader="dot"/>
        </w:tabs>
        <w:spacing w:after="80" w:line="312" w:lineRule="auto"/>
      </w:pPr>
      <w:r>
        <w:rPr>
          <w:rFonts w:ascii="Calibri" w:hAnsi="Calibri"/>
          <w:b w:val="0"/>
          <w:color w:val="1F2937"/>
          <w:sz w:val="20"/>
        </w:rPr>
        <w:t xml:space="preserve">  1.2 Dasar Hukum</w:t>
      </w:r>
      <w:r>
        <w:rPr>
          <w:rFonts w:ascii="Calibri" w:hAnsi="Calibri"/>
          <w:b w:val="0"/>
          <w:color w:val="1F2937"/>
          <w:sz w:val="20"/>
        </w:rPr>
        <w:tab/>
        <w:t>1</w:t>
      </w:r>
    </w:p>
    <w:p>
      <w:pPr>
        <w:tabs>
          <w:tab w:pos="8504" w:val="right" w:leader="dot"/>
        </w:tabs>
        <w:spacing w:after="80" w:line="312" w:lineRule="auto"/>
      </w:pPr>
      <w:r>
        <w:rPr>
          <w:rFonts w:ascii="Calibri" w:hAnsi="Calibri"/>
          <w:b w:val="0"/>
          <w:color w:val="1F2937"/>
          <w:sz w:val="20"/>
        </w:rPr>
        <w:t xml:space="preserve">  1.3 Tujuan Assessment</w:t>
      </w:r>
      <w:r>
        <w:rPr>
          <w:rFonts w:ascii="Calibri" w:hAnsi="Calibri"/>
          <w:b w:val="0"/>
          <w:color w:val="1F2937"/>
          <w:sz w:val="20"/>
        </w:rPr>
        <w:tab/>
        <w:t>2</w:t>
      </w:r>
    </w:p>
    <w:p>
      <w:pPr>
        <w:tabs>
          <w:tab w:pos="8504" w:val="right" w:leader="dot"/>
        </w:tabs>
        <w:spacing w:after="80" w:line="312" w:lineRule="auto"/>
      </w:pPr>
      <w:r>
        <w:rPr>
          <w:rFonts w:ascii="Calibri" w:hAnsi="Calibri"/>
          <w:b w:val="0"/>
          <w:color w:val="1F2937"/>
          <w:sz w:val="20"/>
        </w:rPr>
        <w:t xml:space="preserve">  1.4 Ruang Lingkup Assessment</w:t>
      </w:r>
      <w:r>
        <w:rPr>
          <w:rFonts w:ascii="Calibri" w:hAnsi="Calibri"/>
          <w:b w:val="0"/>
          <w:color w:val="1F2937"/>
          <w:sz w:val="20"/>
        </w:rPr>
        <w:tab/>
        <w:t>2</w:t>
      </w:r>
    </w:p>
    <w:p>
      <w:pPr>
        <w:tabs>
          <w:tab w:pos="8504" w:val="right" w:leader="dot"/>
        </w:tabs>
        <w:spacing w:after="80" w:line="312" w:lineRule="auto"/>
      </w:pPr>
      <w:r>
        <w:rPr>
          <w:rFonts w:ascii="Calibri" w:hAnsi="Calibri"/>
          <w:b/>
          <w:color w:val="1A3A6E"/>
          <w:sz w:val="22"/>
        </w:rPr>
        <w:t>BAB II METODOLOGI ASSESSMENT</w:t>
      </w:r>
      <w:r>
        <w:rPr>
          <w:rFonts w:ascii="Calibri" w:hAnsi="Calibri"/>
          <w:b/>
          <w:color w:val="1A3A6E"/>
          <w:sz w:val="22"/>
        </w:rPr>
        <w:tab/>
        <w:t>3</w:t>
      </w:r>
    </w:p>
    <w:p>
      <w:pPr>
        <w:tabs>
          <w:tab w:pos="8504" w:val="right" w:leader="dot"/>
        </w:tabs>
        <w:spacing w:after="80" w:line="312" w:lineRule="auto"/>
      </w:pPr>
      <w:r>
        <w:rPr>
          <w:rFonts w:ascii="Calibri" w:hAnsi="Calibri"/>
          <w:b w:val="0"/>
          <w:color w:val="1F2937"/>
          <w:sz w:val="20"/>
        </w:rPr>
        <w:t xml:space="preserve">  2.1 Siklus PPEPP</w:t>
      </w:r>
      <w:r>
        <w:rPr>
          <w:rFonts w:ascii="Calibri" w:hAnsi="Calibri"/>
          <w:b w:val="0"/>
          <w:color w:val="1F2937"/>
          <w:sz w:val="20"/>
        </w:rPr>
        <w:tab/>
        <w:t>3</w:t>
      </w:r>
    </w:p>
    <w:p>
      <w:pPr>
        <w:tabs>
          <w:tab w:pos="8504" w:val="right" w:leader="dot"/>
        </w:tabs>
        <w:spacing w:after="80" w:line="312" w:lineRule="auto"/>
      </w:pPr>
      <w:r>
        <w:rPr>
          <w:rFonts w:ascii="Calibri" w:hAnsi="Calibri"/>
          <w:b w:val="0"/>
          <w:color w:val="1F2937"/>
          <w:sz w:val="20"/>
        </w:rPr>
        <w:t xml:space="preserve">  2.2 Teknik Pengumpulan Data</w:t>
      </w:r>
      <w:r>
        <w:rPr>
          <w:rFonts w:ascii="Calibri" w:hAnsi="Calibri"/>
          <w:b w:val="0"/>
          <w:color w:val="1F2937"/>
          <w:sz w:val="20"/>
        </w:rPr>
        <w:tab/>
        <w:t>3</w:t>
      </w:r>
    </w:p>
    <w:p>
      <w:pPr>
        <w:tabs>
          <w:tab w:pos="8504" w:val="right" w:leader="dot"/>
        </w:tabs>
        <w:spacing w:after="80" w:line="312" w:lineRule="auto"/>
      </w:pPr>
      <w:r>
        <w:rPr>
          <w:rFonts w:ascii="Calibri" w:hAnsi="Calibri"/>
          <w:b w:val="0"/>
          <w:color w:val="1F2937"/>
          <w:sz w:val="20"/>
        </w:rPr>
        <w:t xml:space="preserve">  2.3 Skala Penilaian dan Kategori Status</w:t>
      </w:r>
      <w:r>
        <w:rPr>
          <w:rFonts w:ascii="Calibri" w:hAnsi="Calibri"/>
          <w:b w:val="0"/>
          <w:color w:val="1F2937"/>
          <w:sz w:val="20"/>
        </w:rPr>
        <w:tab/>
        <w:t>4</w:t>
      </w:r>
    </w:p>
    <w:p>
      <w:pPr>
        <w:tabs>
          <w:tab w:pos="8504" w:val="right" w:leader="dot"/>
        </w:tabs>
        <w:spacing w:after="80" w:line="312" w:lineRule="auto"/>
      </w:pPr>
      <w:r>
        <w:rPr>
          <w:rFonts w:ascii="Calibri" w:hAnsi="Calibri"/>
          <w:b/>
          <w:color w:val="1A3A6E"/>
          <w:sz w:val="22"/>
        </w:rPr>
        <w:t>BAB III HASIL ASSESSMENT 33 STANDAR SPMI</w:t>
      </w:r>
      <w:r>
        <w:rPr>
          <w:rFonts w:ascii="Calibri" w:hAnsi="Calibri"/>
          <w:b/>
          <w:color w:val="1A3A6E"/>
          <w:sz w:val="22"/>
        </w:rPr>
        <w:tab/>
        <w:t>5</w:t>
      </w:r>
    </w:p>
    <w:p>
      <w:pPr>
        <w:tabs>
          <w:tab w:pos="8504" w:val="right" w:leader="dot"/>
        </w:tabs>
        <w:spacing w:after="80" w:line="312" w:lineRule="auto"/>
      </w:pPr>
      <w:r>
        <w:rPr>
          <w:rFonts w:ascii="Calibri" w:hAnsi="Calibri"/>
          <w:b w:val="0"/>
          <w:color w:val="1F2937"/>
          <w:sz w:val="20"/>
        </w:rPr>
        <w:t xml:space="preserve">  3.1 Ringkasan Eksekutif</w:t>
      </w:r>
      <w:r>
        <w:rPr>
          <w:rFonts w:ascii="Calibri" w:hAnsi="Calibri"/>
          <w:b w:val="0"/>
          <w:color w:val="1F2937"/>
          <w:sz w:val="20"/>
        </w:rPr>
        <w:tab/>
        <w:t>5</w:t>
      </w:r>
    </w:p>
    <w:p>
      <w:pPr>
        <w:tabs>
          <w:tab w:pos="8504" w:val="right" w:leader="dot"/>
        </w:tabs>
        <w:spacing w:after="80" w:line="312" w:lineRule="auto"/>
      </w:pPr>
      <w:r>
        <w:rPr>
          <w:rFonts w:ascii="Calibri" w:hAnsi="Calibri"/>
          <w:b w:val="0"/>
          <w:color w:val="1F2937"/>
          <w:sz w:val="20"/>
        </w:rPr>
        <w:t xml:space="preserve">  3.2 Standar Pendidikan (8 Standar)</w:t>
      </w:r>
      <w:r>
        <w:rPr>
          <w:rFonts w:ascii="Calibri" w:hAnsi="Calibri"/>
          <w:b w:val="0"/>
          <w:color w:val="1F2937"/>
          <w:sz w:val="20"/>
        </w:rPr>
        <w:tab/>
        <w:t>6</w:t>
      </w:r>
    </w:p>
    <w:p>
      <w:pPr>
        <w:tabs>
          <w:tab w:pos="8504" w:val="right" w:leader="dot"/>
        </w:tabs>
        <w:spacing w:after="80" w:line="312" w:lineRule="auto"/>
      </w:pPr>
      <w:r>
        <w:rPr>
          <w:rFonts w:ascii="Calibri" w:hAnsi="Calibri"/>
          <w:b w:val="0"/>
          <w:color w:val="1F2937"/>
          <w:sz w:val="20"/>
        </w:rPr>
        <w:t xml:space="preserve">  3.3 Standar Penelitian (8 Standar)</w:t>
      </w:r>
      <w:r>
        <w:rPr>
          <w:rFonts w:ascii="Calibri" w:hAnsi="Calibri"/>
          <w:b w:val="0"/>
          <w:color w:val="1F2937"/>
          <w:sz w:val="20"/>
        </w:rPr>
        <w:tab/>
        <w:t>8</w:t>
      </w:r>
    </w:p>
    <w:p>
      <w:pPr>
        <w:tabs>
          <w:tab w:pos="8504" w:val="right" w:leader="dot"/>
        </w:tabs>
        <w:spacing w:after="80" w:line="312" w:lineRule="auto"/>
      </w:pPr>
      <w:r>
        <w:rPr>
          <w:rFonts w:ascii="Calibri" w:hAnsi="Calibri"/>
          <w:b w:val="0"/>
          <w:color w:val="1F2937"/>
          <w:sz w:val="20"/>
        </w:rPr>
        <w:t xml:space="preserve">  3.4 Standar Pengabdian kepada Masyarakat (8 Standar)</w:t>
      </w:r>
      <w:r>
        <w:rPr>
          <w:rFonts w:ascii="Calibri" w:hAnsi="Calibri"/>
          <w:b w:val="0"/>
          <w:color w:val="1F2937"/>
          <w:sz w:val="20"/>
        </w:rPr>
        <w:tab/>
        <w:t>10</w:t>
      </w:r>
    </w:p>
    <w:p>
      <w:pPr>
        <w:tabs>
          <w:tab w:pos="8504" w:val="right" w:leader="dot"/>
        </w:tabs>
        <w:spacing w:after="80" w:line="312" w:lineRule="auto"/>
      </w:pPr>
      <w:r>
        <w:rPr>
          <w:rFonts w:ascii="Calibri" w:hAnsi="Calibri"/>
          <w:b w:val="0"/>
          <w:color w:val="1F2937"/>
          <w:sz w:val="20"/>
        </w:rPr>
        <w:t xml:space="preserve">  3.5 Standar Tambahan (9 Standar)</w:t>
      </w:r>
      <w:r>
        <w:rPr>
          <w:rFonts w:ascii="Calibri" w:hAnsi="Calibri"/>
          <w:b w:val="0"/>
          <w:color w:val="1F2937"/>
          <w:sz w:val="20"/>
        </w:rPr>
        <w:tab/>
        <w:t>12</w:t>
      </w:r>
    </w:p>
    <w:p>
      <w:pPr>
        <w:tabs>
          <w:tab w:pos="8504" w:val="right" w:leader="dot"/>
        </w:tabs>
        <w:spacing w:after="80" w:line="312" w:lineRule="auto"/>
      </w:pPr>
      <w:r>
        <w:rPr>
          <w:rFonts w:ascii="Calibri" w:hAnsi="Calibri"/>
          <w:b/>
          <w:color w:val="1A3A6E"/>
          <w:sz w:val="22"/>
        </w:rPr>
        <w:t>BAB IV REKAPITULASI 15 DOKUMEN AMI</w:t>
      </w:r>
      <w:r>
        <w:rPr>
          <w:rFonts w:ascii="Calibri" w:hAnsi="Calibri"/>
          <w:b/>
          <w:color w:val="1A3A6E"/>
          <w:sz w:val="22"/>
        </w:rPr>
        <w:tab/>
        <w:t>14</w:t>
      </w:r>
    </w:p>
    <w:p>
      <w:pPr>
        <w:tabs>
          <w:tab w:pos="8504" w:val="right" w:leader="dot"/>
        </w:tabs>
        <w:spacing w:after="80" w:line="312" w:lineRule="auto"/>
      </w:pPr>
      <w:r>
        <w:rPr>
          <w:rFonts w:ascii="Calibri" w:hAnsi="Calibri"/>
          <w:b/>
          <w:color w:val="1A3A6E"/>
          <w:sz w:val="22"/>
        </w:rPr>
        <w:t>BAB V ANALISIS TEMUAN DAN PTK</w:t>
      </w:r>
      <w:r>
        <w:rPr>
          <w:rFonts w:ascii="Calibri" w:hAnsi="Calibri"/>
          <w:b/>
          <w:color w:val="1A3A6E"/>
          <w:sz w:val="22"/>
        </w:rPr>
        <w:tab/>
        <w:t>16</w:t>
      </w:r>
    </w:p>
    <w:p>
      <w:pPr>
        <w:tabs>
          <w:tab w:pos="8504" w:val="right" w:leader="dot"/>
        </w:tabs>
        <w:spacing w:after="80" w:line="312" w:lineRule="auto"/>
      </w:pPr>
      <w:r>
        <w:rPr>
          <w:rFonts w:ascii="Calibri" w:hAnsi="Calibri"/>
          <w:b/>
          <w:color w:val="1A3A6E"/>
          <w:sz w:val="22"/>
        </w:rPr>
        <w:t>BAB VI KESIMPULAN DAN REKOMENDASI</w:t>
      </w:r>
      <w:r>
        <w:rPr>
          <w:rFonts w:ascii="Calibri" w:hAnsi="Calibri"/>
          <w:b/>
          <w:color w:val="1A3A6E"/>
          <w:sz w:val="22"/>
        </w:rPr>
        <w:tab/>
        <w:t>18</w:t>
      </w:r>
    </w:p>
    <w:p>
      <w:pPr>
        <w:tabs>
          <w:tab w:pos="8504" w:val="right" w:leader="dot"/>
        </w:tabs>
        <w:spacing w:after="80" w:line="312" w:lineRule="auto"/>
      </w:pPr>
      <w:r>
        <w:rPr>
          <w:rFonts w:ascii="Calibri" w:hAnsi="Calibri"/>
          <w:b/>
          <w:color w:val="1A3A6E"/>
          <w:sz w:val="22"/>
        </w:rPr>
        <w:t>LAMPIRAN: Daftar Dokumen AMI 2024-2025</w:t>
      </w:r>
      <w:r>
        <w:rPr>
          <w:rFonts w:ascii="Calibri" w:hAnsi="Calibri"/>
          <w:b/>
          <w:color w:val="1A3A6E"/>
          <w:sz w:val="22"/>
        </w:rPr>
        <w:tab/>
        <w:t>20</w:t>
      </w:r>
    </w:p>
    <w:p>
      <w:r>
        <w:br w:type="page"/>
      </w:r>
    </w:p>
    <w:p>
      <w:pPr>
        <w:keepNext/>
        <w:spacing w:before="360" w:after="160"/>
      </w:pPr>
      <w:r>
        <w:rPr>
          <w:rFonts w:ascii="Calibri" w:hAnsi="Calibri"/>
          <w:b/>
          <w:color w:val="1A3A6E"/>
          <w:sz w:val="36"/>
        </w:rPr>
        <w:t>DAFTAR TABEL</w:t>
      </w:r>
    </w:p>
    <w:p>
      <w:pPr>
        <w:tabs>
          <w:tab w:pos="8504" w:val="right" w:leader="dot"/>
        </w:tabs>
        <w:spacing w:after="80" w:line="312" w:lineRule="auto"/>
      </w:pPr>
      <w:r>
        <w:rPr>
          <w:rFonts w:ascii="Calibri" w:hAnsi="Calibri"/>
          <w:color w:val="1F2937"/>
          <w:sz w:val="21"/>
        </w:rPr>
        <w:t>Tabel 1.1 Dasar Hukum Assessment AMI 2024-2025</w:t>
      </w:r>
      <w:r>
        <w:rPr>
          <w:rFonts w:ascii="Calibri" w:hAnsi="Calibri"/>
          <w:sz w:val="21"/>
        </w:rPr>
        <w:tab/>
        <w:t>2</w:t>
      </w:r>
    </w:p>
    <w:p>
      <w:pPr>
        <w:tabs>
          <w:tab w:pos="8504" w:val="right" w:leader="dot"/>
        </w:tabs>
        <w:spacing w:after="80" w:line="312" w:lineRule="auto"/>
      </w:pPr>
      <w:r>
        <w:rPr>
          <w:rFonts w:ascii="Calibri" w:hAnsi="Calibri"/>
          <w:color w:val="1F2937"/>
          <w:sz w:val="21"/>
        </w:rPr>
        <w:t>Tabel 2.1 Skala Penilaian dan Kategori Status AMI</w:t>
      </w:r>
      <w:r>
        <w:rPr>
          <w:rFonts w:ascii="Calibri" w:hAnsi="Calibri"/>
          <w:sz w:val="21"/>
        </w:rPr>
        <w:tab/>
        <w:t>4</w:t>
      </w:r>
    </w:p>
    <w:p>
      <w:pPr>
        <w:tabs>
          <w:tab w:pos="8504" w:val="right" w:leader="dot"/>
        </w:tabs>
        <w:spacing w:after="80" w:line="312" w:lineRule="auto"/>
      </w:pPr>
      <w:r>
        <w:rPr>
          <w:rFonts w:ascii="Calibri" w:hAnsi="Calibri"/>
          <w:color w:val="1F2937"/>
          <w:sz w:val="21"/>
        </w:rPr>
        <w:t>Tabel 3.1 Ringkasan Eksekutif Hasil AMI 33 Standar SPMI</w:t>
      </w:r>
      <w:r>
        <w:rPr>
          <w:rFonts w:ascii="Calibri" w:hAnsi="Calibri"/>
          <w:sz w:val="21"/>
        </w:rPr>
        <w:tab/>
        <w:t>5</w:t>
      </w:r>
    </w:p>
    <w:p>
      <w:pPr>
        <w:tabs>
          <w:tab w:pos="8504" w:val="right" w:leader="dot"/>
        </w:tabs>
        <w:spacing w:after="80" w:line="312" w:lineRule="auto"/>
      </w:pPr>
      <w:r>
        <w:rPr>
          <w:rFonts w:ascii="Calibri" w:hAnsi="Calibri"/>
          <w:color w:val="1F2937"/>
          <w:sz w:val="21"/>
        </w:rPr>
        <w:t>Tabel 3.2 Hasil Assessment 8 Standar Pendidikan</w:t>
      </w:r>
      <w:r>
        <w:rPr>
          <w:rFonts w:ascii="Calibri" w:hAnsi="Calibri"/>
          <w:sz w:val="21"/>
        </w:rPr>
        <w:tab/>
        <w:t>6</w:t>
      </w:r>
    </w:p>
    <w:p>
      <w:pPr>
        <w:tabs>
          <w:tab w:pos="8504" w:val="right" w:leader="dot"/>
        </w:tabs>
        <w:spacing w:after="80" w:line="312" w:lineRule="auto"/>
      </w:pPr>
      <w:r>
        <w:rPr>
          <w:rFonts w:ascii="Calibri" w:hAnsi="Calibri"/>
          <w:color w:val="1F2937"/>
          <w:sz w:val="21"/>
        </w:rPr>
        <w:t>Tabel 3.3 Hasil Assessment 8 Standar Penelitian</w:t>
      </w:r>
      <w:r>
        <w:rPr>
          <w:rFonts w:ascii="Calibri" w:hAnsi="Calibri"/>
          <w:sz w:val="21"/>
        </w:rPr>
        <w:tab/>
        <w:t>8</w:t>
      </w:r>
    </w:p>
    <w:p>
      <w:pPr>
        <w:tabs>
          <w:tab w:pos="8504" w:val="right" w:leader="dot"/>
        </w:tabs>
        <w:spacing w:after="80" w:line="312" w:lineRule="auto"/>
      </w:pPr>
      <w:r>
        <w:rPr>
          <w:rFonts w:ascii="Calibri" w:hAnsi="Calibri"/>
          <w:color w:val="1F2937"/>
          <w:sz w:val="21"/>
        </w:rPr>
        <w:t>Tabel 3.4 Hasil Assessment 8 Standar Pengabdian kepada Masyarakat</w:t>
      </w:r>
      <w:r>
        <w:rPr>
          <w:rFonts w:ascii="Calibri" w:hAnsi="Calibri"/>
          <w:sz w:val="21"/>
        </w:rPr>
        <w:tab/>
        <w:t>10</w:t>
      </w:r>
    </w:p>
    <w:p>
      <w:pPr>
        <w:tabs>
          <w:tab w:pos="8504" w:val="right" w:leader="dot"/>
        </w:tabs>
        <w:spacing w:after="80" w:line="312" w:lineRule="auto"/>
      </w:pPr>
      <w:r>
        <w:rPr>
          <w:rFonts w:ascii="Calibri" w:hAnsi="Calibri"/>
          <w:color w:val="1F2937"/>
          <w:sz w:val="21"/>
        </w:rPr>
        <w:t>Tabel 3.5 Hasil Assessment 9 Standar Tambahan</w:t>
      </w:r>
      <w:r>
        <w:rPr>
          <w:rFonts w:ascii="Calibri" w:hAnsi="Calibri"/>
          <w:sz w:val="21"/>
        </w:rPr>
        <w:tab/>
        <w:t>12</w:t>
      </w:r>
    </w:p>
    <w:p>
      <w:pPr>
        <w:tabs>
          <w:tab w:pos="8504" w:val="right" w:leader="dot"/>
        </w:tabs>
        <w:spacing w:after="80" w:line="312" w:lineRule="auto"/>
      </w:pPr>
      <w:r>
        <w:rPr>
          <w:rFonts w:ascii="Calibri" w:hAnsi="Calibri"/>
          <w:color w:val="1F2937"/>
          <w:sz w:val="21"/>
        </w:rPr>
        <w:t>Tabel 4.1 Rekapitulasi 15 Dokumen AMI 2024-2025</w:t>
      </w:r>
      <w:r>
        <w:rPr>
          <w:rFonts w:ascii="Calibri" w:hAnsi="Calibri"/>
          <w:sz w:val="21"/>
        </w:rPr>
        <w:tab/>
        <w:t>14</w:t>
      </w:r>
    </w:p>
    <w:p>
      <w:pPr>
        <w:tabs>
          <w:tab w:pos="8504" w:val="right" w:leader="dot"/>
        </w:tabs>
        <w:spacing w:after="80" w:line="312" w:lineRule="auto"/>
      </w:pPr>
      <w:r>
        <w:rPr>
          <w:rFonts w:ascii="Calibri" w:hAnsi="Calibri"/>
          <w:color w:val="1F2937"/>
          <w:sz w:val="21"/>
        </w:rPr>
        <w:t>Tabel 5.1 Analisis Temuan dan PTK per Kategori Standar</w:t>
      </w:r>
      <w:r>
        <w:rPr>
          <w:rFonts w:ascii="Calibri" w:hAnsi="Calibri"/>
          <w:sz w:val="21"/>
        </w:rPr>
        <w:tab/>
        <w:t>16</w:t>
      </w:r>
    </w:p>
    <w:p>
      <w:pPr>
        <w:tabs>
          <w:tab w:pos="8504" w:val="right" w:leader="dot"/>
        </w:tabs>
        <w:spacing w:after="80" w:line="312" w:lineRule="auto"/>
      </w:pPr>
      <w:r>
        <w:rPr>
          <w:rFonts w:ascii="Calibri" w:hAnsi="Calibri"/>
          <w:color w:val="1F2937"/>
          <w:sz w:val="21"/>
        </w:rPr>
        <w:t>Tabel 6.1 Rekomendasi Tindak Lanjut Prioritas</w:t>
      </w:r>
      <w:r>
        <w:rPr>
          <w:rFonts w:ascii="Calibri" w:hAnsi="Calibri"/>
          <w:sz w:val="21"/>
        </w:rPr>
        <w:tab/>
        <w:t>18</w:t>
      </w:r>
    </w:p>
    <w:p>
      <w:r>
        <w:br w:type="page"/>
      </w:r>
    </w:p>
    <w:p>
      <w:pPr>
        <w:keepNext/>
        <w:spacing w:before="360" w:after="160"/>
        <w:jc w:val="center"/>
      </w:pPr>
      <w:r>
        <w:rPr>
          <w:rFonts w:ascii="Calibri" w:hAnsi="Calibri"/>
          <w:b/>
          <w:color w:val="1A3A6E"/>
          <w:sz w:val="40"/>
        </w:rPr>
        <w:t>BAB I</w:t>
        <w:br/>
        <w:t>PENDAHULUAN</w:t>
      </w:r>
    </w:p>
    <w:p>
      <w:pPr>
        <w:keepNext/>
        <w:spacing w:before="240" w:after="160"/>
      </w:pPr>
      <w:r>
        <w:rPr>
          <w:rFonts w:ascii="Calibri" w:hAnsi="Calibri"/>
          <w:b/>
          <w:color w:val="1A3A6E"/>
          <w:sz w:val="26"/>
        </w:rPr>
        <w:t>1.1 Latar Belakang</w:t>
      </w:r>
    </w:p>
    <w:p>
      <w:pPr>
        <w:spacing w:after="120" w:line="312" w:lineRule="auto"/>
        <w:ind w:firstLine="567"/>
        <w:jc w:val="both"/>
      </w:pPr>
      <w:r>
        <w:rPr>
          <w:rFonts w:ascii="Calibri" w:hAnsi="Calibri"/>
          <w:b w:val="0"/>
          <w:color w:val="1F2937"/>
          <w:sz w:val="22"/>
        </w:rPr>
        <w:t>Penjaminan mutu pendidikan tinggi merupakan kegiatan sistemik untuk meningkatkan mutu pendidikan tinggi secara berencana dan berkelanjutan. Sistem Penjaminan Mutu Internal (SPMI) di Universitas Tulungagung dilaksanakan melalui siklus PPEPP (Penetapan, Pelaksanaan, Evaluasi, Pengendalian, dan Peningkatan) sebagaimana diamanatkan dalam Peraturan Menteri Pendidikan Tinggi Nomor 39 Tahun 2025 tentang Penjaminan Mutu Pendidikan Tinggi.</w:t>
      </w:r>
    </w:p>
    <w:p>
      <w:pPr>
        <w:spacing w:after="120" w:line="312" w:lineRule="auto"/>
        <w:ind w:firstLine="567"/>
        <w:jc w:val="both"/>
      </w:pPr>
      <w:r>
        <w:rPr>
          <w:rFonts w:ascii="Calibri" w:hAnsi="Calibri"/>
          <w:b w:val="0"/>
          <w:color w:val="1F2937"/>
          <w:sz w:val="22"/>
        </w:rPr>
        <w:t>Tahap Evaluasi (E) dalam siklus PPEPP dilaksanakan melalui Audit Mutu Internal (AMI), yaitu kegiatan audit yang dilakukan oleh unit penjaminan mutu internal untuk menilai tingkat pencapaian standar yang telah ditetapkan. AMI Tahun Akademik 2024/2025 merupakan pelaksanaan audit terhadap 33 Standar SPMI yang mencakup 8 Standar Pendidikan, 8 Standar Penelitian, 8 Standar Pengabdian kepada Masyarakat, dan 9 Standar Tambahan.</w:t>
      </w:r>
    </w:p>
    <w:p>
      <w:pPr>
        <w:spacing w:after="120" w:line="312" w:lineRule="auto"/>
        <w:ind w:firstLine="567"/>
        <w:jc w:val="both"/>
      </w:pPr>
      <w:r>
        <w:rPr>
          <w:rFonts w:ascii="Calibri" w:hAnsi="Calibri"/>
          <w:b w:val="0"/>
          <w:color w:val="1F2937"/>
          <w:sz w:val="22"/>
        </w:rPr>
        <w:t>Laporan Hasil Pelaksanaan dan Evaluasi Assessment ini disusun sebagai dokumen pertanggungjawaban pelaksanaan AMI TA 2024/2025 yang mencakup 15 dokumen AMI dengan total 212 indikator penilaian. Laporan ini menjadi dasar bagi pimpinan universitas untuk mengambil kebijakan strategis dalam tahap Pengendalian (P) dan Peningkatan (P) pada siklus PPEPP berikutnya.</w:t>
      </w:r>
    </w:p>
    <w:p>
      <w:pPr>
        <w:keepNext/>
        <w:spacing w:before="240" w:after="160"/>
      </w:pPr>
      <w:r>
        <w:rPr>
          <w:rFonts w:ascii="Calibri" w:hAnsi="Calibri"/>
          <w:b/>
          <w:color w:val="1A3A6E"/>
          <w:sz w:val="26"/>
        </w:rPr>
        <w:t>1.2 Dasar Hukum</w:t>
      </w:r>
    </w:p>
    <w:p>
      <w:pPr>
        <w:spacing w:after="120" w:line="312" w:lineRule="auto"/>
        <w:ind w:firstLine="567"/>
        <w:jc w:val="both"/>
      </w:pPr>
      <w:r>
        <w:rPr>
          <w:rFonts w:ascii="Calibri" w:hAnsi="Calibri"/>
          <w:b w:val="0"/>
          <w:color w:val="1F2937"/>
          <w:sz w:val="22"/>
        </w:rPr>
        <w:t>Pelaksanaan Assessment AMI TA 2024/2025 berlandaskan pada peraturan-peraturan berikut:</w:t>
      </w:r>
    </w:p>
    <w:tbl>
      <w:tblPr>
        <w:tblStyle w:val="TableGrid"/>
        <w:tblW w:type="auto" w:w="0"/>
        <w:jc w:val="center"/>
        <w:tblLook w:firstColumn="1" w:firstRow="1" w:lastColumn="0" w:lastRow="0" w:noHBand="0" w:noVBand="1" w:val="04A0"/>
      </w:tblPr>
      <w:tblGrid>
        <w:gridCol w:w="3968"/>
        <w:gridCol w:w="3968"/>
      </w:tblGrid>
      <w:tr>
        <w:tc>
          <w:tcPr>
            <w:tcW w:type="dxa" w:w="3968"/>
            <w:shd w:fill="1A3A6E"/>
            <w:vAlign w:val="center"/>
          </w:tcPr>
          <w:p>
            <w:pPr>
              <w:jc w:val="center"/>
            </w:pPr>
            <w:r/>
            <w:r>
              <w:rPr>
                <w:rFonts w:ascii="Calibri" w:hAnsi="Calibri"/>
                <w:b/>
                <w:color w:val="FFFFFF"/>
                <w:sz w:val="20"/>
              </w:rPr>
              <w:t>No</w:t>
            </w:r>
          </w:p>
        </w:tc>
        <w:tc>
          <w:tcPr>
            <w:tcW w:type="dxa" w:w="3968"/>
            <w:shd w:fill="1A3A6E"/>
            <w:vAlign w:val="center"/>
          </w:tcPr>
          <w:p>
            <w:pPr>
              <w:jc w:val="center"/>
            </w:pPr>
            <w:r/>
            <w:r>
              <w:rPr>
                <w:rFonts w:ascii="Calibri" w:hAnsi="Calibri"/>
                <w:b/>
                <w:color w:val="FFFFFF"/>
                <w:sz w:val="20"/>
              </w:rPr>
              <w:t>Peraturan</w:t>
            </w:r>
          </w:p>
        </w:tc>
      </w:tr>
      <w:tr>
        <w:tc>
          <w:tcPr>
            <w:tcW w:type="dxa" w:w="3968"/>
          </w:tcPr>
          <w:p/>
        </w:tc>
        <w:tc>
          <w:tcPr>
            <w:tcW w:type="dxa" w:w="3968"/>
          </w:tcPr>
          <w:p/>
        </w:tc>
      </w:tr>
      <w:tr>
        <w:tc>
          <w:tcPr>
            <w:tcW w:type="dxa" w:w="3968"/>
          </w:tcPr>
          <w:p/>
        </w:tc>
        <w:tc>
          <w:tcPr>
            <w:tcW w:type="dxa" w:w="3968"/>
          </w:tcPr>
          <w:p/>
        </w:tc>
      </w:tr>
      <w:tr>
        <w:tc>
          <w:tcPr>
            <w:tcW w:type="dxa" w:w="3968"/>
          </w:tcPr>
          <w:p/>
        </w:tc>
        <w:tc>
          <w:tcPr>
            <w:tcW w:type="dxa" w:w="3968"/>
          </w:tcPr>
          <w:p/>
        </w:tc>
      </w:tr>
      <w:tr>
        <w:tc>
          <w:tcPr>
            <w:tcW w:type="dxa" w:w="3968"/>
          </w:tcPr>
          <w:p/>
        </w:tc>
        <w:tc>
          <w:tcPr>
            <w:tcW w:type="dxa" w:w="3968"/>
          </w:tcPr>
          <w:p/>
        </w:tc>
      </w:tr>
      <w:tr>
        <w:tc>
          <w:tcPr>
            <w:tcW w:type="dxa" w:w="3968"/>
          </w:tcPr>
          <w:p/>
        </w:tc>
        <w:tc>
          <w:tcPr>
            <w:tcW w:type="dxa" w:w="3968"/>
          </w:tcPr>
          <w:p/>
        </w:tc>
      </w:tr>
      <w:tr>
        <w:tc>
          <w:tcPr>
            <w:tcW w:type="dxa" w:w="3968"/>
            <w:vAlign w:val="center"/>
          </w:tcPr>
          <w:p>
            <w:r/>
            <w:r>
              <w:rPr>
                <w:rFonts w:ascii="Calibri" w:hAnsi="Calibri"/>
                <w:b w:val="0"/>
                <w:sz w:val="19"/>
              </w:rPr>
              <w:t>1</w:t>
            </w:r>
          </w:p>
        </w:tc>
        <w:tc>
          <w:tcPr>
            <w:tcW w:type="dxa" w:w="3968"/>
            <w:vAlign w:val="center"/>
          </w:tcPr>
          <w:p>
            <w:r/>
            <w:r>
              <w:rPr>
                <w:rFonts w:ascii="Calibri" w:hAnsi="Calibri"/>
                <w:b w:val="0"/>
                <w:sz w:val="19"/>
              </w:rPr>
              <w:t>Undang-Undang Republik Indonesia Nomor 12 Tahun 2012 tentang Pendidikan Tinggi</w:t>
            </w:r>
          </w:p>
        </w:tc>
      </w:tr>
      <w:tr>
        <w:tc>
          <w:tcPr>
            <w:tcW w:type="dxa" w:w="3968"/>
            <w:vAlign w:val="center"/>
          </w:tcPr>
          <w:p>
            <w:r/>
            <w:r>
              <w:rPr>
                <w:rFonts w:ascii="Calibri" w:hAnsi="Calibri"/>
                <w:b w:val="0"/>
                <w:sz w:val="19"/>
              </w:rPr>
              <w:t>2</w:t>
            </w:r>
          </w:p>
        </w:tc>
        <w:tc>
          <w:tcPr>
            <w:tcW w:type="dxa" w:w="3968"/>
            <w:vAlign w:val="center"/>
          </w:tcPr>
          <w:p>
            <w:r/>
            <w:r>
              <w:rPr>
                <w:rFonts w:ascii="Calibri" w:hAnsi="Calibri"/>
                <w:b w:val="0"/>
                <w:sz w:val="19"/>
              </w:rPr>
              <w:t>Peraturan Pemerintah Republik Indonesia No. 4 Tahun 2014 tentang Penyelenggaraan Pendidikan Tinggi dan Pengelolaan Perguruan Tinggi</w:t>
            </w:r>
          </w:p>
        </w:tc>
      </w:tr>
      <w:tr>
        <w:tc>
          <w:tcPr>
            <w:tcW w:type="dxa" w:w="3968"/>
            <w:vAlign w:val="center"/>
          </w:tcPr>
          <w:p>
            <w:r/>
            <w:r>
              <w:rPr>
                <w:rFonts w:ascii="Calibri" w:hAnsi="Calibri"/>
                <w:b w:val="0"/>
                <w:sz w:val="19"/>
              </w:rPr>
              <w:t>3</w:t>
            </w:r>
          </w:p>
        </w:tc>
        <w:tc>
          <w:tcPr>
            <w:tcW w:type="dxa" w:w="3968"/>
            <w:vAlign w:val="center"/>
          </w:tcPr>
          <w:p>
            <w:r/>
            <w:r>
              <w:rPr>
                <w:rFonts w:ascii="Calibri" w:hAnsi="Calibri"/>
                <w:b w:val="0"/>
                <w:sz w:val="19"/>
              </w:rPr>
              <w:t>Peraturan Menteri Pendidikan Tinggi Nomor 39 Tahun 2025 tentang Penjaminan Mutu Pendidikan Tinggi</w:t>
            </w:r>
          </w:p>
        </w:tc>
      </w:tr>
      <w:tr>
        <w:tc>
          <w:tcPr>
            <w:tcW w:type="dxa" w:w="3968"/>
            <w:vAlign w:val="center"/>
          </w:tcPr>
          <w:p>
            <w:r/>
            <w:r>
              <w:rPr>
                <w:rFonts w:ascii="Calibri" w:hAnsi="Calibri"/>
                <w:b w:val="0"/>
                <w:sz w:val="19"/>
              </w:rPr>
              <w:t>4</w:t>
            </w:r>
          </w:p>
        </w:tc>
        <w:tc>
          <w:tcPr>
            <w:tcW w:type="dxa" w:w="3968"/>
            <w:vAlign w:val="center"/>
          </w:tcPr>
          <w:p>
            <w:r/>
            <w:r>
              <w:rPr>
                <w:rFonts w:ascii="Calibri" w:hAnsi="Calibri"/>
                <w:b w:val="0"/>
                <w:sz w:val="19"/>
              </w:rPr>
              <w:t>SK Rektor UNITA Nomor A/039.A/KEP/UNITA/VIII/2020 tentang Manual Mutu Monev-In Tri Dharma Perguruan Tinggi</w:t>
            </w:r>
          </w:p>
        </w:tc>
      </w:tr>
      <w:tr>
        <w:tc>
          <w:tcPr>
            <w:tcW w:type="dxa" w:w="3968"/>
            <w:vAlign w:val="center"/>
          </w:tcPr>
          <w:p>
            <w:r/>
            <w:r>
              <w:rPr>
                <w:rFonts w:ascii="Calibri" w:hAnsi="Calibri"/>
                <w:b w:val="0"/>
                <w:sz w:val="19"/>
              </w:rPr>
              <w:t>5</w:t>
            </w:r>
          </w:p>
        </w:tc>
        <w:tc>
          <w:tcPr>
            <w:tcW w:type="dxa" w:w="3968"/>
            <w:vAlign w:val="center"/>
          </w:tcPr>
          <w:p>
            <w:r/>
            <w:r>
              <w:rPr>
                <w:rFonts w:ascii="Calibri" w:hAnsi="Calibri"/>
                <w:b w:val="0"/>
                <w:sz w:val="19"/>
              </w:rPr>
              <w:t>SK Rektor UNITA Nomor A/026/KEP/UNITA/VI/2022 tentang Pengangkatan Pejabat Penjaminan Mutu Universitas Tulungagung</w:t>
            </w:r>
          </w:p>
        </w:tc>
      </w:tr>
    </w:tbl>
    <w:p/>
    <w:p>
      <w:pPr>
        <w:keepNext/>
        <w:spacing w:before="240" w:after="160"/>
      </w:pPr>
      <w:r>
        <w:rPr>
          <w:rFonts w:ascii="Calibri" w:hAnsi="Calibri"/>
          <w:b/>
          <w:color w:val="1A3A6E"/>
          <w:sz w:val="26"/>
        </w:rPr>
        <w:t>1.3 Tujuan Assessment</w:t>
      </w:r>
    </w:p>
    <w:p>
      <w:pPr>
        <w:spacing w:after="120" w:line="312" w:lineRule="auto"/>
        <w:ind w:firstLine="567"/>
        <w:jc w:val="both"/>
      </w:pPr>
      <w:r>
        <w:rPr>
          <w:rFonts w:ascii="Calibri" w:hAnsi="Calibri"/>
          <w:b w:val="0"/>
          <w:color w:val="1F2937"/>
          <w:sz w:val="22"/>
        </w:rPr>
        <w:t>Assessment AMI TA 2024/2025 bertujuan untuk:</w:t>
      </w:r>
    </w:p>
    <w:p>
      <w:pPr>
        <w:pStyle w:val="ListBullet"/>
        <w:spacing w:after="60" w:line="312" w:lineRule="auto"/>
        <w:ind w:left="567"/>
      </w:pPr>
      <w:r>
        <w:rPr>
          <w:rFonts w:ascii="Calibri" w:hAnsi="Calibri"/>
          <w:sz w:val="22"/>
        </w:rPr>
        <w:t>Menilai tingkat pencapaian 33 Standar SPMI di Universitas Tulungagung berdasarkan 212 indikator yang terdistribusi dalam 15 dokumen AMI.</w:t>
      </w:r>
    </w:p>
    <w:p>
      <w:pPr>
        <w:pStyle w:val="ListBullet"/>
        <w:spacing w:after="60" w:line="312" w:lineRule="auto"/>
        <w:ind w:left="567"/>
      </w:pPr>
      <w:r>
        <w:rPr>
          <w:rFonts w:ascii="Calibri" w:hAnsi="Calibri"/>
          <w:sz w:val="22"/>
        </w:rPr>
        <w:t>Mengidentifikasi temuan dan Permintaan Tindakan Koreksi (PTK) yang perlu ditindaklanjuti oleh unit pengelola standar.</w:t>
      </w:r>
    </w:p>
    <w:p>
      <w:pPr>
        <w:pStyle w:val="ListBullet"/>
        <w:spacing w:after="60" w:line="312" w:lineRule="auto"/>
        <w:ind w:left="567"/>
      </w:pPr>
      <w:r>
        <w:rPr>
          <w:rFonts w:ascii="Calibri" w:hAnsi="Calibri"/>
          <w:sz w:val="22"/>
        </w:rPr>
        <w:t>Menyediakan informasi yang menjadi dasar pengambilan kebijakan oleh pimpinan universitas dalam tahap Pengendalian dan Peningkatan siklus PPEPP.</w:t>
      </w:r>
    </w:p>
    <w:p>
      <w:pPr>
        <w:pStyle w:val="ListBullet"/>
        <w:spacing w:after="60" w:line="312" w:lineRule="auto"/>
        <w:ind w:left="567"/>
      </w:pPr>
      <w:r>
        <w:rPr>
          <w:rFonts w:ascii="Calibri" w:hAnsi="Calibri"/>
          <w:sz w:val="22"/>
        </w:rPr>
        <w:t>Memenuhi amanat Permen 39/2025 tentang pelaksanaan tahap Evaluasi dalam SPMI.</w:t>
      </w:r>
    </w:p>
    <w:p>
      <w:pPr>
        <w:keepNext/>
        <w:spacing w:before="240" w:after="160"/>
      </w:pPr>
      <w:r>
        <w:rPr>
          <w:rFonts w:ascii="Calibri" w:hAnsi="Calibri"/>
          <w:b/>
          <w:color w:val="1A3A6E"/>
          <w:sz w:val="26"/>
        </w:rPr>
        <w:t>1.4 Ruang Lingkup Assessment</w:t>
      </w:r>
    </w:p>
    <w:p>
      <w:pPr>
        <w:spacing w:after="120" w:line="312" w:lineRule="auto"/>
        <w:ind w:firstLine="567"/>
        <w:jc w:val="both"/>
      </w:pPr>
      <w:r>
        <w:rPr>
          <w:rFonts w:ascii="Calibri" w:hAnsi="Calibri"/>
          <w:b w:val="0"/>
          <w:color w:val="1F2937"/>
          <w:sz w:val="22"/>
        </w:rPr>
        <w:t>Ruang lingkup Assessment AMI TA 2024/2025 mencakup:</w:t>
      </w:r>
    </w:p>
    <w:p>
      <w:pPr>
        <w:pStyle w:val="ListBullet"/>
        <w:spacing w:after="60" w:line="312" w:lineRule="auto"/>
        <w:ind w:left="567"/>
      </w:pPr>
      <w:r>
        <w:rPr>
          <w:rFonts w:ascii="Calibri" w:hAnsi="Calibri"/>
          <w:sz w:val="22"/>
        </w:rPr>
        <w:t>33 Standar SPMI: 8 Standar Pendidikan, 8 Standar Penelitian, 8 Standar Pengabdian kepada Masyarakat (PkM), dan 9 Standar Tambahan.</w:t>
      </w:r>
    </w:p>
    <w:p>
      <w:pPr>
        <w:pStyle w:val="ListBullet"/>
        <w:spacing w:after="60" w:line="312" w:lineRule="auto"/>
        <w:ind w:left="567"/>
      </w:pPr>
      <w:r>
        <w:rPr>
          <w:rFonts w:ascii="Calibri" w:hAnsi="Calibri"/>
          <w:sz w:val="22"/>
        </w:rPr>
        <w:t>15 Dokumen AMI: AMI Pendidikan, AMI Proses Pembelajaran Ganjil &amp; Genap, AMI SDM, AMI Kesejahteraan, AMI Keuangan, AMI Sarana dan Prasarana, AMI VMTS, AMI TPTK, AMI Mahasiswa, AMI Penelitian, AMI Pengabdian, AMI MBKM, AMI Pelayanan Mahasiswa Ganjil &amp; Genap.</w:t>
      </w:r>
    </w:p>
    <w:p>
      <w:pPr>
        <w:pStyle w:val="ListBullet"/>
        <w:spacing w:after="60" w:line="312" w:lineRule="auto"/>
        <w:ind w:left="567"/>
      </w:pPr>
      <w:r>
        <w:rPr>
          <w:rFonts w:ascii="Calibri" w:hAnsi="Calibri"/>
          <w:sz w:val="22"/>
        </w:rPr>
        <w:t>212 Indikator penilaian dengan skala pencapaian dan kategori status MS/ML/BS/MSV.</w:t>
      </w:r>
    </w:p>
    <w:p>
      <w:pPr>
        <w:pStyle w:val="ListBullet"/>
        <w:spacing w:after="60" w:line="312" w:lineRule="auto"/>
        <w:ind w:left="567"/>
      </w:pPr>
      <w:r>
        <w:rPr>
          <w:rFonts w:ascii="Calibri" w:hAnsi="Calibri"/>
          <w:sz w:val="22"/>
        </w:rPr>
        <w:t>Periode audit: sepanjang Tahun Akademik 2024/2025 oleh PPM UNITA.</w:t>
      </w:r>
    </w:p>
    <w:p>
      <w:r>
        <w:br w:type="page"/>
      </w:r>
    </w:p>
    <w:p>
      <w:pPr>
        <w:keepNext/>
        <w:spacing w:before="360" w:after="160"/>
        <w:jc w:val="center"/>
      </w:pPr>
      <w:r>
        <w:rPr>
          <w:rFonts w:ascii="Calibri" w:hAnsi="Calibri"/>
          <w:b/>
          <w:color w:val="1A3A6E"/>
          <w:sz w:val="40"/>
        </w:rPr>
        <w:t>BAB II</w:t>
        <w:br/>
        <w:t>METODOLOGI ASSESSMENT</w:t>
      </w:r>
    </w:p>
    <w:p>
      <w:pPr>
        <w:keepNext/>
        <w:spacing w:before="240" w:after="160"/>
      </w:pPr>
      <w:r>
        <w:rPr>
          <w:rFonts w:ascii="Calibri" w:hAnsi="Calibri"/>
          <w:b/>
          <w:color w:val="1A3A6E"/>
          <w:sz w:val="26"/>
        </w:rPr>
        <w:t>2.1 Siklus PPEPP</w:t>
      </w:r>
    </w:p>
    <w:p>
      <w:pPr>
        <w:spacing w:after="120" w:line="312" w:lineRule="auto"/>
        <w:ind w:firstLine="567"/>
        <w:jc w:val="both"/>
      </w:pPr>
      <w:r>
        <w:rPr>
          <w:rFonts w:ascii="Calibri" w:hAnsi="Calibri"/>
          <w:b w:val="0"/>
          <w:color w:val="1F2937"/>
          <w:sz w:val="22"/>
        </w:rPr>
        <w:t>Sistem Penjaminan Mutu Internal (SPMI) Universitas Tulungagung dilaksanakan melalui siklus PPEPP (Penetapan, Pelaksanaan, Evaluasi, Pengendalian, dan Peningkatan) sebagaimana diatur dalam Permen 39/2025. Assessment AMI TA 2024/2025 ini merupakan pelaksanaan tahap Evaluasi (E) yang berfungsi untuk:</w:t>
      </w:r>
    </w:p>
    <w:p>
      <w:pPr>
        <w:pStyle w:val="ListBullet"/>
        <w:spacing w:after="60" w:line="312" w:lineRule="auto"/>
        <w:ind w:left="567"/>
      </w:pPr>
      <w:r>
        <w:rPr>
          <w:rFonts w:ascii="Calibri" w:hAnsi="Calibri"/>
          <w:sz w:val="22"/>
        </w:rPr>
        <w:t>Penetapan (P): Penetapan 33 Standar SPMI melalui 4 Dokumen Mutu (Kebijakan, Manual, Standar, Formulir) yang ditetapkan 1 September 2025.</w:t>
      </w:r>
    </w:p>
    <w:p>
      <w:pPr>
        <w:pStyle w:val="ListBullet"/>
        <w:spacing w:after="60" w:line="312" w:lineRule="auto"/>
        <w:ind w:left="567"/>
      </w:pPr>
      <w:r>
        <w:rPr>
          <w:rFonts w:ascii="Calibri" w:hAnsi="Calibri"/>
          <w:sz w:val="22"/>
        </w:rPr>
        <w:t>Pelaksanaan (P): Implementasi 33 standar di seluruh unit kerja universitas sepanjang TA 2024/2025.</w:t>
      </w:r>
    </w:p>
    <w:p>
      <w:pPr>
        <w:pStyle w:val="ListBullet"/>
        <w:spacing w:after="60" w:line="312" w:lineRule="auto"/>
        <w:ind w:left="567"/>
      </w:pPr>
      <w:r>
        <w:rPr>
          <w:rFonts w:ascii="Calibri" w:hAnsi="Calibri"/>
          <w:sz w:val="22"/>
        </w:rPr>
        <w:t>Evaluasi (E): Audit Mutu Internal melalui 15 dokumen AMI dengan 212 indikator — INI TAHAP YANG DILAPORKAN.</w:t>
      </w:r>
    </w:p>
    <w:p>
      <w:pPr>
        <w:pStyle w:val="ListBullet"/>
        <w:spacing w:after="60" w:line="312" w:lineRule="auto"/>
        <w:ind w:left="567"/>
      </w:pPr>
      <w:r>
        <w:rPr>
          <w:rFonts w:ascii="Calibri" w:hAnsi="Calibri"/>
          <w:sz w:val="22"/>
        </w:rPr>
        <w:t>Pengendalian (P): Rapat Tinjauan Manajemen (RTM) untuk merumuskan Rencana Tindak Lanjut (RTL).</w:t>
      </w:r>
    </w:p>
    <w:p>
      <w:pPr>
        <w:pStyle w:val="ListBullet"/>
        <w:spacing w:after="60" w:line="312" w:lineRule="auto"/>
        <w:ind w:left="567"/>
      </w:pPr>
      <w:r>
        <w:rPr>
          <w:rFonts w:ascii="Calibri" w:hAnsi="Calibri"/>
          <w:sz w:val="22"/>
        </w:rPr>
        <w:t>Peningkatan (P): Implementasi RTL untuk peningkatan mutu berkelanjutan.</w:t>
      </w:r>
    </w:p>
    <w:p>
      <w:pPr>
        <w:keepNext/>
        <w:spacing w:before="240" w:after="160"/>
      </w:pPr>
      <w:r>
        <w:rPr>
          <w:rFonts w:ascii="Calibri" w:hAnsi="Calibri"/>
          <w:b/>
          <w:color w:val="1A3A6E"/>
          <w:sz w:val="26"/>
        </w:rPr>
        <w:t>2.2 Teknik Pengumpulan Data</w:t>
      </w:r>
    </w:p>
    <w:p>
      <w:pPr>
        <w:spacing w:after="120" w:line="312" w:lineRule="auto"/>
        <w:ind w:firstLine="567"/>
        <w:jc w:val="both"/>
      </w:pPr>
      <w:r>
        <w:rPr>
          <w:rFonts w:ascii="Calibri" w:hAnsi="Calibri"/>
          <w:b w:val="0"/>
          <w:color w:val="1F2937"/>
          <w:sz w:val="22"/>
        </w:rPr>
        <w:t>Pengumpulan data AMI TA 2024/2025 dilakukan melalui kombinasi pendekatan kuantitatif dan kualitatif dengan instrumen:</w:t>
      </w:r>
    </w:p>
    <w:p>
      <w:pPr>
        <w:pStyle w:val="ListBullet"/>
        <w:spacing w:after="60" w:line="312" w:lineRule="auto"/>
        <w:ind w:left="567"/>
      </w:pPr>
      <w:r>
        <w:rPr>
          <w:rFonts w:ascii="Calibri" w:hAnsi="Calibri"/>
          <w:sz w:val="22"/>
        </w:rPr>
        <w:t>Kuesioner online (Google Form) dengan skala Likert 1-4 untuk standar berbasis persepsi (VMTS, TPTK, Mahasiswa, Pelayanan, Kesejahteraan, Proses Pembelajaran).</w:t>
      </w:r>
    </w:p>
    <w:p>
      <w:pPr>
        <w:pStyle w:val="ListBullet"/>
        <w:spacing w:after="60" w:line="312" w:lineRule="auto"/>
        <w:ind w:left="567"/>
      </w:pPr>
      <w:r>
        <w:rPr>
          <w:rFonts w:ascii="Calibri" w:hAnsi="Calibri"/>
          <w:sz w:val="22"/>
        </w:rPr>
        <w:t>Checklist dokumen untuk standar berbasis dokumen (Pendidikan, Penelitian, PkM, SDM, Keuangan, Sarpras, MBKM).</w:t>
      </w:r>
    </w:p>
    <w:p>
      <w:pPr>
        <w:pStyle w:val="ListBullet"/>
        <w:spacing w:after="60" w:line="312" w:lineRule="auto"/>
        <w:ind w:left="567"/>
      </w:pPr>
      <w:r>
        <w:rPr>
          <w:rFonts w:ascii="Calibri" w:hAnsi="Calibri"/>
          <w:sz w:val="22"/>
        </w:rPr>
        <w:t>Wawancara terstruktur dengan penanggung jawab standar di setiap unit kerja.</w:t>
      </w:r>
    </w:p>
    <w:p>
      <w:pPr>
        <w:pStyle w:val="ListBullet"/>
        <w:spacing w:after="60" w:line="312" w:lineRule="auto"/>
        <w:ind w:left="567"/>
      </w:pPr>
      <w:r>
        <w:rPr>
          <w:rFonts w:ascii="Calibri" w:hAnsi="Calibri"/>
          <w:sz w:val="22"/>
        </w:rPr>
        <w:t>Observasi lapangan untuk sarana dan prasarana.</w:t>
      </w:r>
    </w:p>
    <w:p>
      <w:pPr>
        <w:pStyle w:val="ListBullet"/>
        <w:spacing w:after="60" w:line="312" w:lineRule="auto"/>
        <w:ind w:left="567"/>
      </w:pPr>
      <w:r>
        <w:rPr>
          <w:rFonts w:ascii="Calibri" w:hAnsi="Calibri"/>
          <w:sz w:val="22"/>
        </w:rPr>
        <w:t>Triangulasi data dari PD-Dikti, evaluasi internal, dan stakeholder eksternal.</w:t>
      </w:r>
    </w:p>
    <w:p>
      <w:pPr>
        <w:keepNext/>
        <w:spacing w:before="240" w:after="160"/>
      </w:pPr>
      <w:r>
        <w:rPr>
          <w:rFonts w:ascii="Calibri" w:hAnsi="Calibri"/>
          <w:b/>
          <w:color w:val="1A3A6E"/>
          <w:sz w:val="26"/>
        </w:rPr>
        <w:t>2.3 Skala Penilaian dan Kategori Status</w:t>
      </w:r>
    </w:p>
    <w:p>
      <w:pPr>
        <w:spacing w:after="120" w:line="312" w:lineRule="auto"/>
        <w:ind w:firstLine="567"/>
        <w:jc w:val="both"/>
      </w:pPr>
      <w:r>
        <w:rPr>
          <w:rFonts w:ascii="Calibri" w:hAnsi="Calibri"/>
          <w:b w:val="0"/>
          <w:color w:val="1F2937"/>
          <w:sz w:val="22"/>
        </w:rPr>
        <w:t>Penilaian AMI menggunakan skala pencapaian 0-100 dengan 4 kategori status sebagaimana ditunjukkan pada Tabel 2.1.</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1A3A6E"/>
            <w:vAlign w:val="center"/>
          </w:tcPr>
          <w:p>
            <w:pPr>
              <w:jc w:val="center"/>
            </w:pPr>
            <w:r/>
            <w:r>
              <w:rPr>
                <w:rFonts w:ascii="Calibri" w:hAnsi="Calibri"/>
                <w:b/>
                <w:color w:val="FFFFFF"/>
                <w:sz w:val="20"/>
              </w:rPr>
              <w:t>Kategori Status</w:t>
            </w:r>
          </w:p>
        </w:tc>
        <w:tc>
          <w:tcPr>
            <w:tcW w:type="dxa" w:w="2646"/>
            <w:shd w:fill="1A3A6E"/>
            <w:vAlign w:val="center"/>
          </w:tcPr>
          <w:p>
            <w:pPr>
              <w:jc w:val="center"/>
            </w:pPr>
            <w:r/>
            <w:r>
              <w:rPr>
                <w:rFonts w:ascii="Calibri" w:hAnsi="Calibri"/>
                <w:b/>
                <w:color w:val="FFFFFF"/>
                <w:sz w:val="20"/>
              </w:rPr>
              <w:t>Rentang Skor</w:t>
            </w:r>
          </w:p>
        </w:tc>
        <w:tc>
          <w:tcPr>
            <w:tcW w:type="dxa" w:w="2646"/>
            <w:shd w:fill="1A3A6E"/>
            <w:vAlign w:val="center"/>
          </w:tcPr>
          <w:p>
            <w:pPr>
              <w:jc w:val="center"/>
            </w:pPr>
            <w:r/>
            <w:r>
              <w:rPr>
                <w:rFonts w:ascii="Calibri" w:hAnsi="Calibri"/>
                <w:b/>
                <w:color w:val="FFFFFF"/>
                <w:sz w:val="20"/>
              </w:rPr>
              <w:t>Keterangan</w:t>
            </w:r>
          </w:p>
        </w:tc>
      </w:tr>
      <w:tr>
        <w:tc>
          <w:tcPr>
            <w:tcW w:type="dxa" w:w="2646"/>
          </w:tcPr>
          <w:p/>
        </w:tc>
        <w:tc>
          <w:tcPr>
            <w:tcW w:type="dxa" w:w="2646"/>
          </w:tcPr>
          <w:p/>
        </w:tc>
        <w:tc>
          <w:tcPr>
            <w:tcW w:type="dxa" w:w="2646"/>
          </w:tcPr>
          <w:p/>
        </w:tc>
      </w:tr>
      <w:tr>
        <w:tc>
          <w:tcPr>
            <w:tcW w:type="dxa" w:w="2646"/>
          </w:tcPr>
          <w:p/>
        </w:tc>
        <w:tc>
          <w:tcPr>
            <w:tcW w:type="dxa" w:w="2646"/>
          </w:tcPr>
          <w:p/>
        </w:tc>
        <w:tc>
          <w:tcPr>
            <w:tcW w:type="dxa" w:w="2646"/>
          </w:tcPr>
          <w:p/>
        </w:tc>
      </w:tr>
      <w:tr>
        <w:tc>
          <w:tcPr>
            <w:tcW w:type="dxa" w:w="2646"/>
          </w:tcPr>
          <w:p/>
        </w:tc>
        <w:tc>
          <w:tcPr>
            <w:tcW w:type="dxa" w:w="2646"/>
          </w:tcPr>
          <w:p/>
        </w:tc>
        <w:tc>
          <w:tcPr>
            <w:tcW w:type="dxa" w:w="2646"/>
          </w:tcPr>
          <w:p/>
        </w:tc>
      </w:tr>
      <w:tr>
        <w:tc>
          <w:tcPr>
            <w:tcW w:type="dxa" w:w="2646"/>
          </w:tcPr>
          <w:p/>
        </w:tc>
        <w:tc>
          <w:tcPr>
            <w:tcW w:type="dxa" w:w="2646"/>
          </w:tcPr>
          <w:p/>
        </w:tc>
        <w:tc>
          <w:tcPr>
            <w:tcW w:type="dxa" w:w="2646"/>
          </w:tcPr>
          <w:p/>
        </w:tc>
      </w:tr>
      <w:tr>
        <w:tc>
          <w:tcPr>
            <w:tcW w:type="dxa" w:w="2646"/>
            <w:vAlign w:val="center"/>
          </w:tcPr>
          <w:p>
            <w:r>
              <w:rPr>
                <w:b/>
                <w:color w:val="109881"/>
              </w:rPr>
            </w:r>
            <w:r>
              <w:rPr>
                <w:rFonts w:ascii="Calibri" w:hAnsi="Calibri"/>
                <w:b w:val="0"/>
                <w:sz w:val="19"/>
              </w:rPr>
              <w:t>MS (Mencapai Standar)</w:t>
            </w:r>
          </w:p>
        </w:tc>
        <w:tc>
          <w:tcPr>
            <w:tcW w:type="dxa" w:w="2646"/>
            <w:vAlign w:val="center"/>
          </w:tcPr>
          <w:p>
            <w:r/>
            <w:r>
              <w:rPr>
                <w:rFonts w:ascii="Calibri" w:hAnsi="Calibri"/>
                <w:b w:val="0"/>
                <w:sz w:val="19"/>
              </w:rPr>
              <w:t>75 - 89</w:t>
            </w:r>
          </w:p>
        </w:tc>
        <w:tc>
          <w:tcPr>
            <w:tcW w:type="dxa" w:w="2646"/>
            <w:vAlign w:val="center"/>
          </w:tcPr>
          <w:p>
            <w:r/>
            <w:r>
              <w:rPr>
                <w:rFonts w:ascii="Calibri" w:hAnsi="Calibri"/>
                <w:b w:val="0"/>
                <w:sz w:val="19"/>
              </w:rPr>
              <w:t>Capaian memenuhi standar yang ditetapkan</w:t>
            </w:r>
          </w:p>
        </w:tc>
      </w:tr>
      <w:tr>
        <w:tc>
          <w:tcPr>
            <w:tcW w:type="dxa" w:w="2646"/>
            <w:vAlign w:val="center"/>
          </w:tcPr>
          <w:p>
            <w:r>
              <w:rPr>
                <w:b/>
                <w:color w:val="06B6D4"/>
              </w:rPr>
            </w:r>
            <w:r>
              <w:rPr>
                <w:rFonts w:ascii="Calibri" w:hAnsi="Calibri"/>
                <w:b w:val="0"/>
                <w:sz w:val="19"/>
              </w:rPr>
              <w:t>ML (Melampaui Standar)</w:t>
            </w:r>
          </w:p>
        </w:tc>
        <w:tc>
          <w:tcPr>
            <w:tcW w:type="dxa" w:w="2646"/>
            <w:vAlign w:val="center"/>
          </w:tcPr>
          <w:p>
            <w:r/>
            <w:r>
              <w:rPr>
                <w:rFonts w:ascii="Calibri" w:hAnsi="Calibri"/>
                <w:b w:val="0"/>
                <w:sz w:val="19"/>
              </w:rPr>
              <w:t>90 - 100</w:t>
            </w:r>
          </w:p>
        </w:tc>
        <w:tc>
          <w:tcPr>
            <w:tcW w:type="dxa" w:w="2646"/>
            <w:vAlign w:val="center"/>
          </w:tcPr>
          <w:p>
            <w:r/>
            <w:r>
              <w:rPr>
                <w:rFonts w:ascii="Calibri" w:hAnsi="Calibri"/>
                <w:b w:val="0"/>
                <w:sz w:val="19"/>
              </w:rPr>
              <w:t>Capaian melebihi standar yang ditetapkan</w:t>
            </w:r>
          </w:p>
        </w:tc>
      </w:tr>
      <w:tr>
        <w:tc>
          <w:tcPr>
            <w:tcW w:type="dxa" w:w="2646"/>
            <w:vAlign w:val="center"/>
          </w:tcPr>
          <w:p>
            <w:r>
              <w:rPr>
                <w:b/>
                <w:color w:val="F59E0B"/>
              </w:rPr>
            </w:r>
            <w:r>
              <w:rPr>
                <w:rFonts w:ascii="Calibri" w:hAnsi="Calibri"/>
                <w:b w:val="0"/>
                <w:sz w:val="19"/>
              </w:rPr>
              <w:t>BS (Belum mencapai Standar)</w:t>
            </w:r>
          </w:p>
        </w:tc>
        <w:tc>
          <w:tcPr>
            <w:tcW w:type="dxa" w:w="2646"/>
            <w:vAlign w:val="center"/>
          </w:tcPr>
          <w:p>
            <w:r/>
            <w:r>
              <w:rPr>
                <w:rFonts w:ascii="Calibri" w:hAnsi="Calibri"/>
                <w:b w:val="0"/>
                <w:sz w:val="19"/>
              </w:rPr>
              <w:t>60 - 74</w:t>
            </w:r>
          </w:p>
        </w:tc>
        <w:tc>
          <w:tcPr>
            <w:tcW w:type="dxa" w:w="2646"/>
            <w:vAlign w:val="center"/>
          </w:tcPr>
          <w:p>
            <w:r/>
            <w:r>
              <w:rPr>
                <w:rFonts w:ascii="Calibri" w:hAnsi="Calibri"/>
                <w:b w:val="0"/>
                <w:sz w:val="19"/>
              </w:rPr>
              <w:t>Capaian belum memenuhi standar, perlu PTK</w:t>
            </w:r>
          </w:p>
        </w:tc>
      </w:tr>
      <w:tr>
        <w:tc>
          <w:tcPr>
            <w:tcW w:type="dxa" w:w="2646"/>
            <w:vAlign w:val="center"/>
          </w:tcPr>
          <w:p>
            <w:r>
              <w:rPr>
                <w:b/>
                <w:color w:val="F43F5E"/>
              </w:rPr>
            </w:r>
            <w:r>
              <w:rPr>
                <w:rFonts w:ascii="Calibri" w:hAnsi="Calibri"/>
                <w:b w:val="0"/>
                <w:sz w:val="19"/>
              </w:rPr>
              <w:t>MSV (Menyimpang dari Standar)</w:t>
            </w:r>
          </w:p>
        </w:tc>
        <w:tc>
          <w:tcPr>
            <w:tcW w:type="dxa" w:w="2646"/>
            <w:vAlign w:val="center"/>
          </w:tcPr>
          <w:p>
            <w:r/>
            <w:r>
              <w:rPr>
                <w:rFonts w:ascii="Calibri" w:hAnsi="Calibri"/>
                <w:b w:val="0"/>
                <w:sz w:val="19"/>
              </w:rPr>
              <w:t>&lt; 60</w:t>
            </w:r>
          </w:p>
        </w:tc>
        <w:tc>
          <w:tcPr>
            <w:tcW w:type="dxa" w:w="2646"/>
            <w:vAlign w:val="center"/>
          </w:tcPr>
          <w:p>
            <w:r/>
            <w:r>
              <w:rPr>
                <w:rFonts w:ascii="Calibri" w:hAnsi="Calibri"/>
                <w:b w:val="0"/>
                <w:sz w:val="19"/>
              </w:rPr>
              <w:t>Capaian menyimpang jauh, perlu tindakan korektif segera</w:t>
            </w:r>
          </w:p>
        </w:tc>
      </w:tr>
    </w:tbl>
    <w:p>
      <w:r>
        <w:br w:type="page"/>
      </w:r>
    </w:p>
    <w:p>
      <w:pPr>
        <w:keepNext/>
        <w:spacing w:before="360" w:after="160"/>
        <w:jc w:val="center"/>
      </w:pPr>
      <w:r>
        <w:rPr>
          <w:rFonts w:ascii="Calibri" w:hAnsi="Calibri"/>
          <w:b/>
          <w:color w:val="1A3A6E"/>
          <w:sz w:val="40"/>
        </w:rPr>
        <w:t>BAB III</w:t>
        <w:br/>
        <w:t>HASIL ASSESSMENT 33 STANDAR SPMI</w:t>
      </w:r>
    </w:p>
    <w:p>
      <w:pPr>
        <w:keepNext/>
        <w:spacing w:before="240" w:after="160"/>
      </w:pPr>
      <w:r>
        <w:rPr>
          <w:rFonts w:ascii="Calibri" w:hAnsi="Calibri"/>
          <w:b/>
          <w:color w:val="1A3A6E"/>
          <w:sz w:val="26"/>
        </w:rPr>
        <w:t>3.1 Ringkasan Eksekutif</w:t>
      </w:r>
    </w:p>
    <w:p>
      <w:pPr>
        <w:spacing w:after="120" w:line="312" w:lineRule="auto"/>
        <w:ind w:firstLine="567"/>
        <w:jc w:val="both"/>
      </w:pPr>
      <w:r>
        <w:rPr>
          <w:rFonts w:ascii="Calibri" w:hAnsi="Calibri"/>
          <w:b w:val="0"/>
          <w:color w:val="1F2937"/>
          <w:sz w:val="22"/>
        </w:rPr>
        <w:t>Hasil Assessment AMI TA 2024/2025 terhadap 33 Standar SPMI Universitas Tulungagung menunjukkan capaian yang sangat baik. Rata-rata skor AMI institusi mencapai 90.8/100 dengan distribusi status sebagai berikut: 32 standar Mencapai Standar (MS), 0 standar Melampaui Standar (ML), 1 standar Belum mencapai Standar (BS), dan 0 standar Menyimpang dari Standar (MSV).</w:t>
      </w:r>
    </w:p>
    <w:p>
      <w:pPr>
        <w:spacing w:after="120" w:line="312" w:lineRule="auto"/>
        <w:ind w:firstLine="567"/>
        <w:jc w:val="both"/>
      </w:pPr>
      <w:r>
        <w:rPr>
          <w:rFonts w:ascii="Calibri" w:hAnsi="Calibri"/>
          <w:b w:val="0"/>
          <w:color w:val="1F2937"/>
          <w:sz w:val="22"/>
        </w:rPr>
        <w:t>Total temuan yang teridentifikasi sebanyak 121 temuan dengan 78 Permintaan Tindakan Koreksi (PTK). Rata-rata tindak lanjut mencapai 91.1%, menunjukkan komitmen yang tinggi dari seluruh unit pengelola standar dalam menindaklanjuti hasil audit.</w:t>
      </w:r>
    </w:p>
    <w:tbl>
      <w:tblPr>
        <w:tblStyle w:val="TableGrid"/>
        <w:tblW w:type="auto" w:w="0"/>
        <w:jc w:val="center"/>
        <w:tblLook w:firstColumn="1" w:firstRow="1" w:lastColumn="0" w:lastRow="0" w:noHBand="0" w:noVBand="1" w:val="04A0"/>
      </w:tblPr>
      <w:tblGrid>
        <w:gridCol w:w="3968"/>
        <w:gridCol w:w="3968"/>
      </w:tblGrid>
      <w:tr>
        <w:tc>
          <w:tcPr>
            <w:tcW w:type="dxa" w:w="3968"/>
            <w:shd w:fill="1A3A6E"/>
            <w:vAlign w:val="center"/>
          </w:tcPr>
          <w:p>
            <w:pPr>
              <w:jc w:val="center"/>
            </w:pPr>
            <w:r/>
            <w:r>
              <w:rPr>
                <w:rFonts w:ascii="Calibri" w:hAnsi="Calibri"/>
                <w:b/>
                <w:color w:val="FFFFFF"/>
                <w:sz w:val="20"/>
              </w:rPr>
              <w:t>Indikator</w:t>
            </w:r>
          </w:p>
        </w:tc>
        <w:tc>
          <w:tcPr>
            <w:tcW w:type="dxa" w:w="3968"/>
            <w:shd w:fill="1A3A6E"/>
            <w:vAlign w:val="center"/>
          </w:tcPr>
          <w:p>
            <w:pPr>
              <w:jc w:val="center"/>
            </w:pPr>
            <w:r/>
            <w:r>
              <w:rPr>
                <w:rFonts w:ascii="Calibri" w:hAnsi="Calibri"/>
                <w:b/>
                <w:color w:val="FFFFFF"/>
                <w:sz w:val="20"/>
              </w:rPr>
              <w:t>Capaian</w:t>
            </w:r>
          </w:p>
        </w:tc>
      </w:tr>
      <w:tr>
        <w:tc>
          <w:tcPr>
            <w:tcW w:type="dxa" w:w="3968"/>
          </w:tcPr>
          <w:p/>
        </w:tc>
        <w:tc>
          <w:tcPr>
            <w:tcW w:type="dxa" w:w="3968"/>
          </w:tcPr>
          <w:p/>
        </w:tc>
      </w:tr>
      <w:tr>
        <w:tc>
          <w:tcPr>
            <w:tcW w:type="dxa" w:w="3968"/>
          </w:tcPr>
          <w:p/>
        </w:tc>
        <w:tc>
          <w:tcPr>
            <w:tcW w:type="dxa" w:w="3968"/>
          </w:tcPr>
          <w:p/>
        </w:tc>
      </w:tr>
      <w:tr>
        <w:tc>
          <w:tcPr>
            <w:tcW w:type="dxa" w:w="3968"/>
          </w:tcPr>
          <w:p/>
        </w:tc>
        <w:tc>
          <w:tcPr>
            <w:tcW w:type="dxa" w:w="3968"/>
          </w:tcPr>
          <w:p/>
        </w:tc>
      </w:tr>
      <w:tr>
        <w:tc>
          <w:tcPr>
            <w:tcW w:type="dxa" w:w="3968"/>
          </w:tcPr>
          <w:p/>
        </w:tc>
        <w:tc>
          <w:tcPr>
            <w:tcW w:type="dxa" w:w="3968"/>
          </w:tcPr>
          <w:p/>
        </w:tc>
      </w:tr>
      <w:tr>
        <w:tc>
          <w:tcPr>
            <w:tcW w:type="dxa" w:w="3968"/>
          </w:tcPr>
          <w:p/>
        </w:tc>
        <w:tc>
          <w:tcPr>
            <w:tcW w:type="dxa" w:w="3968"/>
          </w:tcPr>
          <w:p/>
        </w:tc>
      </w:tr>
      <w:tr>
        <w:tc>
          <w:tcPr>
            <w:tcW w:type="dxa" w:w="3968"/>
          </w:tcPr>
          <w:p/>
        </w:tc>
        <w:tc>
          <w:tcPr>
            <w:tcW w:type="dxa" w:w="3968"/>
          </w:tcPr>
          <w:p/>
        </w:tc>
      </w:tr>
      <w:tr>
        <w:tc>
          <w:tcPr>
            <w:tcW w:type="dxa" w:w="3968"/>
          </w:tcPr>
          <w:p/>
        </w:tc>
        <w:tc>
          <w:tcPr>
            <w:tcW w:type="dxa" w:w="3968"/>
          </w:tcPr>
          <w:p/>
        </w:tc>
      </w:tr>
      <w:tr>
        <w:tc>
          <w:tcPr>
            <w:tcW w:type="dxa" w:w="3968"/>
            <w:vAlign w:val="center"/>
          </w:tcPr>
          <w:p>
            <w:r/>
            <w:r>
              <w:rPr>
                <w:rFonts w:ascii="Calibri" w:hAnsi="Calibri"/>
                <w:b w:val="0"/>
                <w:sz w:val="19"/>
              </w:rPr>
              <w:t>Total Standar SPMI Diaudit</w:t>
            </w:r>
          </w:p>
        </w:tc>
        <w:tc>
          <w:tcPr>
            <w:tcW w:type="dxa" w:w="3968"/>
            <w:vAlign w:val="center"/>
          </w:tcPr>
          <w:p>
            <w:r/>
            <w:r>
              <w:rPr>
                <w:rFonts w:ascii="Calibri" w:hAnsi="Calibri"/>
                <w:b w:val="0"/>
                <w:sz w:val="19"/>
              </w:rPr>
              <w:t>33 standar</w:t>
            </w:r>
          </w:p>
        </w:tc>
      </w:tr>
      <w:tr>
        <w:tc>
          <w:tcPr>
            <w:tcW w:type="dxa" w:w="3968"/>
            <w:vAlign w:val="center"/>
          </w:tcPr>
          <w:p>
            <w:r/>
            <w:r>
              <w:rPr>
                <w:rFonts w:ascii="Calibri" w:hAnsi="Calibri"/>
                <w:b w:val="0"/>
                <w:sz w:val="19"/>
              </w:rPr>
              <w:t>Total Dokumen AMI</w:t>
            </w:r>
          </w:p>
        </w:tc>
        <w:tc>
          <w:tcPr>
            <w:tcW w:type="dxa" w:w="3968"/>
            <w:vAlign w:val="center"/>
          </w:tcPr>
          <w:p>
            <w:r/>
            <w:r>
              <w:rPr>
                <w:rFonts w:ascii="Calibri" w:hAnsi="Calibri"/>
                <w:b w:val="0"/>
                <w:sz w:val="19"/>
              </w:rPr>
              <w:t>15 dokumen</w:t>
            </w:r>
          </w:p>
        </w:tc>
      </w:tr>
      <w:tr>
        <w:tc>
          <w:tcPr>
            <w:tcW w:type="dxa" w:w="3968"/>
            <w:vAlign w:val="center"/>
          </w:tcPr>
          <w:p>
            <w:r/>
            <w:r>
              <w:rPr>
                <w:rFonts w:ascii="Calibri" w:hAnsi="Calibri"/>
                <w:b w:val="0"/>
                <w:sz w:val="19"/>
              </w:rPr>
              <w:t>Total Indikator Penilaian</w:t>
            </w:r>
          </w:p>
        </w:tc>
        <w:tc>
          <w:tcPr>
            <w:tcW w:type="dxa" w:w="3968"/>
            <w:vAlign w:val="center"/>
          </w:tcPr>
          <w:p>
            <w:r/>
            <w:r>
              <w:rPr>
                <w:rFonts w:ascii="Calibri" w:hAnsi="Calibri"/>
                <w:b w:val="0"/>
                <w:sz w:val="19"/>
              </w:rPr>
              <w:t>212 indikator</w:t>
            </w:r>
          </w:p>
        </w:tc>
      </w:tr>
      <w:tr>
        <w:tc>
          <w:tcPr>
            <w:tcW w:type="dxa" w:w="3968"/>
            <w:vAlign w:val="center"/>
          </w:tcPr>
          <w:p>
            <w:r/>
            <w:r>
              <w:rPr>
                <w:rFonts w:ascii="Calibri" w:hAnsi="Calibri"/>
                <w:b w:val="0"/>
                <w:sz w:val="19"/>
              </w:rPr>
              <w:t>Rata-rata Skor AMI Institusi</w:t>
            </w:r>
          </w:p>
        </w:tc>
        <w:tc>
          <w:tcPr>
            <w:tcW w:type="dxa" w:w="3968"/>
            <w:vAlign w:val="center"/>
          </w:tcPr>
          <w:p>
            <w:r/>
            <w:r>
              <w:rPr>
                <w:rFonts w:ascii="Calibri" w:hAnsi="Calibri"/>
                <w:b w:val="0"/>
                <w:sz w:val="19"/>
              </w:rPr>
              <w:t>90.8/100</w:t>
            </w:r>
          </w:p>
        </w:tc>
      </w:tr>
      <w:tr>
        <w:tc>
          <w:tcPr>
            <w:tcW w:type="dxa" w:w="3968"/>
            <w:vAlign w:val="center"/>
          </w:tcPr>
          <w:p>
            <w:r/>
            <w:r>
              <w:rPr>
                <w:rFonts w:ascii="Calibri" w:hAnsi="Calibri"/>
                <w:b w:val="0"/>
                <w:sz w:val="19"/>
              </w:rPr>
              <w:t>Standar MS (Mencapai Standar)</w:t>
            </w:r>
          </w:p>
        </w:tc>
        <w:tc>
          <w:tcPr>
            <w:tcW w:type="dxa" w:w="3968"/>
            <w:vAlign w:val="center"/>
          </w:tcPr>
          <w:p>
            <w:r/>
            <w:r>
              <w:rPr>
                <w:rFonts w:ascii="Calibri" w:hAnsi="Calibri"/>
                <w:b w:val="0"/>
                <w:sz w:val="19"/>
              </w:rPr>
              <w:t>32 standar</w:t>
            </w:r>
          </w:p>
        </w:tc>
      </w:tr>
      <w:tr>
        <w:tc>
          <w:tcPr>
            <w:tcW w:type="dxa" w:w="3968"/>
            <w:vAlign w:val="center"/>
          </w:tcPr>
          <w:p>
            <w:r/>
            <w:r>
              <w:rPr>
                <w:rFonts w:ascii="Calibri" w:hAnsi="Calibri"/>
                <w:b w:val="0"/>
                <w:sz w:val="19"/>
              </w:rPr>
              <w:t>Standar ML (Melampaui Standar)</w:t>
            </w:r>
          </w:p>
        </w:tc>
        <w:tc>
          <w:tcPr>
            <w:tcW w:type="dxa" w:w="3968"/>
            <w:vAlign w:val="center"/>
          </w:tcPr>
          <w:p>
            <w:r/>
            <w:r>
              <w:rPr>
                <w:rFonts w:ascii="Calibri" w:hAnsi="Calibri"/>
                <w:b w:val="0"/>
                <w:sz w:val="19"/>
              </w:rPr>
              <w:t>0 standar</w:t>
            </w:r>
          </w:p>
        </w:tc>
      </w:tr>
      <w:tr>
        <w:tc>
          <w:tcPr>
            <w:tcW w:type="dxa" w:w="3968"/>
            <w:vAlign w:val="center"/>
          </w:tcPr>
          <w:p>
            <w:r/>
            <w:r>
              <w:rPr>
                <w:rFonts w:ascii="Calibri" w:hAnsi="Calibri"/>
                <w:b w:val="0"/>
                <w:sz w:val="19"/>
              </w:rPr>
              <w:t>Standar BS (Belum mencapai Standar)</w:t>
            </w:r>
          </w:p>
        </w:tc>
        <w:tc>
          <w:tcPr>
            <w:tcW w:type="dxa" w:w="3968"/>
            <w:vAlign w:val="center"/>
          </w:tcPr>
          <w:p>
            <w:r/>
            <w:r>
              <w:rPr>
                <w:rFonts w:ascii="Calibri" w:hAnsi="Calibri"/>
                <w:b w:val="0"/>
                <w:sz w:val="19"/>
              </w:rPr>
              <w:t>1 standar</w:t>
            </w:r>
          </w:p>
        </w:tc>
      </w:tr>
    </w:tbl>
    <w:p/>
    <w:p>
      <w:pPr>
        <w:keepNext/>
        <w:spacing w:before="240" w:after="160"/>
      </w:pPr>
      <w:r>
        <w:rPr>
          <w:rFonts w:ascii="Calibri" w:hAnsi="Calibri"/>
          <w:b/>
          <w:color w:val="1A3A6E"/>
          <w:sz w:val="26"/>
        </w:rPr>
        <w:t>3.2 Standar Pendidikan (8 Standar)</w:t>
      </w:r>
    </w:p>
    <w:tbl>
      <w:tblPr>
        <w:tblStyle w:val="TableGrid"/>
        <w:tblW w:type="auto" w:w="0"/>
        <w:jc w:val="center"/>
        <w:tblLook w:firstColumn="1" w:firstRow="1" w:lastColumn="0" w:lastRow="0" w:noHBand="0" w:noVBand="1" w:val="04A0"/>
      </w:tblPr>
      <w:tblGrid>
        <w:gridCol w:w="992"/>
        <w:gridCol w:w="992"/>
        <w:gridCol w:w="992"/>
        <w:gridCol w:w="992"/>
        <w:gridCol w:w="992"/>
        <w:gridCol w:w="992"/>
        <w:gridCol w:w="992"/>
        <w:gridCol w:w="992"/>
      </w:tblGrid>
      <w:tr>
        <w:tc>
          <w:tcPr>
            <w:tcW w:type="dxa" w:w="992"/>
            <w:shd w:fill="1A3A6E"/>
            <w:vAlign w:val="center"/>
          </w:tcPr>
          <w:p>
            <w:pPr>
              <w:jc w:val="center"/>
            </w:pPr>
            <w:r/>
            <w:r>
              <w:rPr>
                <w:rFonts w:ascii="Calibri" w:hAnsi="Calibri"/>
                <w:b/>
                <w:color w:val="FFFFFF"/>
                <w:sz w:val="20"/>
              </w:rPr>
              <w:t>No</w:t>
            </w:r>
          </w:p>
        </w:tc>
        <w:tc>
          <w:tcPr>
            <w:tcW w:type="dxa" w:w="992"/>
            <w:shd w:fill="1A3A6E"/>
            <w:vAlign w:val="center"/>
          </w:tcPr>
          <w:p>
            <w:pPr>
              <w:jc w:val="center"/>
            </w:pPr>
            <w:r/>
            <w:r>
              <w:rPr>
                <w:rFonts w:ascii="Calibri" w:hAnsi="Calibri"/>
                <w:b/>
                <w:color w:val="FFFFFF"/>
                <w:sz w:val="20"/>
              </w:rPr>
              <w:t>Nama Standar</w:t>
            </w:r>
          </w:p>
        </w:tc>
        <w:tc>
          <w:tcPr>
            <w:tcW w:type="dxa" w:w="992"/>
            <w:shd w:fill="1A3A6E"/>
            <w:vAlign w:val="center"/>
          </w:tcPr>
          <w:p>
            <w:pPr>
              <w:jc w:val="center"/>
            </w:pPr>
            <w:r/>
            <w:r>
              <w:rPr>
                <w:rFonts w:ascii="Calibri" w:hAnsi="Calibri"/>
                <w:b/>
                <w:color w:val="FFFFFF"/>
                <w:sz w:val="20"/>
              </w:rPr>
              <w:t>Kode</w:t>
            </w:r>
          </w:p>
        </w:tc>
        <w:tc>
          <w:tcPr>
            <w:tcW w:type="dxa" w:w="992"/>
            <w:shd w:fill="1A3A6E"/>
            <w:vAlign w:val="center"/>
          </w:tcPr>
          <w:p>
            <w:pPr>
              <w:jc w:val="center"/>
            </w:pPr>
            <w:r/>
            <w:r>
              <w:rPr>
                <w:rFonts w:ascii="Calibri" w:hAnsi="Calibri"/>
                <w:b/>
                <w:color w:val="FFFFFF"/>
                <w:sz w:val="20"/>
              </w:rPr>
              <w:t>Skor</w:t>
            </w:r>
          </w:p>
        </w:tc>
        <w:tc>
          <w:tcPr>
            <w:tcW w:type="dxa" w:w="992"/>
            <w:shd w:fill="1A3A6E"/>
            <w:vAlign w:val="center"/>
          </w:tcPr>
          <w:p>
            <w:pPr>
              <w:jc w:val="center"/>
            </w:pPr>
            <w:r/>
            <w:r>
              <w:rPr>
                <w:rFonts w:ascii="Calibri" w:hAnsi="Calibri"/>
                <w:b/>
                <w:color w:val="FFFFFF"/>
                <w:sz w:val="20"/>
              </w:rPr>
              <w:t>Status</w:t>
            </w:r>
          </w:p>
        </w:tc>
        <w:tc>
          <w:tcPr>
            <w:tcW w:type="dxa" w:w="992"/>
            <w:shd w:fill="1A3A6E"/>
            <w:vAlign w:val="center"/>
          </w:tcPr>
          <w:p>
            <w:pPr>
              <w:jc w:val="center"/>
            </w:pPr>
            <w:r/>
            <w:r>
              <w:rPr>
                <w:rFonts w:ascii="Calibri" w:hAnsi="Calibri"/>
                <w:b/>
                <w:color w:val="FFFFFF"/>
                <w:sz w:val="20"/>
              </w:rPr>
              <w:t>Temuan</w:t>
            </w:r>
          </w:p>
        </w:tc>
        <w:tc>
          <w:tcPr>
            <w:tcW w:type="dxa" w:w="992"/>
            <w:shd w:fill="1A3A6E"/>
            <w:vAlign w:val="center"/>
          </w:tcPr>
          <w:p>
            <w:pPr>
              <w:jc w:val="center"/>
            </w:pPr>
            <w:r/>
            <w:r>
              <w:rPr>
                <w:rFonts w:ascii="Calibri" w:hAnsi="Calibri"/>
                <w:b/>
                <w:color w:val="FFFFFF"/>
                <w:sz w:val="20"/>
              </w:rPr>
              <w:t>PTK</w:t>
            </w:r>
          </w:p>
        </w:tc>
        <w:tc>
          <w:tcPr>
            <w:tcW w:type="dxa" w:w="992"/>
            <w:shd w:fill="1A3A6E"/>
            <w:vAlign w:val="center"/>
          </w:tcPr>
          <w:p>
            <w:pPr>
              <w:jc w:val="center"/>
            </w:pPr>
            <w:r/>
            <w:r>
              <w:rPr>
                <w:rFonts w:ascii="Calibri" w:hAnsi="Calibri"/>
                <w:b/>
                <w:color w:val="FFFFFF"/>
                <w:sz w:val="20"/>
              </w:rPr>
              <w:t>TL (%)</w:t>
            </w:r>
          </w:p>
        </w:tc>
      </w:tr>
      <w:tr>
        <w:tc>
          <w:tcPr>
            <w:tcW w:type="dxa" w:w="992"/>
            <w:vAlign w:val="center"/>
          </w:tcPr>
          <w:p>
            <w:pPr>
              <w:jc w:val="center"/>
            </w:pPr>
            <w:r/>
            <w:r>
              <w:rPr>
                <w:rFonts w:ascii="Calibri" w:hAnsi="Calibri"/>
                <w:sz w:val="18"/>
              </w:rPr>
              <w:t>1</w:t>
            </w:r>
          </w:p>
        </w:tc>
        <w:tc>
          <w:tcPr>
            <w:tcW w:type="dxa" w:w="992"/>
          </w:tcPr>
          <w:p>
            <w:pPr>
              <w:jc w:val="left"/>
            </w:pPr>
            <w:r/>
            <w:r>
              <w:rPr>
                <w:rFonts w:ascii="Calibri" w:hAnsi="Calibri"/>
                <w:sz w:val="18"/>
              </w:rPr>
              <w:t>Standar Kompetensi Lulusan</w:t>
            </w:r>
          </w:p>
        </w:tc>
        <w:tc>
          <w:tcPr>
            <w:tcW w:type="dxa" w:w="992"/>
          </w:tcPr>
          <w:p>
            <w:pPr>
              <w:jc w:val="center"/>
            </w:pPr>
            <w:r/>
            <w:r>
              <w:rPr>
                <w:rFonts w:ascii="Calibri" w:hAnsi="Calibri"/>
                <w:sz w:val="18"/>
              </w:rPr>
              <w:t>SKL</w:t>
            </w:r>
          </w:p>
        </w:tc>
        <w:tc>
          <w:tcPr>
            <w:tcW w:type="dxa" w:w="992"/>
          </w:tcPr>
          <w:p>
            <w:pPr>
              <w:jc w:val="center"/>
            </w:pPr>
            <w:r/>
            <w:r>
              <w:rPr>
                <w:rFonts w:ascii="Calibri" w:hAnsi="Calibri"/>
                <w:b/>
                <w:color w:val="109881"/>
                <w:sz w:val="18"/>
              </w:rPr>
              <w:t>87</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3</w:t>
            </w:r>
          </w:p>
        </w:tc>
        <w:tc>
          <w:tcPr>
            <w:tcW w:type="dxa" w:w="992"/>
          </w:tcPr>
          <w:p>
            <w:pPr>
              <w:jc w:val="center"/>
            </w:pPr>
            <w:r/>
            <w:r>
              <w:rPr>
                <w:rFonts w:ascii="Calibri" w:hAnsi="Calibri"/>
                <w:sz w:val="18"/>
              </w:rPr>
              <w:t>2</w:t>
            </w:r>
          </w:p>
        </w:tc>
        <w:tc>
          <w:tcPr>
            <w:tcW w:type="dxa" w:w="992"/>
          </w:tcPr>
          <w:p>
            <w:pPr>
              <w:jc w:val="center"/>
            </w:pPr>
            <w:r/>
            <w:r>
              <w:rPr>
                <w:rFonts w:ascii="Calibri" w:hAnsi="Calibri"/>
                <w:sz w:val="18"/>
              </w:rPr>
              <w:t>95%</w:t>
            </w:r>
          </w:p>
        </w:tc>
      </w:tr>
      <w:tr>
        <w:tc>
          <w:tcPr>
            <w:tcW w:type="dxa" w:w="992"/>
            <w:vAlign w:val="center"/>
          </w:tcPr>
          <w:p>
            <w:pPr>
              <w:jc w:val="center"/>
            </w:pPr>
            <w:r/>
            <w:r>
              <w:rPr>
                <w:rFonts w:ascii="Calibri" w:hAnsi="Calibri"/>
                <w:sz w:val="18"/>
              </w:rPr>
              <w:t>2</w:t>
            </w:r>
          </w:p>
        </w:tc>
        <w:tc>
          <w:tcPr>
            <w:tcW w:type="dxa" w:w="992"/>
          </w:tcPr>
          <w:p>
            <w:pPr>
              <w:jc w:val="left"/>
            </w:pPr>
            <w:r/>
            <w:r>
              <w:rPr>
                <w:rFonts w:ascii="Calibri" w:hAnsi="Calibri"/>
                <w:sz w:val="18"/>
              </w:rPr>
              <w:t>Standar Proses Pembelajaran</w:t>
            </w:r>
          </w:p>
        </w:tc>
        <w:tc>
          <w:tcPr>
            <w:tcW w:type="dxa" w:w="992"/>
          </w:tcPr>
          <w:p>
            <w:pPr>
              <w:jc w:val="center"/>
            </w:pPr>
            <w:r/>
            <w:r>
              <w:rPr>
                <w:rFonts w:ascii="Calibri" w:hAnsi="Calibri"/>
                <w:sz w:val="18"/>
              </w:rPr>
              <w:t>SPB</w:t>
            </w:r>
          </w:p>
        </w:tc>
        <w:tc>
          <w:tcPr>
            <w:tcW w:type="dxa" w:w="992"/>
          </w:tcPr>
          <w:p>
            <w:pPr>
              <w:jc w:val="center"/>
            </w:pPr>
            <w:r/>
            <w:r>
              <w:rPr>
                <w:rFonts w:ascii="Calibri" w:hAnsi="Calibri"/>
                <w:b/>
                <w:color w:val="109881"/>
                <w:sz w:val="18"/>
              </w:rPr>
              <w:t>89</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4</w:t>
            </w:r>
          </w:p>
        </w:tc>
        <w:tc>
          <w:tcPr>
            <w:tcW w:type="dxa" w:w="992"/>
          </w:tcPr>
          <w:p>
            <w:pPr>
              <w:jc w:val="center"/>
            </w:pPr>
            <w:r/>
            <w:r>
              <w:rPr>
                <w:rFonts w:ascii="Calibri" w:hAnsi="Calibri"/>
                <w:sz w:val="18"/>
              </w:rPr>
              <w:t>3</w:t>
            </w:r>
          </w:p>
        </w:tc>
        <w:tc>
          <w:tcPr>
            <w:tcW w:type="dxa" w:w="992"/>
          </w:tcPr>
          <w:p>
            <w:pPr>
              <w:jc w:val="center"/>
            </w:pPr>
            <w:r/>
            <w:r>
              <w:rPr>
                <w:rFonts w:ascii="Calibri" w:hAnsi="Calibri"/>
                <w:sz w:val="18"/>
              </w:rPr>
              <w:t>92%</w:t>
            </w:r>
          </w:p>
        </w:tc>
      </w:tr>
      <w:tr>
        <w:tc>
          <w:tcPr>
            <w:tcW w:type="dxa" w:w="992"/>
            <w:vAlign w:val="center"/>
          </w:tcPr>
          <w:p>
            <w:pPr>
              <w:jc w:val="center"/>
            </w:pPr>
            <w:r/>
            <w:r>
              <w:rPr>
                <w:rFonts w:ascii="Calibri" w:hAnsi="Calibri"/>
                <w:sz w:val="18"/>
              </w:rPr>
              <w:t>3</w:t>
            </w:r>
          </w:p>
        </w:tc>
        <w:tc>
          <w:tcPr>
            <w:tcW w:type="dxa" w:w="992"/>
          </w:tcPr>
          <w:p>
            <w:pPr>
              <w:jc w:val="left"/>
            </w:pPr>
            <w:r/>
            <w:r>
              <w:rPr>
                <w:rFonts w:ascii="Calibri" w:hAnsi="Calibri"/>
                <w:sz w:val="18"/>
              </w:rPr>
              <w:t>Standar Penilaian</w:t>
            </w:r>
          </w:p>
        </w:tc>
        <w:tc>
          <w:tcPr>
            <w:tcW w:type="dxa" w:w="992"/>
          </w:tcPr>
          <w:p>
            <w:pPr>
              <w:jc w:val="center"/>
            </w:pPr>
            <w:r/>
            <w:r>
              <w:rPr>
                <w:rFonts w:ascii="Calibri" w:hAnsi="Calibri"/>
                <w:sz w:val="18"/>
              </w:rPr>
              <w:t>SPN</w:t>
            </w:r>
          </w:p>
        </w:tc>
        <w:tc>
          <w:tcPr>
            <w:tcW w:type="dxa" w:w="992"/>
          </w:tcPr>
          <w:p>
            <w:pPr>
              <w:jc w:val="center"/>
            </w:pPr>
            <w:r/>
            <w:r>
              <w:rPr>
                <w:rFonts w:ascii="Calibri" w:hAnsi="Calibri"/>
                <w:b/>
                <w:color w:val="109881"/>
                <w:sz w:val="18"/>
              </w:rPr>
              <w:t>85</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5</w:t>
            </w:r>
          </w:p>
        </w:tc>
        <w:tc>
          <w:tcPr>
            <w:tcW w:type="dxa" w:w="992"/>
          </w:tcPr>
          <w:p>
            <w:pPr>
              <w:jc w:val="center"/>
            </w:pPr>
            <w:r/>
            <w:r>
              <w:rPr>
                <w:rFonts w:ascii="Calibri" w:hAnsi="Calibri"/>
                <w:sz w:val="18"/>
              </w:rPr>
              <w:t>3</w:t>
            </w:r>
          </w:p>
        </w:tc>
        <w:tc>
          <w:tcPr>
            <w:tcW w:type="dxa" w:w="992"/>
          </w:tcPr>
          <w:p>
            <w:pPr>
              <w:jc w:val="center"/>
            </w:pPr>
            <w:r/>
            <w:r>
              <w:rPr>
                <w:rFonts w:ascii="Calibri" w:hAnsi="Calibri"/>
                <w:sz w:val="18"/>
              </w:rPr>
              <w:t>88%</w:t>
            </w:r>
          </w:p>
        </w:tc>
      </w:tr>
      <w:tr>
        <w:tc>
          <w:tcPr>
            <w:tcW w:type="dxa" w:w="992"/>
            <w:vAlign w:val="center"/>
          </w:tcPr>
          <w:p>
            <w:pPr>
              <w:jc w:val="center"/>
            </w:pPr>
            <w:r/>
            <w:r>
              <w:rPr>
                <w:rFonts w:ascii="Calibri" w:hAnsi="Calibri"/>
                <w:sz w:val="18"/>
              </w:rPr>
              <w:t>4</w:t>
            </w:r>
          </w:p>
        </w:tc>
        <w:tc>
          <w:tcPr>
            <w:tcW w:type="dxa" w:w="992"/>
          </w:tcPr>
          <w:p>
            <w:pPr>
              <w:jc w:val="left"/>
            </w:pPr>
            <w:r/>
            <w:r>
              <w:rPr>
                <w:rFonts w:ascii="Calibri" w:hAnsi="Calibri"/>
                <w:sz w:val="18"/>
              </w:rPr>
              <w:t>Standar Pengelolaan</w:t>
            </w:r>
          </w:p>
        </w:tc>
        <w:tc>
          <w:tcPr>
            <w:tcW w:type="dxa" w:w="992"/>
          </w:tcPr>
          <w:p>
            <w:pPr>
              <w:jc w:val="center"/>
            </w:pPr>
            <w:r/>
            <w:r>
              <w:rPr>
                <w:rFonts w:ascii="Calibri" w:hAnsi="Calibri"/>
                <w:sz w:val="18"/>
              </w:rPr>
              <w:t>SPP</w:t>
            </w:r>
          </w:p>
        </w:tc>
        <w:tc>
          <w:tcPr>
            <w:tcW w:type="dxa" w:w="992"/>
          </w:tcPr>
          <w:p>
            <w:pPr>
              <w:jc w:val="center"/>
            </w:pPr>
            <w:r/>
            <w:r>
              <w:rPr>
                <w:rFonts w:ascii="Calibri" w:hAnsi="Calibri"/>
                <w:b/>
                <w:color w:val="109881"/>
                <w:sz w:val="18"/>
              </w:rPr>
              <w:t>84</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5</w:t>
            </w:r>
          </w:p>
        </w:tc>
        <w:tc>
          <w:tcPr>
            <w:tcW w:type="dxa" w:w="992"/>
          </w:tcPr>
          <w:p>
            <w:pPr>
              <w:jc w:val="center"/>
            </w:pPr>
            <w:r/>
            <w:r>
              <w:rPr>
                <w:rFonts w:ascii="Calibri" w:hAnsi="Calibri"/>
                <w:sz w:val="18"/>
              </w:rPr>
              <w:t>3</w:t>
            </w:r>
          </w:p>
        </w:tc>
        <w:tc>
          <w:tcPr>
            <w:tcW w:type="dxa" w:w="992"/>
          </w:tcPr>
          <w:p>
            <w:pPr>
              <w:jc w:val="center"/>
            </w:pPr>
            <w:r/>
            <w:r>
              <w:rPr>
                <w:rFonts w:ascii="Calibri" w:hAnsi="Calibri"/>
                <w:sz w:val="18"/>
              </w:rPr>
              <w:t>88%</w:t>
            </w:r>
          </w:p>
        </w:tc>
      </w:tr>
      <w:tr>
        <w:tc>
          <w:tcPr>
            <w:tcW w:type="dxa" w:w="992"/>
            <w:vAlign w:val="center"/>
          </w:tcPr>
          <w:p>
            <w:pPr>
              <w:jc w:val="center"/>
            </w:pPr>
            <w:r/>
            <w:r>
              <w:rPr>
                <w:rFonts w:ascii="Calibri" w:hAnsi="Calibri"/>
                <w:sz w:val="18"/>
              </w:rPr>
              <w:t>5</w:t>
            </w:r>
          </w:p>
        </w:tc>
        <w:tc>
          <w:tcPr>
            <w:tcW w:type="dxa" w:w="992"/>
          </w:tcPr>
          <w:p>
            <w:pPr>
              <w:jc w:val="left"/>
            </w:pPr>
            <w:r/>
            <w:r>
              <w:rPr>
                <w:rFonts w:ascii="Calibri" w:hAnsi="Calibri"/>
                <w:sz w:val="18"/>
              </w:rPr>
              <w:t>Standar Isi</w:t>
            </w:r>
          </w:p>
        </w:tc>
        <w:tc>
          <w:tcPr>
            <w:tcW w:type="dxa" w:w="992"/>
          </w:tcPr>
          <w:p>
            <w:pPr>
              <w:jc w:val="center"/>
            </w:pPr>
            <w:r/>
            <w:r>
              <w:rPr>
                <w:rFonts w:ascii="Calibri" w:hAnsi="Calibri"/>
                <w:sz w:val="18"/>
              </w:rPr>
              <w:t>SIS</w:t>
            </w:r>
          </w:p>
        </w:tc>
        <w:tc>
          <w:tcPr>
            <w:tcW w:type="dxa" w:w="992"/>
          </w:tcPr>
          <w:p>
            <w:pPr>
              <w:jc w:val="center"/>
            </w:pPr>
            <w:r/>
            <w:r>
              <w:rPr>
                <w:rFonts w:ascii="Calibri" w:hAnsi="Calibri"/>
                <w:b/>
                <w:color w:val="109881"/>
                <w:sz w:val="18"/>
              </w:rPr>
              <w:t>83</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5</w:t>
            </w:r>
          </w:p>
        </w:tc>
        <w:tc>
          <w:tcPr>
            <w:tcW w:type="dxa" w:w="992"/>
          </w:tcPr>
          <w:p>
            <w:pPr>
              <w:jc w:val="center"/>
            </w:pPr>
            <w:r/>
            <w:r>
              <w:rPr>
                <w:rFonts w:ascii="Calibri" w:hAnsi="Calibri"/>
                <w:sz w:val="18"/>
              </w:rPr>
              <w:t>3</w:t>
            </w:r>
          </w:p>
        </w:tc>
        <w:tc>
          <w:tcPr>
            <w:tcW w:type="dxa" w:w="992"/>
          </w:tcPr>
          <w:p>
            <w:pPr>
              <w:jc w:val="center"/>
            </w:pPr>
            <w:r/>
            <w:r>
              <w:rPr>
                <w:rFonts w:ascii="Calibri" w:hAnsi="Calibri"/>
                <w:sz w:val="18"/>
              </w:rPr>
              <w:t>86%</w:t>
            </w:r>
          </w:p>
        </w:tc>
      </w:tr>
      <w:tr>
        <w:tc>
          <w:tcPr>
            <w:tcW w:type="dxa" w:w="992"/>
            <w:vAlign w:val="center"/>
          </w:tcPr>
          <w:p>
            <w:pPr>
              <w:jc w:val="center"/>
            </w:pPr>
            <w:r/>
            <w:r>
              <w:rPr>
                <w:rFonts w:ascii="Calibri" w:hAnsi="Calibri"/>
                <w:sz w:val="18"/>
              </w:rPr>
              <w:t>6</w:t>
            </w:r>
          </w:p>
        </w:tc>
        <w:tc>
          <w:tcPr>
            <w:tcW w:type="dxa" w:w="992"/>
          </w:tcPr>
          <w:p>
            <w:pPr>
              <w:jc w:val="left"/>
            </w:pPr>
            <w:r/>
            <w:r>
              <w:rPr>
                <w:rFonts w:ascii="Calibri" w:hAnsi="Calibri"/>
                <w:sz w:val="18"/>
              </w:rPr>
              <w:t>Standar Dosen &amp; Tenaga Kependidikan</w:t>
            </w:r>
          </w:p>
        </w:tc>
        <w:tc>
          <w:tcPr>
            <w:tcW w:type="dxa" w:w="992"/>
          </w:tcPr>
          <w:p>
            <w:pPr>
              <w:jc w:val="center"/>
            </w:pPr>
            <w:r/>
            <w:r>
              <w:rPr>
                <w:rFonts w:ascii="Calibri" w:hAnsi="Calibri"/>
                <w:sz w:val="18"/>
              </w:rPr>
              <w:t>SDT</w:t>
            </w:r>
          </w:p>
        </w:tc>
        <w:tc>
          <w:tcPr>
            <w:tcW w:type="dxa" w:w="992"/>
          </w:tcPr>
          <w:p>
            <w:pPr>
              <w:jc w:val="center"/>
            </w:pPr>
            <w:r/>
            <w:r>
              <w:rPr>
                <w:rFonts w:ascii="Calibri" w:hAnsi="Calibri"/>
                <w:b/>
                <w:color w:val="109881"/>
                <w:sz w:val="18"/>
              </w:rPr>
              <w:t>89</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6</w:t>
            </w:r>
          </w:p>
        </w:tc>
        <w:tc>
          <w:tcPr>
            <w:tcW w:type="dxa" w:w="992"/>
          </w:tcPr>
          <w:p>
            <w:pPr>
              <w:jc w:val="center"/>
            </w:pPr>
            <w:r/>
            <w:r>
              <w:rPr>
                <w:rFonts w:ascii="Calibri" w:hAnsi="Calibri"/>
                <w:sz w:val="18"/>
              </w:rPr>
              <w:t>4</w:t>
            </w:r>
          </w:p>
        </w:tc>
        <w:tc>
          <w:tcPr>
            <w:tcW w:type="dxa" w:w="992"/>
          </w:tcPr>
          <w:p>
            <w:pPr>
              <w:jc w:val="center"/>
            </w:pPr>
            <w:r/>
            <w:r>
              <w:rPr>
                <w:rFonts w:ascii="Calibri" w:hAnsi="Calibri"/>
                <w:sz w:val="18"/>
              </w:rPr>
              <w:t>88%</w:t>
            </w:r>
          </w:p>
        </w:tc>
      </w:tr>
      <w:tr>
        <w:tc>
          <w:tcPr>
            <w:tcW w:type="dxa" w:w="992"/>
            <w:vAlign w:val="center"/>
          </w:tcPr>
          <w:p>
            <w:pPr>
              <w:jc w:val="center"/>
            </w:pPr>
            <w:r/>
            <w:r>
              <w:rPr>
                <w:rFonts w:ascii="Calibri" w:hAnsi="Calibri"/>
                <w:sz w:val="18"/>
              </w:rPr>
              <w:t>7</w:t>
            </w:r>
          </w:p>
        </w:tc>
        <w:tc>
          <w:tcPr>
            <w:tcW w:type="dxa" w:w="992"/>
          </w:tcPr>
          <w:p>
            <w:pPr>
              <w:jc w:val="left"/>
            </w:pPr>
            <w:r/>
            <w:r>
              <w:rPr>
                <w:rFonts w:ascii="Calibri" w:hAnsi="Calibri"/>
                <w:sz w:val="18"/>
              </w:rPr>
              <w:t>Standar Sarana &amp; Prasarana</w:t>
            </w:r>
          </w:p>
        </w:tc>
        <w:tc>
          <w:tcPr>
            <w:tcW w:type="dxa" w:w="992"/>
          </w:tcPr>
          <w:p>
            <w:pPr>
              <w:jc w:val="center"/>
            </w:pPr>
            <w:r/>
            <w:r>
              <w:rPr>
                <w:rFonts w:ascii="Calibri" w:hAnsi="Calibri"/>
                <w:sz w:val="18"/>
              </w:rPr>
              <w:t>SSP</w:t>
            </w:r>
          </w:p>
        </w:tc>
        <w:tc>
          <w:tcPr>
            <w:tcW w:type="dxa" w:w="992"/>
          </w:tcPr>
          <w:p>
            <w:pPr>
              <w:jc w:val="center"/>
            </w:pPr>
            <w:r/>
            <w:r>
              <w:rPr>
                <w:rFonts w:ascii="Calibri" w:hAnsi="Calibri"/>
                <w:b/>
                <w:color w:val="06B6D4"/>
                <w:sz w:val="18"/>
              </w:rPr>
              <w:t>95</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3</w:t>
            </w:r>
          </w:p>
        </w:tc>
        <w:tc>
          <w:tcPr>
            <w:tcW w:type="dxa" w:w="992"/>
          </w:tcPr>
          <w:p>
            <w:pPr>
              <w:jc w:val="center"/>
            </w:pPr>
            <w:r/>
            <w:r>
              <w:rPr>
                <w:rFonts w:ascii="Calibri" w:hAnsi="Calibri"/>
                <w:sz w:val="18"/>
              </w:rPr>
              <w:t>2</w:t>
            </w:r>
          </w:p>
        </w:tc>
        <w:tc>
          <w:tcPr>
            <w:tcW w:type="dxa" w:w="992"/>
          </w:tcPr>
          <w:p>
            <w:pPr>
              <w:jc w:val="center"/>
            </w:pPr>
            <w:r/>
            <w:r>
              <w:rPr>
                <w:rFonts w:ascii="Calibri" w:hAnsi="Calibri"/>
                <w:sz w:val="18"/>
              </w:rPr>
              <w:t>95%</w:t>
            </w:r>
          </w:p>
        </w:tc>
      </w:tr>
      <w:tr>
        <w:tc>
          <w:tcPr>
            <w:tcW w:type="dxa" w:w="992"/>
            <w:vAlign w:val="center"/>
          </w:tcPr>
          <w:p>
            <w:pPr>
              <w:jc w:val="center"/>
            </w:pPr>
            <w:r/>
            <w:r>
              <w:rPr>
                <w:rFonts w:ascii="Calibri" w:hAnsi="Calibri"/>
                <w:sz w:val="18"/>
              </w:rPr>
              <w:t>8</w:t>
            </w:r>
          </w:p>
        </w:tc>
        <w:tc>
          <w:tcPr>
            <w:tcW w:type="dxa" w:w="992"/>
          </w:tcPr>
          <w:p>
            <w:pPr>
              <w:jc w:val="left"/>
            </w:pPr>
            <w:r/>
            <w:r>
              <w:rPr>
                <w:rFonts w:ascii="Calibri" w:hAnsi="Calibri"/>
                <w:sz w:val="18"/>
              </w:rPr>
              <w:t>Standar Pembiayaan</w:t>
            </w:r>
          </w:p>
        </w:tc>
        <w:tc>
          <w:tcPr>
            <w:tcW w:type="dxa" w:w="992"/>
          </w:tcPr>
          <w:p>
            <w:pPr>
              <w:jc w:val="center"/>
            </w:pPr>
            <w:r/>
            <w:r>
              <w:rPr>
                <w:rFonts w:ascii="Calibri" w:hAnsi="Calibri"/>
                <w:sz w:val="18"/>
              </w:rPr>
              <w:t>SPM</w:t>
            </w:r>
          </w:p>
        </w:tc>
        <w:tc>
          <w:tcPr>
            <w:tcW w:type="dxa" w:w="992"/>
          </w:tcPr>
          <w:p>
            <w:pPr>
              <w:jc w:val="center"/>
            </w:pPr>
            <w:r/>
            <w:r>
              <w:rPr>
                <w:rFonts w:ascii="Calibri" w:hAnsi="Calibri"/>
                <w:b/>
                <w:color w:val="06B6D4"/>
                <w:sz w:val="18"/>
              </w:rPr>
              <w:t>95</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3</w:t>
            </w:r>
          </w:p>
        </w:tc>
        <w:tc>
          <w:tcPr>
            <w:tcW w:type="dxa" w:w="992"/>
          </w:tcPr>
          <w:p>
            <w:pPr>
              <w:jc w:val="center"/>
            </w:pPr>
            <w:r/>
            <w:r>
              <w:rPr>
                <w:rFonts w:ascii="Calibri" w:hAnsi="Calibri"/>
                <w:sz w:val="18"/>
              </w:rPr>
              <w:t>2</w:t>
            </w:r>
          </w:p>
        </w:tc>
        <w:tc>
          <w:tcPr>
            <w:tcW w:type="dxa" w:w="992"/>
          </w:tcPr>
          <w:p>
            <w:pPr>
              <w:jc w:val="center"/>
            </w:pPr>
            <w:r/>
            <w:r>
              <w:rPr>
                <w:rFonts w:ascii="Calibri" w:hAnsi="Calibri"/>
                <w:sz w:val="18"/>
              </w:rPr>
              <w:t>95%</w:t>
            </w:r>
          </w:p>
        </w:tc>
      </w:tr>
    </w:tbl>
    <w:p/>
    <w:p>
      <w:pPr>
        <w:spacing w:after="120" w:line="312" w:lineRule="auto"/>
        <w:jc w:val="both"/>
      </w:pPr>
      <w:r>
        <w:rPr>
          <w:rFonts w:ascii="Calibri" w:hAnsi="Calibri"/>
          <w:b/>
          <w:color w:val="1F2937"/>
          <w:sz w:val="22"/>
        </w:rPr>
        <w:t>Catatan Hasil Assessment:</w:t>
      </w:r>
    </w:p>
    <w:p>
      <w:pPr>
        <w:spacing w:after="80" w:line="312" w:lineRule="auto"/>
        <w:ind w:left="283"/>
        <w:jc w:val="both"/>
      </w:pPr>
      <w:r>
        <w:rPr>
          <w:rFonts w:ascii="Calibri" w:hAnsi="Calibri"/>
          <w:b/>
          <w:color w:val="1A3A6E"/>
          <w:sz w:val="20"/>
        </w:rPr>
        <w:t xml:space="preserve">1. Standar Kompetensi Lulusan (SKL): </w:t>
      </w:r>
      <w:r>
        <w:rPr>
          <w:rFonts w:ascii="Calibri" w:hAnsi="Calibri"/>
          <w:sz w:val="20"/>
        </w:rPr>
        <w:t>Skor 87 (Mencapai Standar). Lulusan terserap DUDI 86,50%, IPK rata-rata 3,48, masa studi 3,8 thn, masa tunggu 3,2 bln. Lulusan wirausahawan 18,20%. Semua indikator Tercapai.</w:t>
      </w:r>
    </w:p>
    <w:p>
      <w:pPr>
        <w:spacing w:after="80" w:line="312" w:lineRule="auto"/>
        <w:ind w:left="283"/>
        <w:jc w:val="both"/>
      </w:pPr>
      <w:r>
        <w:rPr>
          <w:rFonts w:ascii="Calibri" w:hAnsi="Calibri"/>
          <w:b/>
          <w:color w:val="1A3A6E"/>
          <w:sz w:val="20"/>
        </w:rPr>
        <w:t xml:space="preserve">2. Standar Proses Pembelajaran (SPB): </w:t>
      </w:r>
      <w:r>
        <w:rPr>
          <w:rFonts w:ascii="Calibri" w:hAnsi="Calibri"/>
          <w:sz w:val="20"/>
        </w:rPr>
        <w:t>Skor 89 (Mencapai Standar). Skor rata-rata kepuasan 3,54 (Likert 1-4). Ganjil 3,49 → Genap 3,59. Seluruh fakultas meningkat. Metode daring skor terendah namun di atas rata-rata.</w:t>
      </w:r>
    </w:p>
    <w:p>
      <w:pPr>
        <w:spacing w:after="80" w:line="312" w:lineRule="auto"/>
        <w:ind w:left="283"/>
        <w:jc w:val="both"/>
      </w:pPr>
      <w:r>
        <w:rPr>
          <w:rFonts w:ascii="Calibri" w:hAnsi="Calibri"/>
          <w:b/>
          <w:color w:val="1A3A6E"/>
          <w:sz w:val="20"/>
        </w:rPr>
        <w:t xml:space="preserve">3. Standar Penilaian (SPN): </w:t>
      </w:r>
      <w:r>
        <w:rPr>
          <w:rFonts w:ascii="Calibri" w:hAnsi="Calibri"/>
          <w:sz w:val="20"/>
        </w:rPr>
        <w:t>Skor 85 (Mencapai Standar). Penilaian di SIAKAD tervalidasi. Feedback dosen terdokumentasi. Rubrik penilaian berbasis OBE mulai diterapkan. Beberapa prodi belum konsisten rubrik.</w:t>
      </w:r>
    </w:p>
    <w:p>
      <w:pPr>
        <w:spacing w:after="80" w:line="312" w:lineRule="auto"/>
        <w:ind w:left="283"/>
        <w:jc w:val="both"/>
      </w:pPr>
      <w:r>
        <w:rPr>
          <w:rFonts w:ascii="Calibri" w:hAnsi="Calibri"/>
          <w:b/>
          <w:color w:val="1A3A6E"/>
          <w:sz w:val="20"/>
        </w:rPr>
        <w:t xml:space="preserve">4. Standar Pengelolaan (SPP): </w:t>
      </w:r>
      <w:r>
        <w:rPr>
          <w:rFonts w:ascii="Calibri" w:hAnsi="Calibri"/>
          <w:sz w:val="20"/>
        </w:rPr>
        <w:t>Skor 84 (Mencapai Standar). Rasio mahasiswa per dosen pembimbing 16:1 (target ≤20:1). Dashboard SPMI mulai berfungsi. Mekanisme PPEPP terintegrasi.</w:t>
      </w:r>
    </w:p>
    <w:p>
      <w:pPr>
        <w:spacing w:after="80" w:line="312" w:lineRule="auto"/>
        <w:ind w:left="283"/>
        <w:jc w:val="both"/>
      </w:pPr>
      <w:r>
        <w:rPr>
          <w:rFonts w:ascii="Calibri" w:hAnsi="Calibri"/>
          <w:b/>
          <w:color w:val="1A3A6E"/>
          <w:sz w:val="20"/>
        </w:rPr>
        <w:t xml:space="preserve">5. Standar Isi (SIS): </w:t>
      </w:r>
      <w:r>
        <w:rPr>
          <w:rFonts w:ascii="Calibri" w:hAnsi="Calibri"/>
          <w:sz w:val="20"/>
        </w:rPr>
        <w:t>Skor 83 (Mencapai Standar). Ketersediaan dokumen kurikulum 100%. Frekuensi tinjauan kurikulum 2x/tahun. Rasio dosen pembimbing TA 8:1 (dari 12:1). OBE mulai diterapkan.</w:t>
      </w:r>
    </w:p>
    <w:p>
      <w:pPr>
        <w:spacing w:after="80" w:line="312" w:lineRule="auto"/>
        <w:ind w:left="283"/>
        <w:jc w:val="both"/>
      </w:pPr>
      <w:r>
        <w:rPr>
          <w:rFonts w:ascii="Calibri" w:hAnsi="Calibri"/>
          <w:b/>
          <w:color w:val="1A3A6E"/>
          <w:sz w:val="20"/>
        </w:rPr>
        <w:t xml:space="preserve">6. Standar Dosen &amp; Tenaga Kependidikan (SDT): </w:t>
      </w:r>
      <w:r>
        <w:rPr>
          <w:rFonts w:ascii="Calibri" w:hAnsi="Calibri"/>
          <w:sz w:val="20"/>
        </w:rPr>
        <w:t>Skor 89 (Mencapai Standar). Total SDM 93 orang. Sertifikasi pendidik 94,60% (target 100%, BELUM TERCAPAI). Dosen Lektor+ 78,40%. Tendik kualifikasi S2 96,40% (BELUM TERCAPAI). Realisasi anggaran SDM 88,70%. 16/18 indikator Tercapai, 2 Belum Tercapai.</w:t>
      </w:r>
    </w:p>
    <w:p>
      <w:pPr>
        <w:spacing w:after="80" w:line="312" w:lineRule="auto"/>
        <w:ind w:left="283"/>
        <w:jc w:val="both"/>
      </w:pPr>
      <w:r>
        <w:rPr>
          <w:rFonts w:ascii="Calibri" w:hAnsi="Calibri"/>
          <w:b/>
          <w:color w:val="1A3A6E"/>
          <w:sz w:val="20"/>
        </w:rPr>
        <w:t xml:space="preserve">7. Standar Sarana &amp; Prasarana (SSP): </w:t>
      </w:r>
      <w:r>
        <w:rPr>
          <w:rFonts w:ascii="Calibri" w:hAnsi="Calibri"/>
          <w:sz w:val="20"/>
        </w:rPr>
        <w:t>Skor 95 (Mencapai Standar). Sarana baik 95,20% (dari 83% di 2023). Prasarana baik 95,80% (dari 84%). Peningkatan signifikan. Beberapa scanner, stand LCD, diesel perlu perbaikan.</w:t>
      </w:r>
    </w:p>
    <w:p>
      <w:pPr>
        <w:spacing w:after="80" w:line="312" w:lineRule="auto"/>
        <w:ind w:left="283"/>
        <w:jc w:val="both"/>
      </w:pPr>
      <w:r>
        <w:rPr>
          <w:rFonts w:ascii="Calibri" w:hAnsi="Calibri"/>
          <w:b/>
          <w:color w:val="1A3A6E"/>
          <w:sz w:val="20"/>
        </w:rPr>
        <w:t xml:space="preserve">8. Standar Pembiayaan (SPM): </w:t>
      </w:r>
      <w:r>
        <w:rPr>
          <w:rFonts w:ascii="Calibri" w:hAnsi="Calibri"/>
          <w:sz w:val="20"/>
        </w:rPr>
        <w:t>Skor 95 (Mencapai Standar). Realisasi pendapatan 95,20% dari target RENOP. Belanja operasional 94,80%. Belanja kemahasiswaan 95,60%. Belanja penelitian 96,10%. Total pendapatan target Rp28.400 juta. Semua indikator Tercapai.</w:t>
      </w:r>
    </w:p>
    <w:p/>
    <w:p>
      <w:r>
        <w:br w:type="page"/>
      </w:r>
    </w:p>
    <w:p>
      <w:pPr>
        <w:keepNext/>
        <w:spacing w:before="240" w:after="160"/>
      </w:pPr>
      <w:r>
        <w:rPr>
          <w:rFonts w:ascii="Calibri" w:hAnsi="Calibri"/>
          <w:b/>
          <w:color w:val="1A3A6E"/>
          <w:sz w:val="26"/>
        </w:rPr>
        <w:t>3.3 Standar Penelitian (8 Standar)</w:t>
      </w:r>
    </w:p>
    <w:tbl>
      <w:tblPr>
        <w:tblStyle w:val="TableGrid"/>
        <w:tblW w:type="auto" w:w="0"/>
        <w:jc w:val="center"/>
        <w:tblLook w:firstColumn="1" w:firstRow="1" w:lastColumn="0" w:lastRow="0" w:noHBand="0" w:noVBand="1" w:val="04A0"/>
      </w:tblPr>
      <w:tblGrid>
        <w:gridCol w:w="992"/>
        <w:gridCol w:w="992"/>
        <w:gridCol w:w="992"/>
        <w:gridCol w:w="992"/>
        <w:gridCol w:w="992"/>
        <w:gridCol w:w="992"/>
        <w:gridCol w:w="992"/>
        <w:gridCol w:w="992"/>
      </w:tblGrid>
      <w:tr>
        <w:tc>
          <w:tcPr>
            <w:tcW w:type="dxa" w:w="992"/>
            <w:shd w:fill="1A3A6E"/>
            <w:vAlign w:val="center"/>
          </w:tcPr>
          <w:p>
            <w:pPr>
              <w:jc w:val="center"/>
            </w:pPr>
            <w:r/>
            <w:r>
              <w:rPr>
                <w:rFonts w:ascii="Calibri" w:hAnsi="Calibri"/>
                <w:b/>
                <w:color w:val="FFFFFF"/>
                <w:sz w:val="20"/>
              </w:rPr>
              <w:t>No</w:t>
            </w:r>
          </w:p>
        </w:tc>
        <w:tc>
          <w:tcPr>
            <w:tcW w:type="dxa" w:w="992"/>
            <w:shd w:fill="1A3A6E"/>
            <w:vAlign w:val="center"/>
          </w:tcPr>
          <w:p>
            <w:pPr>
              <w:jc w:val="center"/>
            </w:pPr>
            <w:r/>
            <w:r>
              <w:rPr>
                <w:rFonts w:ascii="Calibri" w:hAnsi="Calibri"/>
                <w:b/>
                <w:color w:val="FFFFFF"/>
                <w:sz w:val="20"/>
              </w:rPr>
              <w:t>Nama Standar</w:t>
            </w:r>
          </w:p>
        </w:tc>
        <w:tc>
          <w:tcPr>
            <w:tcW w:type="dxa" w:w="992"/>
            <w:shd w:fill="1A3A6E"/>
            <w:vAlign w:val="center"/>
          </w:tcPr>
          <w:p>
            <w:pPr>
              <w:jc w:val="center"/>
            </w:pPr>
            <w:r/>
            <w:r>
              <w:rPr>
                <w:rFonts w:ascii="Calibri" w:hAnsi="Calibri"/>
                <w:b/>
                <w:color w:val="FFFFFF"/>
                <w:sz w:val="20"/>
              </w:rPr>
              <w:t>Kode</w:t>
            </w:r>
          </w:p>
        </w:tc>
        <w:tc>
          <w:tcPr>
            <w:tcW w:type="dxa" w:w="992"/>
            <w:shd w:fill="1A3A6E"/>
            <w:vAlign w:val="center"/>
          </w:tcPr>
          <w:p>
            <w:pPr>
              <w:jc w:val="center"/>
            </w:pPr>
            <w:r/>
            <w:r>
              <w:rPr>
                <w:rFonts w:ascii="Calibri" w:hAnsi="Calibri"/>
                <w:b/>
                <w:color w:val="FFFFFF"/>
                <w:sz w:val="20"/>
              </w:rPr>
              <w:t>Skor</w:t>
            </w:r>
          </w:p>
        </w:tc>
        <w:tc>
          <w:tcPr>
            <w:tcW w:type="dxa" w:w="992"/>
            <w:shd w:fill="1A3A6E"/>
            <w:vAlign w:val="center"/>
          </w:tcPr>
          <w:p>
            <w:pPr>
              <w:jc w:val="center"/>
            </w:pPr>
            <w:r/>
            <w:r>
              <w:rPr>
                <w:rFonts w:ascii="Calibri" w:hAnsi="Calibri"/>
                <w:b/>
                <w:color w:val="FFFFFF"/>
                <w:sz w:val="20"/>
              </w:rPr>
              <w:t>Status</w:t>
            </w:r>
          </w:p>
        </w:tc>
        <w:tc>
          <w:tcPr>
            <w:tcW w:type="dxa" w:w="992"/>
            <w:shd w:fill="1A3A6E"/>
            <w:vAlign w:val="center"/>
          </w:tcPr>
          <w:p>
            <w:pPr>
              <w:jc w:val="center"/>
            </w:pPr>
            <w:r/>
            <w:r>
              <w:rPr>
                <w:rFonts w:ascii="Calibri" w:hAnsi="Calibri"/>
                <w:b/>
                <w:color w:val="FFFFFF"/>
                <w:sz w:val="20"/>
              </w:rPr>
              <w:t>Temuan</w:t>
            </w:r>
          </w:p>
        </w:tc>
        <w:tc>
          <w:tcPr>
            <w:tcW w:type="dxa" w:w="992"/>
            <w:shd w:fill="1A3A6E"/>
            <w:vAlign w:val="center"/>
          </w:tcPr>
          <w:p>
            <w:pPr>
              <w:jc w:val="center"/>
            </w:pPr>
            <w:r/>
            <w:r>
              <w:rPr>
                <w:rFonts w:ascii="Calibri" w:hAnsi="Calibri"/>
                <w:b/>
                <w:color w:val="FFFFFF"/>
                <w:sz w:val="20"/>
              </w:rPr>
              <w:t>PTK</w:t>
            </w:r>
          </w:p>
        </w:tc>
        <w:tc>
          <w:tcPr>
            <w:tcW w:type="dxa" w:w="992"/>
            <w:shd w:fill="1A3A6E"/>
            <w:vAlign w:val="center"/>
          </w:tcPr>
          <w:p>
            <w:pPr>
              <w:jc w:val="center"/>
            </w:pPr>
            <w:r/>
            <w:r>
              <w:rPr>
                <w:rFonts w:ascii="Calibri" w:hAnsi="Calibri"/>
                <w:b/>
                <w:color w:val="FFFFFF"/>
                <w:sz w:val="20"/>
              </w:rPr>
              <w:t>TL (%)</w:t>
            </w:r>
          </w:p>
        </w:tc>
      </w:tr>
      <w:tr>
        <w:tc>
          <w:tcPr>
            <w:tcW w:type="dxa" w:w="992"/>
            <w:vAlign w:val="center"/>
          </w:tcPr>
          <w:p>
            <w:pPr>
              <w:jc w:val="center"/>
            </w:pPr>
            <w:r/>
            <w:r>
              <w:rPr>
                <w:rFonts w:ascii="Calibri" w:hAnsi="Calibri"/>
                <w:sz w:val="18"/>
              </w:rPr>
              <w:t>9</w:t>
            </w:r>
          </w:p>
        </w:tc>
        <w:tc>
          <w:tcPr>
            <w:tcW w:type="dxa" w:w="992"/>
          </w:tcPr>
          <w:p>
            <w:pPr>
              <w:jc w:val="left"/>
            </w:pPr>
            <w:r/>
            <w:r>
              <w:rPr>
                <w:rFonts w:ascii="Calibri" w:hAnsi="Calibri"/>
                <w:sz w:val="18"/>
              </w:rPr>
              <w:t>Standar Luaran Penelitian</w:t>
            </w:r>
          </w:p>
        </w:tc>
        <w:tc>
          <w:tcPr>
            <w:tcW w:type="dxa" w:w="992"/>
          </w:tcPr>
          <w:p>
            <w:pPr>
              <w:jc w:val="center"/>
            </w:pPr>
            <w:r/>
            <w:r>
              <w:rPr>
                <w:rFonts w:ascii="Calibri" w:hAnsi="Calibri"/>
                <w:sz w:val="18"/>
              </w:rPr>
              <w:t>PEN-LRN</w:t>
            </w:r>
          </w:p>
        </w:tc>
        <w:tc>
          <w:tcPr>
            <w:tcW w:type="dxa" w:w="992"/>
          </w:tcPr>
          <w:p>
            <w:pPr>
              <w:jc w:val="center"/>
            </w:pPr>
            <w:r/>
            <w:r>
              <w:rPr>
                <w:rFonts w:ascii="Calibri" w:hAnsi="Calibri"/>
                <w:b/>
                <w:color w:val="06B6D4"/>
                <w:sz w:val="18"/>
              </w:rPr>
              <w:t>94</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3</w:t>
            </w:r>
          </w:p>
        </w:tc>
        <w:tc>
          <w:tcPr>
            <w:tcW w:type="dxa" w:w="992"/>
          </w:tcPr>
          <w:p>
            <w:pPr>
              <w:jc w:val="center"/>
            </w:pPr>
            <w:r/>
            <w:r>
              <w:rPr>
                <w:rFonts w:ascii="Calibri" w:hAnsi="Calibri"/>
                <w:sz w:val="18"/>
              </w:rPr>
              <w:t>2</w:t>
            </w:r>
          </w:p>
        </w:tc>
        <w:tc>
          <w:tcPr>
            <w:tcW w:type="dxa" w:w="992"/>
          </w:tcPr>
          <w:p>
            <w:pPr>
              <w:jc w:val="center"/>
            </w:pPr>
            <w:r/>
            <w:r>
              <w:rPr>
                <w:rFonts w:ascii="Calibri" w:hAnsi="Calibri"/>
                <w:sz w:val="18"/>
              </w:rPr>
              <w:t>95%</w:t>
            </w:r>
          </w:p>
        </w:tc>
      </w:tr>
      <w:tr>
        <w:tc>
          <w:tcPr>
            <w:tcW w:type="dxa" w:w="992"/>
            <w:vAlign w:val="center"/>
          </w:tcPr>
          <w:p>
            <w:pPr>
              <w:jc w:val="center"/>
            </w:pPr>
            <w:r/>
            <w:r>
              <w:rPr>
                <w:rFonts w:ascii="Calibri" w:hAnsi="Calibri"/>
                <w:sz w:val="18"/>
              </w:rPr>
              <w:t>10</w:t>
            </w:r>
          </w:p>
        </w:tc>
        <w:tc>
          <w:tcPr>
            <w:tcW w:type="dxa" w:w="992"/>
          </w:tcPr>
          <w:p>
            <w:pPr>
              <w:jc w:val="left"/>
            </w:pPr>
            <w:r/>
            <w:r>
              <w:rPr>
                <w:rFonts w:ascii="Calibri" w:hAnsi="Calibri"/>
                <w:sz w:val="18"/>
              </w:rPr>
              <w:t>Standar Proses Penelitian</w:t>
            </w:r>
          </w:p>
        </w:tc>
        <w:tc>
          <w:tcPr>
            <w:tcW w:type="dxa" w:w="992"/>
          </w:tcPr>
          <w:p>
            <w:pPr>
              <w:jc w:val="center"/>
            </w:pPr>
            <w:r/>
            <w:r>
              <w:rPr>
                <w:rFonts w:ascii="Calibri" w:hAnsi="Calibri"/>
                <w:sz w:val="18"/>
              </w:rPr>
              <w:t>PEN-PRS</w:t>
            </w:r>
          </w:p>
        </w:tc>
        <w:tc>
          <w:tcPr>
            <w:tcW w:type="dxa" w:w="992"/>
          </w:tcPr>
          <w:p>
            <w:pPr>
              <w:jc w:val="center"/>
            </w:pPr>
            <w:r/>
            <w:r>
              <w:rPr>
                <w:rFonts w:ascii="Calibri" w:hAnsi="Calibri"/>
                <w:b/>
                <w:color w:val="06B6D4"/>
                <w:sz w:val="18"/>
              </w:rPr>
              <w:t>95</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2</w:t>
            </w:r>
          </w:p>
        </w:tc>
        <w:tc>
          <w:tcPr>
            <w:tcW w:type="dxa" w:w="992"/>
          </w:tcPr>
          <w:p>
            <w:pPr>
              <w:jc w:val="center"/>
            </w:pPr>
            <w:r/>
            <w:r>
              <w:rPr>
                <w:rFonts w:ascii="Calibri" w:hAnsi="Calibri"/>
                <w:sz w:val="18"/>
              </w:rPr>
              <w:t>1</w:t>
            </w:r>
          </w:p>
        </w:tc>
        <w:tc>
          <w:tcPr>
            <w:tcW w:type="dxa" w:w="992"/>
          </w:tcPr>
          <w:p>
            <w:pPr>
              <w:jc w:val="center"/>
            </w:pPr>
            <w:r/>
            <w:r>
              <w:rPr>
                <w:rFonts w:ascii="Calibri" w:hAnsi="Calibri"/>
                <w:sz w:val="18"/>
              </w:rPr>
              <w:t>96%</w:t>
            </w:r>
          </w:p>
        </w:tc>
      </w:tr>
      <w:tr>
        <w:tc>
          <w:tcPr>
            <w:tcW w:type="dxa" w:w="992"/>
            <w:vAlign w:val="center"/>
          </w:tcPr>
          <w:p>
            <w:pPr>
              <w:jc w:val="center"/>
            </w:pPr>
            <w:r/>
            <w:r>
              <w:rPr>
                <w:rFonts w:ascii="Calibri" w:hAnsi="Calibri"/>
                <w:sz w:val="18"/>
              </w:rPr>
              <w:t>11</w:t>
            </w:r>
          </w:p>
        </w:tc>
        <w:tc>
          <w:tcPr>
            <w:tcW w:type="dxa" w:w="992"/>
          </w:tcPr>
          <w:p>
            <w:pPr>
              <w:jc w:val="left"/>
            </w:pPr>
            <w:r/>
            <w:r>
              <w:rPr>
                <w:rFonts w:ascii="Calibri" w:hAnsi="Calibri"/>
                <w:sz w:val="18"/>
              </w:rPr>
              <w:t>Standar Masukan Penelitian</w:t>
            </w:r>
          </w:p>
        </w:tc>
        <w:tc>
          <w:tcPr>
            <w:tcW w:type="dxa" w:w="992"/>
          </w:tcPr>
          <w:p>
            <w:pPr>
              <w:jc w:val="center"/>
            </w:pPr>
            <w:r/>
            <w:r>
              <w:rPr>
                <w:rFonts w:ascii="Calibri" w:hAnsi="Calibri"/>
                <w:sz w:val="18"/>
              </w:rPr>
              <w:t>PEN-MSK</w:t>
            </w:r>
          </w:p>
        </w:tc>
        <w:tc>
          <w:tcPr>
            <w:tcW w:type="dxa" w:w="992"/>
          </w:tcPr>
          <w:p>
            <w:pPr>
              <w:jc w:val="center"/>
            </w:pPr>
            <w:r/>
            <w:r>
              <w:rPr>
                <w:rFonts w:ascii="Calibri" w:hAnsi="Calibri"/>
                <w:b/>
                <w:color w:val="06B6D4"/>
                <w:sz w:val="18"/>
              </w:rPr>
              <w:t>91</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4</w:t>
            </w:r>
          </w:p>
        </w:tc>
        <w:tc>
          <w:tcPr>
            <w:tcW w:type="dxa" w:w="992"/>
          </w:tcPr>
          <w:p>
            <w:pPr>
              <w:jc w:val="center"/>
            </w:pPr>
            <w:r/>
            <w:r>
              <w:rPr>
                <w:rFonts w:ascii="Calibri" w:hAnsi="Calibri"/>
                <w:sz w:val="18"/>
              </w:rPr>
              <w:t>3</w:t>
            </w:r>
          </w:p>
        </w:tc>
        <w:tc>
          <w:tcPr>
            <w:tcW w:type="dxa" w:w="992"/>
          </w:tcPr>
          <w:p>
            <w:pPr>
              <w:jc w:val="center"/>
            </w:pPr>
            <w:r/>
            <w:r>
              <w:rPr>
                <w:rFonts w:ascii="Calibri" w:hAnsi="Calibri"/>
                <w:sz w:val="18"/>
              </w:rPr>
              <w:t>90%</w:t>
            </w:r>
          </w:p>
        </w:tc>
      </w:tr>
      <w:tr>
        <w:tc>
          <w:tcPr>
            <w:tcW w:type="dxa" w:w="992"/>
            <w:vAlign w:val="center"/>
          </w:tcPr>
          <w:p>
            <w:pPr>
              <w:jc w:val="center"/>
            </w:pPr>
            <w:r/>
            <w:r>
              <w:rPr>
                <w:rFonts w:ascii="Calibri" w:hAnsi="Calibri"/>
                <w:sz w:val="18"/>
              </w:rPr>
              <w:t>12</w:t>
            </w:r>
          </w:p>
        </w:tc>
        <w:tc>
          <w:tcPr>
            <w:tcW w:type="dxa" w:w="992"/>
          </w:tcPr>
          <w:p>
            <w:pPr>
              <w:jc w:val="left"/>
            </w:pPr>
            <w:r/>
            <w:r>
              <w:rPr>
                <w:rFonts w:ascii="Calibri" w:hAnsi="Calibri"/>
                <w:sz w:val="18"/>
              </w:rPr>
              <w:t>Standar Hasil Penelitian</w:t>
            </w:r>
          </w:p>
        </w:tc>
        <w:tc>
          <w:tcPr>
            <w:tcW w:type="dxa" w:w="992"/>
          </w:tcPr>
          <w:p>
            <w:pPr>
              <w:jc w:val="center"/>
            </w:pPr>
            <w:r/>
            <w:r>
              <w:rPr>
                <w:rFonts w:ascii="Calibri" w:hAnsi="Calibri"/>
                <w:sz w:val="18"/>
              </w:rPr>
              <w:t>PEN-HSL</w:t>
            </w:r>
          </w:p>
        </w:tc>
        <w:tc>
          <w:tcPr>
            <w:tcW w:type="dxa" w:w="992"/>
          </w:tcPr>
          <w:p>
            <w:pPr>
              <w:jc w:val="center"/>
            </w:pPr>
            <w:r/>
            <w:r>
              <w:rPr>
                <w:rFonts w:ascii="Calibri" w:hAnsi="Calibri"/>
                <w:b/>
                <w:color w:val="06B6D4"/>
                <w:sz w:val="18"/>
              </w:rPr>
              <w:t>92</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3</w:t>
            </w:r>
          </w:p>
        </w:tc>
        <w:tc>
          <w:tcPr>
            <w:tcW w:type="dxa" w:w="992"/>
          </w:tcPr>
          <w:p>
            <w:pPr>
              <w:jc w:val="center"/>
            </w:pPr>
            <w:r/>
            <w:r>
              <w:rPr>
                <w:rFonts w:ascii="Calibri" w:hAnsi="Calibri"/>
                <w:sz w:val="18"/>
              </w:rPr>
              <w:t>2</w:t>
            </w:r>
          </w:p>
        </w:tc>
        <w:tc>
          <w:tcPr>
            <w:tcW w:type="dxa" w:w="992"/>
          </w:tcPr>
          <w:p>
            <w:pPr>
              <w:jc w:val="center"/>
            </w:pPr>
            <w:r/>
            <w:r>
              <w:rPr>
                <w:rFonts w:ascii="Calibri" w:hAnsi="Calibri"/>
                <w:sz w:val="18"/>
              </w:rPr>
              <w:t>93%</w:t>
            </w:r>
          </w:p>
        </w:tc>
      </w:tr>
      <w:tr>
        <w:tc>
          <w:tcPr>
            <w:tcW w:type="dxa" w:w="992"/>
            <w:vAlign w:val="center"/>
          </w:tcPr>
          <w:p>
            <w:pPr>
              <w:jc w:val="center"/>
            </w:pPr>
            <w:r/>
            <w:r>
              <w:rPr>
                <w:rFonts w:ascii="Calibri" w:hAnsi="Calibri"/>
                <w:sz w:val="18"/>
              </w:rPr>
              <w:t>13</w:t>
            </w:r>
          </w:p>
        </w:tc>
        <w:tc>
          <w:tcPr>
            <w:tcW w:type="dxa" w:w="992"/>
          </w:tcPr>
          <w:p>
            <w:pPr>
              <w:jc w:val="left"/>
            </w:pPr>
            <w:r/>
            <w:r>
              <w:rPr>
                <w:rFonts w:ascii="Calibri" w:hAnsi="Calibri"/>
                <w:sz w:val="18"/>
              </w:rPr>
              <w:t>Standar Publikasi Ilmiah Penelitian</w:t>
            </w:r>
          </w:p>
        </w:tc>
        <w:tc>
          <w:tcPr>
            <w:tcW w:type="dxa" w:w="992"/>
          </w:tcPr>
          <w:p>
            <w:pPr>
              <w:jc w:val="center"/>
            </w:pPr>
            <w:r/>
            <w:r>
              <w:rPr>
                <w:rFonts w:ascii="Calibri" w:hAnsi="Calibri"/>
                <w:sz w:val="18"/>
              </w:rPr>
              <w:t>PEN-PUB</w:t>
            </w:r>
          </w:p>
        </w:tc>
        <w:tc>
          <w:tcPr>
            <w:tcW w:type="dxa" w:w="992"/>
          </w:tcPr>
          <w:p>
            <w:pPr>
              <w:jc w:val="center"/>
            </w:pPr>
            <w:r/>
            <w:r>
              <w:rPr>
                <w:rFonts w:ascii="Calibri" w:hAnsi="Calibri"/>
                <w:b/>
                <w:color w:val="06B6D4"/>
                <w:sz w:val="18"/>
              </w:rPr>
              <w:t>94</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3</w:t>
            </w:r>
          </w:p>
        </w:tc>
        <w:tc>
          <w:tcPr>
            <w:tcW w:type="dxa" w:w="992"/>
          </w:tcPr>
          <w:p>
            <w:pPr>
              <w:jc w:val="center"/>
            </w:pPr>
            <w:r/>
            <w:r>
              <w:rPr>
                <w:rFonts w:ascii="Calibri" w:hAnsi="Calibri"/>
                <w:sz w:val="18"/>
              </w:rPr>
              <w:t>2</w:t>
            </w:r>
          </w:p>
        </w:tc>
        <w:tc>
          <w:tcPr>
            <w:tcW w:type="dxa" w:w="992"/>
          </w:tcPr>
          <w:p>
            <w:pPr>
              <w:jc w:val="center"/>
            </w:pPr>
            <w:r/>
            <w:r>
              <w:rPr>
                <w:rFonts w:ascii="Calibri" w:hAnsi="Calibri"/>
                <w:sz w:val="18"/>
              </w:rPr>
              <w:t>94%</w:t>
            </w:r>
          </w:p>
        </w:tc>
      </w:tr>
      <w:tr>
        <w:tc>
          <w:tcPr>
            <w:tcW w:type="dxa" w:w="992"/>
            <w:vAlign w:val="center"/>
          </w:tcPr>
          <w:p>
            <w:pPr>
              <w:jc w:val="center"/>
            </w:pPr>
            <w:r/>
            <w:r>
              <w:rPr>
                <w:rFonts w:ascii="Calibri" w:hAnsi="Calibri"/>
                <w:sz w:val="18"/>
              </w:rPr>
              <w:t>14</w:t>
            </w:r>
          </w:p>
        </w:tc>
        <w:tc>
          <w:tcPr>
            <w:tcW w:type="dxa" w:w="992"/>
          </w:tcPr>
          <w:p>
            <w:pPr>
              <w:jc w:val="left"/>
            </w:pPr>
            <w:r/>
            <w:r>
              <w:rPr>
                <w:rFonts w:ascii="Calibri" w:hAnsi="Calibri"/>
                <w:sz w:val="18"/>
              </w:rPr>
              <w:t>Standar Paten &amp; HKI Penelitian</w:t>
            </w:r>
          </w:p>
        </w:tc>
        <w:tc>
          <w:tcPr>
            <w:tcW w:type="dxa" w:w="992"/>
          </w:tcPr>
          <w:p>
            <w:pPr>
              <w:jc w:val="center"/>
            </w:pPr>
            <w:r/>
            <w:r>
              <w:rPr>
                <w:rFonts w:ascii="Calibri" w:hAnsi="Calibri"/>
                <w:sz w:val="18"/>
              </w:rPr>
              <w:t>PEN-PTN</w:t>
            </w:r>
          </w:p>
        </w:tc>
        <w:tc>
          <w:tcPr>
            <w:tcW w:type="dxa" w:w="992"/>
          </w:tcPr>
          <w:p>
            <w:pPr>
              <w:jc w:val="center"/>
            </w:pPr>
            <w:r/>
            <w:r>
              <w:rPr>
                <w:rFonts w:ascii="Calibri" w:hAnsi="Calibri"/>
                <w:b/>
                <w:color w:val="06B6D4"/>
                <w:sz w:val="18"/>
              </w:rPr>
              <w:t>93</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3</w:t>
            </w:r>
          </w:p>
        </w:tc>
        <w:tc>
          <w:tcPr>
            <w:tcW w:type="dxa" w:w="992"/>
          </w:tcPr>
          <w:p>
            <w:pPr>
              <w:jc w:val="center"/>
            </w:pPr>
            <w:r/>
            <w:r>
              <w:rPr>
                <w:rFonts w:ascii="Calibri" w:hAnsi="Calibri"/>
                <w:sz w:val="18"/>
              </w:rPr>
              <w:t>2</w:t>
            </w:r>
          </w:p>
        </w:tc>
        <w:tc>
          <w:tcPr>
            <w:tcW w:type="dxa" w:w="992"/>
          </w:tcPr>
          <w:p>
            <w:pPr>
              <w:jc w:val="center"/>
            </w:pPr>
            <w:r/>
            <w:r>
              <w:rPr>
                <w:rFonts w:ascii="Calibri" w:hAnsi="Calibri"/>
                <w:sz w:val="18"/>
              </w:rPr>
              <w:t>90%</w:t>
            </w:r>
          </w:p>
        </w:tc>
      </w:tr>
      <w:tr>
        <w:tc>
          <w:tcPr>
            <w:tcW w:type="dxa" w:w="992"/>
            <w:vAlign w:val="center"/>
          </w:tcPr>
          <w:p>
            <w:pPr>
              <w:jc w:val="center"/>
            </w:pPr>
            <w:r/>
            <w:r>
              <w:rPr>
                <w:rFonts w:ascii="Calibri" w:hAnsi="Calibri"/>
                <w:sz w:val="18"/>
              </w:rPr>
              <w:t>15</w:t>
            </w:r>
          </w:p>
        </w:tc>
        <w:tc>
          <w:tcPr>
            <w:tcW w:type="dxa" w:w="992"/>
          </w:tcPr>
          <w:p>
            <w:pPr>
              <w:jc w:val="left"/>
            </w:pPr>
            <w:r/>
            <w:r>
              <w:rPr>
                <w:rFonts w:ascii="Calibri" w:hAnsi="Calibri"/>
                <w:sz w:val="18"/>
              </w:rPr>
              <w:t>Standar Diseminasi Penelitian</w:t>
            </w:r>
          </w:p>
        </w:tc>
        <w:tc>
          <w:tcPr>
            <w:tcW w:type="dxa" w:w="992"/>
          </w:tcPr>
          <w:p>
            <w:pPr>
              <w:jc w:val="center"/>
            </w:pPr>
            <w:r/>
            <w:r>
              <w:rPr>
                <w:rFonts w:ascii="Calibri" w:hAnsi="Calibri"/>
                <w:sz w:val="18"/>
              </w:rPr>
              <w:t>PEN-DSM</w:t>
            </w:r>
          </w:p>
        </w:tc>
        <w:tc>
          <w:tcPr>
            <w:tcW w:type="dxa" w:w="992"/>
          </w:tcPr>
          <w:p>
            <w:pPr>
              <w:jc w:val="center"/>
            </w:pPr>
            <w:r/>
            <w:r>
              <w:rPr>
                <w:rFonts w:ascii="Calibri" w:hAnsi="Calibri"/>
                <w:b/>
                <w:color w:val="06B6D4"/>
                <w:sz w:val="18"/>
              </w:rPr>
              <w:t>90</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4</w:t>
            </w:r>
          </w:p>
        </w:tc>
        <w:tc>
          <w:tcPr>
            <w:tcW w:type="dxa" w:w="992"/>
          </w:tcPr>
          <w:p>
            <w:pPr>
              <w:jc w:val="center"/>
            </w:pPr>
            <w:r/>
            <w:r>
              <w:rPr>
                <w:rFonts w:ascii="Calibri" w:hAnsi="Calibri"/>
                <w:sz w:val="18"/>
              </w:rPr>
              <w:t>3</w:t>
            </w:r>
          </w:p>
        </w:tc>
        <w:tc>
          <w:tcPr>
            <w:tcW w:type="dxa" w:w="992"/>
          </w:tcPr>
          <w:p>
            <w:pPr>
              <w:jc w:val="center"/>
            </w:pPr>
            <w:r/>
            <w:r>
              <w:rPr>
                <w:rFonts w:ascii="Calibri" w:hAnsi="Calibri"/>
                <w:sz w:val="18"/>
              </w:rPr>
              <w:t>88%</w:t>
            </w:r>
          </w:p>
        </w:tc>
      </w:tr>
      <w:tr>
        <w:tc>
          <w:tcPr>
            <w:tcW w:type="dxa" w:w="992"/>
            <w:vAlign w:val="center"/>
          </w:tcPr>
          <w:p>
            <w:pPr>
              <w:jc w:val="center"/>
            </w:pPr>
            <w:r/>
            <w:r>
              <w:rPr>
                <w:rFonts w:ascii="Calibri" w:hAnsi="Calibri"/>
                <w:sz w:val="18"/>
              </w:rPr>
              <w:t>16</w:t>
            </w:r>
          </w:p>
        </w:tc>
        <w:tc>
          <w:tcPr>
            <w:tcW w:type="dxa" w:w="992"/>
          </w:tcPr>
          <w:p>
            <w:pPr>
              <w:jc w:val="left"/>
            </w:pPr>
            <w:r/>
            <w:r>
              <w:rPr>
                <w:rFonts w:ascii="Calibri" w:hAnsi="Calibri"/>
                <w:sz w:val="18"/>
              </w:rPr>
              <w:t>Standar Kolaborasi Penelitian</w:t>
            </w:r>
          </w:p>
        </w:tc>
        <w:tc>
          <w:tcPr>
            <w:tcW w:type="dxa" w:w="992"/>
          </w:tcPr>
          <w:p>
            <w:pPr>
              <w:jc w:val="center"/>
            </w:pPr>
            <w:r/>
            <w:r>
              <w:rPr>
                <w:rFonts w:ascii="Calibri" w:hAnsi="Calibri"/>
                <w:sz w:val="18"/>
              </w:rPr>
              <w:t>PEN-KLB</w:t>
            </w:r>
          </w:p>
        </w:tc>
        <w:tc>
          <w:tcPr>
            <w:tcW w:type="dxa" w:w="992"/>
          </w:tcPr>
          <w:p>
            <w:pPr>
              <w:jc w:val="center"/>
            </w:pPr>
            <w:r/>
            <w:r>
              <w:rPr>
                <w:rFonts w:ascii="Calibri" w:hAnsi="Calibri"/>
                <w:b/>
                <w:color w:val="109881"/>
                <w:sz w:val="18"/>
              </w:rPr>
              <w:t>89</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4</w:t>
            </w:r>
          </w:p>
        </w:tc>
        <w:tc>
          <w:tcPr>
            <w:tcW w:type="dxa" w:w="992"/>
          </w:tcPr>
          <w:p>
            <w:pPr>
              <w:jc w:val="center"/>
            </w:pPr>
            <w:r/>
            <w:r>
              <w:rPr>
                <w:rFonts w:ascii="Calibri" w:hAnsi="Calibri"/>
                <w:sz w:val="18"/>
              </w:rPr>
              <w:t>3</w:t>
            </w:r>
          </w:p>
        </w:tc>
        <w:tc>
          <w:tcPr>
            <w:tcW w:type="dxa" w:w="992"/>
          </w:tcPr>
          <w:p>
            <w:pPr>
              <w:jc w:val="center"/>
            </w:pPr>
            <w:r/>
            <w:r>
              <w:rPr>
                <w:rFonts w:ascii="Calibri" w:hAnsi="Calibri"/>
                <w:sz w:val="18"/>
              </w:rPr>
              <w:t>86%</w:t>
            </w:r>
          </w:p>
        </w:tc>
      </w:tr>
    </w:tbl>
    <w:p/>
    <w:p>
      <w:pPr>
        <w:spacing w:after="120" w:line="312" w:lineRule="auto"/>
        <w:jc w:val="both"/>
      </w:pPr>
      <w:r>
        <w:rPr>
          <w:rFonts w:ascii="Calibri" w:hAnsi="Calibri"/>
          <w:b/>
          <w:color w:val="1F2937"/>
          <w:sz w:val="22"/>
        </w:rPr>
        <w:t>Catatan Hasil Assessment:</w:t>
      </w:r>
    </w:p>
    <w:p>
      <w:pPr>
        <w:spacing w:after="80" w:line="312" w:lineRule="auto"/>
        <w:ind w:left="283"/>
        <w:jc w:val="both"/>
      </w:pPr>
      <w:r>
        <w:rPr>
          <w:rFonts w:ascii="Calibri" w:hAnsi="Calibri"/>
          <w:b/>
          <w:color w:val="1A3A6E"/>
          <w:sz w:val="20"/>
        </w:rPr>
        <w:t xml:space="preserve">9. Standar Luaran Penelitian (PEN-LRN): </w:t>
      </w:r>
      <w:r>
        <w:rPr>
          <w:rFonts w:ascii="Calibri" w:hAnsi="Calibri"/>
          <w:sz w:val="20"/>
        </w:rPr>
        <w:t>Skor 94 (Mencapai Standar). Publikasi ilmiah 95,60% (10 dokumen/prodi). HKI 93,40% (meningkat/tahun). Sitasi 90,80%. Adopsi industri 88,50%. Semua Tercapai.</w:t>
      </w:r>
    </w:p>
    <w:p>
      <w:pPr>
        <w:spacing w:after="80" w:line="312" w:lineRule="auto"/>
        <w:ind w:left="283"/>
        <w:jc w:val="both"/>
      </w:pPr>
      <w:r>
        <w:rPr>
          <w:rFonts w:ascii="Calibri" w:hAnsi="Calibri"/>
          <w:b/>
          <w:color w:val="1A3A6E"/>
          <w:sz w:val="20"/>
        </w:rPr>
        <w:t xml:space="preserve">10. Standar Proses Penelitian (PEN-PRS): </w:t>
      </w:r>
      <w:r>
        <w:rPr>
          <w:rFonts w:ascii="Calibri" w:hAnsi="Calibri"/>
          <w:sz w:val="20"/>
        </w:rPr>
        <w:t>Skor 95 (Mencapai Standar). Panduan penelitian tersedia 100%. Sosialisasi terlaksana 100%. Laporan akhir 96,80%. Integrasi ke RPS 93,50%. Kesesuaian roadmap 97,20%.</w:t>
      </w:r>
    </w:p>
    <w:p>
      <w:pPr>
        <w:spacing w:after="80" w:line="312" w:lineRule="auto"/>
        <w:ind w:left="283"/>
        <w:jc w:val="both"/>
      </w:pPr>
      <w:r>
        <w:rPr>
          <w:rFonts w:ascii="Calibri" w:hAnsi="Calibri"/>
          <w:b/>
          <w:color w:val="1A3A6E"/>
          <w:sz w:val="20"/>
        </w:rPr>
        <w:t xml:space="preserve">11. Standar Masukan Penelitian (PEN-MSK): </w:t>
      </w:r>
      <w:r>
        <w:rPr>
          <w:rFonts w:ascii="Calibri" w:hAnsi="Calibri"/>
          <w:sz w:val="20"/>
        </w:rPr>
        <w:t>Skor 91 (Mencapai Standar). Pendanaan penelitian dari RENOP. Fasilitas dan infrastruktur penelitian memadai. SDM peneliti tersertifikasi. Sistem informasi terintegrasi.</w:t>
      </w:r>
    </w:p>
    <w:p>
      <w:pPr>
        <w:spacing w:after="80" w:line="312" w:lineRule="auto"/>
        <w:ind w:left="283"/>
        <w:jc w:val="both"/>
      </w:pPr>
      <w:r>
        <w:rPr>
          <w:rFonts w:ascii="Calibri" w:hAnsi="Calibri"/>
          <w:b/>
          <w:color w:val="1A3A6E"/>
          <w:sz w:val="20"/>
        </w:rPr>
        <w:t xml:space="preserve">12. Standar Hasil Penelitian (PEN-HSL): </w:t>
      </w:r>
      <w:r>
        <w:rPr>
          <w:rFonts w:ascii="Calibri" w:hAnsi="Calibri"/>
          <w:sz w:val="20"/>
        </w:rPr>
        <w:t>Skor 92 (Mencapai Standar). Adopsi industri 88,50%. Sitasi 90,80%. Integrasi RPS 93,50%. Hasil penelitian diadopsi untuk pembelajaran dan masyarakat.</w:t>
      </w:r>
    </w:p>
    <w:p>
      <w:pPr>
        <w:spacing w:after="80" w:line="312" w:lineRule="auto"/>
        <w:ind w:left="283"/>
        <w:jc w:val="both"/>
      </w:pPr>
      <w:r>
        <w:rPr>
          <w:rFonts w:ascii="Calibri" w:hAnsi="Calibri"/>
          <w:b/>
          <w:color w:val="1A3A6E"/>
          <w:sz w:val="20"/>
        </w:rPr>
        <w:t xml:space="preserve">13. Standar Publikasi Ilmiah Penelitian (PEN-PUB): </w:t>
      </w:r>
      <w:r>
        <w:rPr>
          <w:rFonts w:ascii="Calibri" w:hAnsi="Calibri"/>
          <w:sz w:val="20"/>
        </w:rPr>
        <w:t>Skor 94 (Mencapai Standar). Publikasi 95,60% (10 dokumen/prodi/tahun). Sitasi 90,80%. Buku ilmiah meningkat. Semua indikator Tercapai.</w:t>
      </w:r>
    </w:p>
    <w:p>
      <w:pPr>
        <w:spacing w:after="80" w:line="312" w:lineRule="auto"/>
        <w:ind w:left="283"/>
        <w:jc w:val="both"/>
      </w:pPr>
      <w:r>
        <w:rPr>
          <w:rFonts w:ascii="Calibri" w:hAnsi="Calibri"/>
          <w:b/>
          <w:color w:val="1A3A6E"/>
          <w:sz w:val="20"/>
        </w:rPr>
        <w:t xml:space="preserve">14. Standar Paten &amp; HKI Penelitian (PEN-PTN): </w:t>
      </w:r>
      <w:r>
        <w:rPr>
          <w:rFonts w:ascii="Calibri" w:hAnsi="Calibri"/>
          <w:sz w:val="20"/>
        </w:rPr>
        <w:t>Skor 93 (Mencapai Standar). HKI (Paten, Hak Cipta, Desain) 93,40% (meningkat/tahun). Adopsi industri 88,50%. Semua Tercapai.</w:t>
      </w:r>
    </w:p>
    <w:p>
      <w:pPr>
        <w:spacing w:after="80" w:line="312" w:lineRule="auto"/>
        <w:ind w:left="283"/>
        <w:jc w:val="both"/>
      </w:pPr>
      <w:r>
        <w:rPr>
          <w:rFonts w:ascii="Calibri" w:hAnsi="Calibri"/>
          <w:b/>
          <w:color w:val="1A3A6E"/>
          <w:sz w:val="20"/>
        </w:rPr>
        <w:t xml:space="preserve">15. Standar Diseminasi Penelitian (PEN-DSM): </w:t>
      </w:r>
      <w:r>
        <w:rPr>
          <w:rFonts w:ascii="Calibri" w:hAnsi="Calibri"/>
          <w:sz w:val="20"/>
        </w:rPr>
        <w:t>Skor 90 (Mencapai Standar). Sosialisasi dan pelatihan terkait penelitian terlaksana 100%. Diseminasi melalui seminar dan forum ilmiah. Perlu peningkatan forum internasional.</w:t>
      </w:r>
    </w:p>
    <w:p>
      <w:pPr>
        <w:spacing w:after="80" w:line="312" w:lineRule="auto"/>
        <w:ind w:left="283"/>
        <w:jc w:val="both"/>
      </w:pPr>
      <w:r>
        <w:rPr>
          <w:rFonts w:ascii="Calibri" w:hAnsi="Calibri"/>
          <w:b/>
          <w:color w:val="1A3A6E"/>
          <w:sz w:val="20"/>
        </w:rPr>
        <w:t xml:space="preserve">16. Standar Kolaborasi Penelitian (PEN-KLB): </w:t>
      </w:r>
      <w:r>
        <w:rPr>
          <w:rFonts w:ascii="Calibri" w:hAnsi="Calibri"/>
          <w:sz w:val="20"/>
        </w:rPr>
        <w:t>Skor 89 (Mencapai Standar). Proporsi skema penelitian 96,80%. Kerjasama dengan mitra industri perlu peningkatan. Kolaborasi antar-prodi mulai berkembang.</w:t>
      </w:r>
    </w:p>
    <w:p/>
    <w:p>
      <w:r>
        <w:br w:type="page"/>
      </w:r>
    </w:p>
    <w:p>
      <w:pPr>
        <w:keepNext/>
        <w:spacing w:before="240" w:after="160"/>
      </w:pPr>
      <w:r>
        <w:rPr>
          <w:rFonts w:ascii="Calibri" w:hAnsi="Calibri"/>
          <w:b/>
          <w:color w:val="1A3A6E"/>
          <w:sz w:val="26"/>
        </w:rPr>
        <w:t>3.4 Standar Pengabdian kepada Masyarakat (8 Standar)</w:t>
      </w:r>
    </w:p>
    <w:tbl>
      <w:tblPr>
        <w:tblStyle w:val="TableGrid"/>
        <w:tblW w:type="auto" w:w="0"/>
        <w:jc w:val="center"/>
        <w:tblLook w:firstColumn="1" w:firstRow="1" w:lastColumn="0" w:lastRow="0" w:noHBand="0" w:noVBand="1" w:val="04A0"/>
      </w:tblPr>
      <w:tblGrid>
        <w:gridCol w:w="992"/>
        <w:gridCol w:w="992"/>
        <w:gridCol w:w="992"/>
        <w:gridCol w:w="992"/>
        <w:gridCol w:w="992"/>
        <w:gridCol w:w="992"/>
        <w:gridCol w:w="992"/>
        <w:gridCol w:w="992"/>
      </w:tblGrid>
      <w:tr>
        <w:tc>
          <w:tcPr>
            <w:tcW w:type="dxa" w:w="992"/>
            <w:shd w:fill="1A3A6E"/>
            <w:vAlign w:val="center"/>
          </w:tcPr>
          <w:p>
            <w:pPr>
              <w:jc w:val="center"/>
            </w:pPr>
            <w:r/>
            <w:r>
              <w:rPr>
                <w:rFonts w:ascii="Calibri" w:hAnsi="Calibri"/>
                <w:b/>
                <w:color w:val="FFFFFF"/>
                <w:sz w:val="20"/>
              </w:rPr>
              <w:t>No</w:t>
            </w:r>
          </w:p>
        </w:tc>
        <w:tc>
          <w:tcPr>
            <w:tcW w:type="dxa" w:w="992"/>
            <w:shd w:fill="1A3A6E"/>
            <w:vAlign w:val="center"/>
          </w:tcPr>
          <w:p>
            <w:pPr>
              <w:jc w:val="center"/>
            </w:pPr>
            <w:r/>
            <w:r>
              <w:rPr>
                <w:rFonts w:ascii="Calibri" w:hAnsi="Calibri"/>
                <w:b/>
                <w:color w:val="FFFFFF"/>
                <w:sz w:val="20"/>
              </w:rPr>
              <w:t>Nama Standar</w:t>
            </w:r>
          </w:p>
        </w:tc>
        <w:tc>
          <w:tcPr>
            <w:tcW w:type="dxa" w:w="992"/>
            <w:shd w:fill="1A3A6E"/>
            <w:vAlign w:val="center"/>
          </w:tcPr>
          <w:p>
            <w:pPr>
              <w:jc w:val="center"/>
            </w:pPr>
            <w:r/>
            <w:r>
              <w:rPr>
                <w:rFonts w:ascii="Calibri" w:hAnsi="Calibri"/>
                <w:b/>
                <w:color w:val="FFFFFF"/>
                <w:sz w:val="20"/>
              </w:rPr>
              <w:t>Kode</w:t>
            </w:r>
          </w:p>
        </w:tc>
        <w:tc>
          <w:tcPr>
            <w:tcW w:type="dxa" w:w="992"/>
            <w:shd w:fill="1A3A6E"/>
            <w:vAlign w:val="center"/>
          </w:tcPr>
          <w:p>
            <w:pPr>
              <w:jc w:val="center"/>
            </w:pPr>
            <w:r/>
            <w:r>
              <w:rPr>
                <w:rFonts w:ascii="Calibri" w:hAnsi="Calibri"/>
                <w:b/>
                <w:color w:val="FFFFFF"/>
                <w:sz w:val="20"/>
              </w:rPr>
              <w:t>Skor</w:t>
            </w:r>
          </w:p>
        </w:tc>
        <w:tc>
          <w:tcPr>
            <w:tcW w:type="dxa" w:w="992"/>
            <w:shd w:fill="1A3A6E"/>
            <w:vAlign w:val="center"/>
          </w:tcPr>
          <w:p>
            <w:pPr>
              <w:jc w:val="center"/>
            </w:pPr>
            <w:r/>
            <w:r>
              <w:rPr>
                <w:rFonts w:ascii="Calibri" w:hAnsi="Calibri"/>
                <w:b/>
                <w:color w:val="FFFFFF"/>
                <w:sz w:val="20"/>
              </w:rPr>
              <w:t>Status</w:t>
            </w:r>
          </w:p>
        </w:tc>
        <w:tc>
          <w:tcPr>
            <w:tcW w:type="dxa" w:w="992"/>
            <w:shd w:fill="1A3A6E"/>
            <w:vAlign w:val="center"/>
          </w:tcPr>
          <w:p>
            <w:pPr>
              <w:jc w:val="center"/>
            </w:pPr>
            <w:r/>
            <w:r>
              <w:rPr>
                <w:rFonts w:ascii="Calibri" w:hAnsi="Calibri"/>
                <w:b/>
                <w:color w:val="FFFFFF"/>
                <w:sz w:val="20"/>
              </w:rPr>
              <w:t>Temuan</w:t>
            </w:r>
          </w:p>
        </w:tc>
        <w:tc>
          <w:tcPr>
            <w:tcW w:type="dxa" w:w="992"/>
            <w:shd w:fill="1A3A6E"/>
            <w:vAlign w:val="center"/>
          </w:tcPr>
          <w:p>
            <w:pPr>
              <w:jc w:val="center"/>
            </w:pPr>
            <w:r/>
            <w:r>
              <w:rPr>
                <w:rFonts w:ascii="Calibri" w:hAnsi="Calibri"/>
                <w:b/>
                <w:color w:val="FFFFFF"/>
                <w:sz w:val="20"/>
              </w:rPr>
              <w:t>PTK</w:t>
            </w:r>
          </w:p>
        </w:tc>
        <w:tc>
          <w:tcPr>
            <w:tcW w:type="dxa" w:w="992"/>
            <w:shd w:fill="1A3A6E"/>
            <w:vAlign w:val="center"/>
          </w:tcPr>
          <w:p>
            <w:pPr>
              <w:jc w:val="center"/>
            </w:pPr>
            <w:r/>
            <w:r>
              <w:rPr>
                <w:rFonts w:ascii="Calibri" w:hAnsi="Calibri"/>
                <w:b/>
                <w:color w:val="FFFFFF"/>
                <w:sz w:val="20"/>
              </w:rPr>
              <w:t>TL (%)</w:t>
            </w:r>
          </w:p>
        </w:tc>
      </w:tr>
      <w:tr>
        <w:tc>
          <w:tcPr>
            <w:tcW w:type="dxa" w:w="992"/>
            <w:vAlign w:val="center"/>
          </w:tcPr>
          <w:p>
            <w:pPr>
              <w:jc w:val="center"/>
            </w:pPr>
            <w:r/>
            <w:r>
              <w:rPr>
                <w:rFonts w:ascii="Calibri" w:hAnsi="Calibri"/>
                <w:sz w:val="18"/>
              </w:rPr>
              <w:t>17</w:t>
            </w:r>
          </w:p>
        </w:tc>
        <w:tc>
          <w:tcPr>
            <w:tcW w:type="dxa" w:w="992"/>
          </w:tcPr>
          <w:p>
            <w:pPr>
              <w:jc w:val="left"/>
            </w:pPr>
            <w:r/>
            <w:r>
              <w:rPr>
                <w:rFonts w:ascii="Calibri" w:hAnsi="Calibri"/>
                <w:sz w:val="18"/>
              </w:rPr>
              <w:t>Standar Luaran PkM</w:t>
            </w:r>
          </w:p>
        </w:tc>
        <w:tc>
          <w:tcPr>
            <w:tcW w:type="dxa" w:w="992"/>
          </w:tcPr>
          <w:p>
            <w:pPr>
              <w:jc w:val="center"/>
            </w:pPr>
            <w:r/>
            <w:r>
              <w:rPr>
                <w:rFonts w:ascii="Calibri" w:hAnsi="Calibri"/>
                <w:sz w:val="18"/>
              </w:rPr>
              <w:t>PKM-LRN</w:t>
            </w:r>
          </w:p>
        </w:tc>
        <w:tc>
          <w:tcPr>
            <w:tcW w:type="dxa" w:w="992"/>
          </w:tcPr>
          <w:p>
            <w:pPr>
              <w:jc w:val="center"/>
            </w:pPr>
            <w:r/>
            <w:r>
              <w:rPr>
                <w:rFonts w:ascii="Calibri" w:hAnsi="Calibri"/>
                <w:b/>
                <w:color w:val="06B6D4"/>
                <w:sz w:val="18"/>
              </w:rPr>
              <w:t>95</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2</w:t>
            </w:r>
          </w:p>
        </w:tc>
        <w:tc>
          <w:tcPr>
            <w:tcW w:type="dxa" w:w="992"/>
          </w:tcPr>
          <w:p>
            <w:pPr>
              <w:jc w:val="center"/>
            </w:pPr>
            <w:r/>
            <w:r>
              <w:rPr>
                <w:rFonts w:ascii="Calibri" w:hAnsi="Calibri"/>
                <w:sz w:val="18"/>
              </w:rPr>
              <w:t>1</w:t>
            </w:r>
          </w:p>
        </w:tc>
        <w:tc>
          <w:tcPr>
            <w:tcW w:type="dxa" w:w="992"/>
          </w:tcPr>
          <w:p>
            <w:pPr>
              <w:jc w:val="center"/>
            </w:pPr>
            <w:r/>
            <w:r>
              <w:rPr>
                <w:rFonts w:ascii="Calibri" w:hAnsi="Calibri"/>
                <w:sz w:val="18"/>
              </w:rPr>
              <w:t>96%</w:t>
            </w:r>
          </w:p>
        </w:tc>
      </w:tr>
      <w:tr>
        <w:tc>
          <w:tcPr>
            <w:tcW w:type="dxa" w:w="992"/>
            <w:vAlign w:val="center"/>
          </w:tcPr>
          <w:p>
            <w:pPr>
              <w:jc w:val="center"/>
            </w:pPr>
            <w:r/>
            <w:r>
              <w:rPr>
                <w:rFonts w:ascii="Calibri" w:hAnsi="Calibri"/>
                <w:sz w:val="18"/>
              </w:rPr>
              <w:t>18</w:t>
            </w:r>
          </w:p>
        </w:tc>
        <w:tc>
          <w:tcPr>
            <w:tcW w:type="dxa" w:w="992"/>
          </w:tcPr>
          <w:p>
            <w:pPr>
              <w:jc w:val="left"/>
            </w:pPr>
            <w:r/>
            <w:r>
              <w:rPr>
                <w:rFonts w:ascii="Calibri" w:hAnsi="Calibri"/>
                <w:sz w:val="18"/>
              </w:rPr>
              <w:t>Standar Proses PkM</w:t>
            </w:r>
          </w:p>
        </w:tc>
        <w:tc>
          <w:tcPr>
            <w:tcW w:type="dxa" w:w="992"/>
          </w:tcPr>
          <w:p>
            <w:pPr>
              <w:jc w:val="center"/>
            </w:pPr>
            <w:r/>
            <w:r>
              <w:rPr>
                <w:rFonts w:ascii="Calibri" w:hAnsi="Calibri"/>
                <w:sz w:val="18"/>
              </w:rPr>
              <w:t>PKM-PRS</w:t>
            </w:r>
          </w:p>
        </w:tc>
        <w:tc>
          <w:tcPr>
            <w:tcW w:type="dxa" w:w="992"/>
          </w:tcPr>
          <w:p>
            <w:pPr>
              <w:jc w:val="center"/>
            </w:pPr>
            <w:r/>
            <w:r>
              <w:rPr>
                <w:rFonts w:ascii="Calibri" w:hAnsi="Calibri"/>
                <w:b/>
                <w:color w:val="06B6D4"/>
                <w:sz w:val="18"/>
              </w:rPr>
              <w:t>96</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2</w:t>
            </w:r>
          </w:p>
        </w:tc>
        <w:tc>
          <w:tcPr>
            <w:tcW w:type="dxa" w:w="992"/>
          </w:tcPr>
          <w:p>
            <w:pPr>
              <w:jc w:val="center"/>
            </w:pPr>
            <w:r/>
            <w:r>
              <w:rPr>
                <w:rFonts w:ascii="Calibri" w:hAnsi="Calibri"/>
                <w:sz w:val="18"/>
              </w:rPr>
              <w:t>1</w:t>
            </w:r>
          </w:p>
        </w:tc>
        <w:tc>
          <w:tcPr>
            <w:tcW w:type="dxa" w:w="992"/>
          </w:tcPr>
          <w:p>
            <w:pPr>
              <w:jc w:val="center"/>
            </w:pPr>
            <w:r/>
            <w:r>
              <w:rPr>
                <w:rFonts w:ascii="Calibri" w:hAnsi="Calibri"/>
                <w:sz w:val="18"/>
              </w:rPr>
              <w:t>97%</w:t>
            </w:r>
          </w:p>
        </w:tc>
      </w:tr>
      <w:tr>
        <w:tc>
          <w:tcPr>
            <w:tcW w:type="dxa" w:w="992"/>
            <w:vAlign w:val="center"/>
          </w:tcPr>
          <w:p>
            <w:pPr>
              <w:jc w:val="center"/>
            </w:pPr>
            <w:r/>
            <w:r>
              <w:rPr>
                <w:rFonts w:ascii="Calibri" w:hAnsi="Calibri"/>
                <w:sz w:val="18"/>
              </w:rPr>
              <w:t>19</w:t>
            </w:r>
          </w:p>
        </w:tc>
        <w:tc>
          <w:tcPr>
            <w:tcW w:type="dxa" w:w="992"/>
          </w:tcPr>
          <w:p>
            <w:pPr>
              <w:jc w:val="left"/>
            </w:pPr>
            <w:r/>
            <w:r>
              <w:rPr>
                <w:rFonts w:ascii="Calibri" w:hAnsi="Calibri"/>
                <w:sz w:val="18"/>
              </w:rPr>
              <w:t>Standar Masukan PkM</w:t>
            </w:r>
          </w:p>
        </w:tc>
        <w:tc>
          <w:tcPr>
            <w:tcW w:type="dxa" w:w="992"/>
          </w:tcPr>
          <w:p>
            <w:pPr>
              <w:jc w:val="center"/>
            </w:pPr>
            <w:r/>
            <w:r>
              <w:rPr>
                <w:rFonts w:ascii="Calibri" w:hAnsi="Calibri"/>
                <w:sz w:val="18"/>
              </w:rPr>
              <w:t>PKM-MSK</w:t>
            </w:r>
          </w:p>
        </w:tc>
        <w:tc>
          <w:tcPr>
            <w:tcW w:type="dxa" w:w="992"/>
          </w:tcPr>
          <w:p>
            <w:pPr>
              <w:jc w:val="center"/>
            </w:pPr>
            <w:r/>
            <w:r>
              <w:rPr>
                <w:rFonts w:ascii="Calibri" w:hAnsi="Calibri"/>
                <w:b/>
                <w:color w:val="06B6D4"/>
                <w:sz w:val="18"/>
              </w:rPr>
              <w:t>92</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3</w:t>
            </w:r>
          </w:p>
        </w:tc>
        <w:tc>
          <w:tcPr>
            <w:tcW w:type="dxa" w:w="992"/>
          </w:tcPr>
          <w:p>
            <w:pPr>
              <w:jc w:val="center"/>
            </w:pPr>
            <w:r/>
            <w:r>
              <w:rPr>
                <w:rFonts w:ascii="Calibri" w:hAnsi="Calibri"/>
                <w:sz w:val="18"/>
              </w:rPr>
              <w:t>2</w:t>
            </w:r>
          </w:p>
        </w:tc>
        <w:tc>
          <w:tcPr>
            <w:tcW w:type="dxa" w:w="992"/>
          </w:tcPr>
          <w:p>
            <w:pPr>
              <w:jc w:val="center"/>
            </w:pPr>
            <w:r/>
            <w:r>
              <w:rPr>
                <w:rFonts w:ascii="Calibri" w:hAnsi="Calibri"/>
                <w:sz w:val="18"/>
              </w:rPr>
              <w:t>92%</w:t>
            </w:r>
          </w:p>
        </w:tc>
      </w:tr>
      <w:tr>
        <w:tc>
          <w:tcPr>
            <w:tcW w:type="dxa" w:w="992"/>
            <w:vAlign w:val="center"/>
          </w:tcPr>
          <w:p>
            <w:pPr>
              <w:jc w:val="center"/>
            </w:pPr>
            <w:r/>
            <w:r>
              <w:rPr>
                <w:rFonts w:ascii="Calibri" w:hAnsi="Calibri"/>
                <w:sz w:val="18"/>
              </w:rPr>
              <w:t>20</w:t>
            </w:r>
          </w:p>
        </w:tc>
        <w:tc>
          <w:tcPr>
            <w:tcW w:type="dxa" w:w="992"/>
          </w:tcPr>
          <w:p>
            <w:pPr>
              <w:jc w:val="left"/>
            </w:pPr>
            <w:r/>
            <w:r>
              <w:rPr>
                <w:rFonts w:ascii="Calibri" w:hAnsi="Calibri"/>
                <w:sz w:val="18"/>
              </w:rPr>
              <w:t>Standar Hasil PkM</w:t>
            </w:r>
          </w:p>
        </w:tc>
        <w:tc>
          <w:tcPr>
            <w:tcW w:type="dxa" w:w="992"/>
          </w:tcPr>
          <w:p>
            <w:pPr>
              <w:jc w:val="center"/>
            </w:pPr>
            <w:r/>
            <w:r>
              <w:rPr>
                <w:rFonts w:ascii="Calibri" w:hAnsi="Calibri"/>
                <w:sz w:val="18"/>
              </w:rPr>
              <w:t>PKM-HSL</w:t>
            </w:r>
          </w:p>
        </w:tc>
        <w:tc>
          <w:tcPr>
            <w:tcW w:type="dxa" w:w="992"/>
          </w:tcPr>
          <w:p>
            <w:pPr>
              <w:jc w:val="center"/>
            </w:pPr>
            <w:r/>
            <w:r>
              <w:rPr>
                <w:rFonts w:ascii="Calibri" w:hAnsi="Calibri"/>
                <w:b/>
                <w:color w:val="06B6D4"/>
                <w:sz w:val="18"/>
              </w:rPr>
              <w:t>94</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2</w:t>
            </w:r>
          </w:p>
        </w:tc>
        <w:tc>
          <w:tcPr>
            <w:tcW w:type="dxa" w:w="992"/>
          </w:tcPr>
          <w:p>
            <w:pPr>
              <w:jc w:val="center"/>
            </w:pPr>
            <w:r/>
            <w:r>
              <w:rPr>
                <w:rFonts w:ascii="Calibri" w:hAnsi="Calibri"/>
                <w:sz w:val="18"/>
              </w:rPr>
              <w:t>1</w:t>
            </w:r>
          </w:p>
        </w:tc>
        <w:tc>
          <w:tcPr>
            <w:tcW w:type="dxa" w:w="992"/>
          </w:tcPr>
          <w:p>
            <w:pPr>
              <w:jc w:val="center"/>
            </w:pPr>
            <w:r/>
            <w:r>
              <w:rPr>
                <w:rFonts w:ascii="Calibri" w:hAnsi="Calibri"/>
                <w:sz w:val="18"/>
              </w:rPr>
              <w:t>95%</w:t>
            </w:r>
          </w:p>
        </w:tc>
      </w:tr>
      <w:tr>
        <w:tc>
          <w:tcPr>
            <w:tcW w:type="dxa" w:w="992"/>
            <w:vAlign w:val="center"/>
          </w:tcPr>
          <w:p>
            <w:pPr>
              <w:jc w:val="center"/>
            </w:pPr>
            <w:r/>
            <w:r>
              <w:rPr>
                <w:rFonts w:ascii="Calibri" w:hAnsi="Calibri"/>
                <w:sz w:val="18"/>
              </w:rPr>
              <w:t>21</w:t>
            </w:r>
          </w:p>
        </w:tc>
        <w:tc>
          <w:tcPr>
            <w:tcW w:type="dxa" w:w="992"/>
          </w:tcPr>
          <w:p>
            <w:pPr>
              <w:jc w:val="left"/>
            </w:pPr>
            <w:r/>
            <w:r>
              <w:rPr>
                <w:rFonts w:ascii="Calibri" w:hAnsi="Calibri"/>
                <w:sz w:val="18"/>
              </w:rPr>
              <w:t>Standar Publikasi PkM</w:t>
            </w:r>
          </w:p>
        </w:tc>
        <w:tc>
          <w:tcPr>
            <w:tcW w:type="dxa" w:w="992"/>
          </w:tcPr>
          <w:p>
            <w:pPr>
              <w:jc w:val="center"/>
            </w:pPr>
            <w:r/>
            <w:r>
              <w:rPr>
                <w:rFonts w:ascii="Calibri" w:hAnsi="Calibri"/>
                <w:sz w:val="18"/>
              </w:rPr>
              <w:t>PKM-PUB</w:t>
            </w:r>
          </w:p>
        </w:tc>
        <w:tc>
          <w:tcPr>
            <w:tcW w:type="dxa" w:w="992"/>
          </w:tcPr>
          <w:p>
            <w:pPr>
              <w:jc w:val="center"/>
            </w:pPr>
            <w:r/>
            <w:r>
              <w:rPr>
                <w:rFonts w:ascii="Calibri" w:hAnsi="Calibri"/>
                <w:b/>
                <w:color w:val="06B6D4"/>
                <w:sz w:val="18"/>
              </w:rPr>
              <w:t>93</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3</w:t>
            </w:r>
          </w:p>
        </w:tc>
        <w:tc>
          <w:tcPr>
            <w:tcW w:type="dxa" w:w="992"/>
          </w:tcPr>
          <w:p>
            <w:pPr>
              <w:jc w:val="center"/>
            </w:pPr>
            <w:r/>
            <w:r>
              <w:rPr>
                <w:rFonts w:ascii="Calibri" w:hAnsi="Calibri"/>
                <w:sz w:val="18"/>
              </w:rPr>
              <w:t>2</w:t>
            </w:r>
          </w:p>
        </w:tc>
        <w:tc>
          <w:tcPr>
            <w:tcW w:type="dxa" w:w="992"/>
          </w:tcPr>
          <w:p>
            <w:pPr>
              <w:jc w:val="center"/>
            </w:pPr>
            <w:r/>
            <w:r>
              <w:rPr>
                <w:rFonts w:ascii="Calibri" w:hAnsi="Calibri"/>
                <w:sz w:val="18"/>
              </w:rPr>
              <w:t>92%</w:t>
            </w:r>
          </w:p>
        </w:tc>
      </w:tr>
      <w:tr>
        <w:tc>
          <w:tcPr>
            <w:tcW w:type="dxa" w:w="992"/>
            <w:vAlign w:val="center"/>
          </w:tcPr>
          <w:p>
            <w:pPr>
              <w:jc w:val="center"/>
            </w:pPr>
            <w:r/>
            <w:r>
              <w:rPr>
                <w:rFonts w:ascii="Calibri" w:hAnsi="Calibri"/>
                <w:sz w:val="18"/>
              </w:rPr>
              <w:t>22</w:t>
            </w:r>
          </w:p>
        </w:tc>
        <w:tc>
          <w:tcPr>
            <w:tcW w:type="dxa" w:w="992"/>
          </w:tcPr>
          <w:p>
            <w:pPr>
              <w:jc w:val="left"/>
            </w:pPr>
            <w:r/>
            <w:r>
              <w:rPr>
                <w:rFonts w:ascii="Calibri" w:hAnsi="Calibri"/>
                <w:sz w:val="18"/>
              </w:rPr>
              <w:t>Standar Produk &amp; Jasa PkM</w:t>
            </w:r>
          </w:p>
        </w:tc>
        <w:tc>
          <w:tcPr>
            <w:tcW w:type="dxa" w:w="992"/>
          </w:tcPr>
          <w:p>
            <w:pPr>
              <w:jc w:val="center"/>
            </w:pPr>
            <w:r/>
            <w:r>
              <w:rPr>
                <w:rFonts w:ascii="Calibri" w:hAnsi="Calibri"/>
                <w:sz w:val="18"/>
              </w:rPr>
              <w:t>PKM-PRD</w:t>
            </w:r>
          </w:p>
        </w:tc>
        <w:tc>
          <w:tcPr>
            <w:tcW w:type="dxa" w:w="992"/>
          </w:tcPr>
          <w:p>
            <w:pPr>
              <w:jc w:val="center"/>
            </w:pPr>
            <w:r/>
            <w:r>
              <w:rPr>
                <w:rFonts w:ascii="Calibri" w:hAnsi="Calibri"/>
                <w:b/>
                <w:color w:val="06B6D4"/>
                <w:sz w:val="18"/>
              </w:rPr>
              <w:t>92</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3</w:t>
            </w:r>
          </w:p>
        </w:tc>
        <w:tc>
          <w:tcPr>
            <w:tcW w:type="dxa" w:w="992"/>
          </w:tcPr>
          <w:p>
            <w:pPr>
              <w:jc w:val="center"/>
            </w:pPr>
            <w:r/>
            <w:r>
              <w:rPr>
                <w:rFonts w:ascii="Calibri" w:hAnsi="Calibri"/>
                <w:sz w:val="18"/>
              </w:rPr>
              <w:t>2</w:t>
            </w:r>
          </w:p>
        </w:tc>
        <w:tc>
          <w:tcPr>
            <w:tcW w:type="dxa" w:w="992"/>
          </w:tcPr>
          <w:p>
            <w:pPr>
              <w:jc w:val="center"/>
            </w:pPr>
            <w:r/>
            <w:r>
              <w:rPr>
                <w:rFonts w:ascii="Calibri" w:hAnsi="Calibri"/>
                <w:sz w:val="18"/>
              </w:rPr>
              <w:t>90%</w:t>
            </w:r>
          </w:p>
        </w:tc>
      </w:tr>
      <w:tr>
        <w:tc>
          <w:tcPr>
            <w:tcW w:type="dxa" w:w="992"/>
            <w:vAlign w:val="center"/>
          </w:tcPr>
          <w:p>
            <w:pPr>
              <w:jc w:val="center"/>
            </w:pPr>
            <w:r/>
            <w:r>
              <w:rPr>
                <w:rFonts w:ascii="Calibri" w:hAnsi="Calibri"/>
                <w:sz w:val="18"/>
              </w:rPr>
              <w:t>23</w:t>
            </w:r>
          </w:p>
        </w:tc>
        <w:tc>
          <w:tcPr>
            <w:tcW w:type="dxa" w:w="992"/>
          </w:tcPr>
          <w:p>
            <w:pPr>
              <w:jc w:val="left"/>
            </w:pPr>
            <w:r/>
            <w:r>
              <w:rPr>
                <w:rFonts w:ascii="Calibri" w:hAnsi="Calibri"/>
                <w:sz w:val="18"/>
              </w:rPr>
              <w:t>Standar Diseminasi PkM</w:t>
            </w:r>
          </w:p>
        </w:tc>
        <w:tc>
          <w:tcPr>
            <w:tcW w:type="dxa" w:w="992"/>
          </w:tcPr>
          <w:p>
            <w:pPr>
              <w:jc w:val="center"/>
            </w:pPr>
            <w:r/>
            <w:r>
              <w:rPr>
                <w:rFonts w:ascii="Calibri" w:hAnsi="Calibri"/>
                <w:sz w:val="18"/>
              </w:rPr>
              <w:t>PKM-DSM</w:t>
            </w:r>
          </w:p>
        </w:tc>
        <w:tc>
          <w:tcPr>
            <w:tcW w:type="dxa" w:w="992"/>
          </w:tcPr>
          <w:p>
            <w:pPr>
              <w:jc w:val="center"/>
            </w:pPr>
            <w:r/>
            <w:r>
              <w:rPr>
                <w:rFonts w:ascii="Calibri" w:hAnsi="Calibri"/>
                <w:b/>
                <w:color w:val="06B6D4"/>
                <w:sz w:val="18"/>
              </w:rPr>
              <w:t>91</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3</w:t>
            </w:r>
          </w:p>
        </w:tc>
        <w:tc>
          <w:tcPr>
            <w:tcW w:type="dxa" w:w="992"/>
          </w:tcPr>
          <w:p>
            <w:pPr>
              <w:jc w:val="center"/>
            </w:pPr>
            <w:r/>
            <w:r>
              <w:rPr>
                <w:rFonts w:ascii="Calibri" w:hAnsi="Calibri"/>
                <w:sz w:val="18"/>
              </w:rPr>
              <w:t>2</w:t>
            </w:r>
          </w:p>
        </w:tc>
        <w:tc>
          <w:tcPr>
            <w:tcW w:type="dxa" w:w="992"/>
          </w:tcPr>
          <w:p>
            <w:pPr>
              <w:jc w:val="center"/>
            </w:pPr>
            <w:r/>
            <w:r>
              <w:rPr>
                <w:rFonts w:ascii="Calibri" w:hAnsi="Calibri"/>
                <w:sz w:val="18"/>
              </w:rPr>
              <w:t>89%</w:t>
            </w:r>
          </w:p>
        </w:tc>
      </w:tr>
      <w:tr>
        <w:tc>
          <w:tcPr>
            <w:tcW w:type="dxa" w:w="992"/>
            <w:vAlign w:val="center"/>
          </w:tcPr>
          <w:p>
            <w:pPr>
              <w:jc w:val="center"/>
            </w:pPr>
            <w:r/>
            <w:r>
              <w:rPr>
                <w:rFonts w:ascii="Calibri" w:hAnsi="Calibri"/>
                <w:sz w:val="18"/>
              </w:rPr>
              <w:t>24</w:t>
            </w:r>
          </w:p>
        </w:tc>
        <w:tc>
          <w:tcPr>
            <w:tcW w:type="dxa" w:w="992"/>
          </w:tcPr>
          <w:p>
            <w:pPr>
              <w:jc w:val="left"/>
            </w:pPr>
            <w:r/>
            <w:r>
              <w:rPr>
                <w:rFonts w:ascii="Calibri" w:hAnsi="Calibri"/>
                <w:sz w:val="18"/>
              </w:rPr>
              <w:t>Standar Kolaborasi PkM</w:t>
            </w:r>
          </w:p>
        </w:tc>
        <w:tc>
          <w:tcPr>
            <w:tcW w:type="dxa" w:w="992"/>
          </w:tcPr>
          <w:p>
            <w:pPr>
              <w:jc w:val="center"/>
            </w:pPr>
            <w:r/>
            <w:r>
              <w:rPr>
                <w:rFonts w:ascii="Calibri" w:hAnsi="Calibri"/>
                <w:sz w:val="18"/>
              </w:rPr>
              <w:t>PKM-KLB</w:t>
            </w:r>
          </w:p>
        </w:tc>
        <w:tc>
          <w:tcPr>
            <w:tcW w:type="dxa" w:w="992"/>
          </w:tcPr>
          <w:p>
            <w:pPr>
              <w:jc w:val="center"/>
            </w:pPr>
            <w:r/>
            <w:r>
              <w:rPr>
                <w:rFonts w:ascii="Calibri" w:hAnsi="Calibri"/>
                <w:b/>
                <w:color w:val="109881"/>
                <w:sz w:val="18"/>
              </w:rPr>
              <w:t>89</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4</w:t>
            </w:r>
          </w:p>
        </w:tc>
        <w:tc>
          <w:tcPr>
            <w:tcW w:type="dxa" w:w="992"/>
          </w:tcPr>
          <w:p>
            <w:pPr>
              <w:jc w:val="center"/>
            </w:pPr>
            <w:r/>
            <w:r>
              <w:rPr>
                <w:rFonts w:ascii="Calibri" w:hAnsi="Calibri"/>
                <w:sz w:val="18"/>
              </w:rPr>
              <w:t>3</w:t>
            </w:r>
          </w:p>
        </w:tc>
        <w:tc>
          <w:tcPr>
            <w:tcW w:type="dxa" w:w="992"/>
          </w:tcPr>
          <w:p>
            <w:pPr>
              <w:jc w:val="center"/>
            </w:pPr>
            <w:r/>
            <w:r>
              <w:rPr>
                <w:rFonts w:ascii="Calibri" w:hAnsi="Calibri"/>
                <w:sz w:val="18"/>
              </w:rPr>
              <w:t>86%</w:t>
            </w:r>
          </w:p>
        </w:tc>
      </w:tr>
    </w:tbl>
    <w:p/>
    <w:p>
      <w:pPr>
        <w:spacing w:after="120" w:line="312" w:lineRule="auto"/>
        <w:jc w:val="both"/>
      </w:pPr>
      <w:r>
        <w:rPr>
          <w:rFonts w:ascii="Calibri" w:hAnsi="Calibri"/>
          <w:b/>
          <w:color w:val="1F2937"/>
          <w:sz w:val="22"/>
        </w:rPr>
        <w:t>Catatan Hasil Assessment:</w:t>
      </w:r>
    </w:p>
    <w:p>
      <w:pPr>
        <w:spacing w:after="80" w:line="312" w:lineRule="auto"/>
        <w:ind w:left="283"/>
        <w:jc w:val="both"/>
      </w:pPr>
      <w:r>
        <w:rPr>
          <w:rFonts w:ascii="Calibri" w:hAnsi="Calibri"/>
          <w:b/>
          <w:color w:val="1A3A6E"/>
          <w:sz w:val="20"/>
        </w:rPr>
        <w:t xml:space="preserve">17. Standar Luaran PkM (PKM-LRN): </w:t>
      </w:r>
      <w:r>
        <w:rPr>
          <w:rFonts w:ascii="Calibri" w:hAnsi="Calibri"/>
          <w:sz w:val="20"/>
        </w:rPr>
        <w:t>Skor 95 (Mencapai Standar). Publikasi PkM 94,50%. HKI/TTG 93,80%. Adopsi masyarakat 91,20%. Penyelesaian masalah mitra 96,80%. Semua Tercapai.</w:t>
      </w:r>
    </w:p>
    <w:p>
      <w:pPr>
        <w:spacing w:after="80" w:line="312" w:lineRule="auto"/>
        <w:ind w:left="283"/>
        <w:jc w:val="both"/>
      </w:pPr>
      <w:r>
        <w:rPr>
          <w:rFonts w:ascii="Calibri" w:hAnsi="Calibri"/>
          <w:b/>
          <w:color w:val="1A3A6E"/>
          <w:sz w:val="20"/>
        </w:rPr>
        <w:t xml:space="preserve">18. Standar Proses PkM (PKM-PRS): </w:t>
      </w:r>
      <w:r>
        <w:rPr>
          <w:rFonts w:ascii="Calibri" w:hAnsi="Calibri"/>
          <w:sz w:val="20"/>
        </w:rPr>
        <w:t>Skor 96 (Mencapai Standar). Panduan PkM tersedia 100%. Sosialisasi 100%. Laporan akhir 96,20%. Integrasi ke RPS 92,80%. Kesesuaian roadmap 95,40%.</w:t>
      </w:r>
    </w:p>
    <w:p>
      <w:pPr>
        <w:spacing w:after="80" w:line="312" w:lineRule="auto"/>
        <w:ind w:left="283"/>
        <w:jc w:val="both"/>
      </w:pPr>
      <w:r>
        <w:rPr>
          <w:rFonts w:ascii="Calibri" w:hAnsi="Calibri"/>
          <w:b/>
          <w:color w:val="1A3A6E"/>
          <w:sz w:val="20"/>
        </w:rPr>
        <w:t xml:space="preserve">19. Standar Masukan PkM (PKM-MSK): </w:t>
      </w:r>
      <w:r>
        <w:rPr>
          <w:rFonts w:ascii="Calibri" w:hAnsi="Calibri"/>
          <w:sz w:val="20"/>
        </w:rPr>
        <w:t>Skor 92 (Mencapai Standar). Pendanaan PkM dari RENOP. SDM pengabdi tersertifikasi. Fasilitas penunjang PkM memadai. Sistem informasi PkM mulai berfungsi.</w:t>
      </w:r>
    </w:p>
    <w:p>
      <w:pPr>
        <w:spacing w:after="80" w:line="312" w:lineRule="auto"/>
        <w:ind w:left="283"/>
        <w:jc w:val="both"/>
      </w:pPr>
      <w:r>
        <w:rPr>
          <w:rFonts w:ascii="Calibri" w:hAnsi="Calibri"/>
          <w:b/>
          <w:color w:val="1A3A6E"/>
          <w:sz w:val="20"/>
        </w:rPr>
        <w:t xml:space="preserve">20. Standar Hasil PkM (PKM-HSL): </w:t>
      </w:r>
      <w:r>
        <w:rPr>
          <w:rFonts w:ascii="Calibri" w:hAnsi="Calibri"/>
          <w:sz w:val="20"/>
        </w:rPr>
        <w:t>Skor 94 (Mencapai Standar). Adopsi hasil PkM oleh masyarakat 91,20%. Penyelesaian masalah mitra 96,80%. TTG meningkat dari 20% (2023). Semua Tercapai.</w:t>
      </w:r>
    </w:p>
    <w:p>
      <w:pPr>
        <w:spacing w:after="80" w:line="312" w:lineRule="auto"/>
        <w:ind w:left="283"/>
        <w:jc w:val="both"/>
      </w:pPr>
      <w:r>
        <w:rPr>
          <w:rFonts w:ascii="Calibri" w:hAnsi="Calibri"/>
          <w:b/>
          <w:color w:val="1A3A6E"/>
          <w:sz w:val="20"/>
        </w:rPr>
        <w:t xml:space="preserve">21. Standar Publikasi PkM (PKM-PUB): </w:t>
      </w:r>
      <w:r>
        <w:rPr>
          <w:rFonts w:ascii="Calibri" w:hAnsi="Calibri"/>
          <w:sz w:val="20"/>
        </w:rPr>
        <w:t>Skor 93 (Mencapai Standar). Publikasi ilmiah dari PkM 94,50% (meningkat/tahun). Diseminasi melalui forum dan media. Perlu peningkatan publikasi internasional.</w:t>
      </w:r>
    </w:p>
    <w:p>
      <w:pPr>
        <w:spacing w:after="80" w:line="312" w:lineRule="auto"/>
        <w:ind w:left="283"/>
        <w:jc w:val="both"/>
      </w:pPr>
      <w:r>
        <w:rPr>
          <w:rFonts w:ascii="Calibri" w:hAnsi="Calibri"/>
          <w:b/>
          <w:color w:val="1A3A6E"/>
          <w:sz w:val="20"/>
        </w:rPr>
        <w:t xml:space="preserve">22. Standar Produk &amp; Jasa PkM (PKM-PRD): </w:t>
      </w:r>
      <w:r>
        <w:rPr>
          <w:rFonts w:ascii="Calibri" w:hAnsi="Calibri"/>
          <w:sz w:val="20"/>
        </w:rPr>
        <w:t>Skor 92 (Mencapai Standar). HKI/TTG 93,80% (meningkat/tahun). Produk PkM diadopsi masyarakat. TTG masih perlu peningkatan dari 20% (2023).</w:t>
      </w:r>
    </w:p>
    <w:p>
      <w:pPr>
        <w:spacing w:after="80" w:line="312" w:lineRule="auto"/>
        <w:ind w:left="283"/>
        <w:jc w:val="both"/>
      </w:pPr>
      <w:r>
        <w:rPr>
          <w:rFonts w:ascii="Calibri" w:hAnsi="Calibri"/>
          <w:b/>
          <w:color w:val="1A3A6E"/>
          <w:sz w:val="20"/>
        </w:rPr>
        <w:t xml:space="preserve">23. Standar Diseminasi PkM (PKM-DSM): </w:t>
      </w:r>
      <w:r>
        <w:rPr>
          <w:rFonts w:ascii="Calibri" w:hAnsi="Calibri"/>
          <w:sz w:val="20"/>
        </w:rPr>
        <w:t>Skor 91 (Mencapai Standar). Sosialisasi dan pelatihan PkM 100%. Diseminasi melalui seminar dan media. Perlu peningkatan forum diseminasi tingkat nasional.</w:t>
      </w:r>
    </w:p>
    <w:p>
      <w:pPr>
        <w:spacing w:after="80" w:line="312" w:lineRule="auto"/>
        <w:ind w:left="283"/>
        <w:jc w:val="both"/>
      </w:pPr>
      <w:r>
        <w:rPr>
          <w:rFonts w:ascii="Calibri" w:hAnsi="Calibri"/>
          <w:b/>
          <w:color w:val="1A3A6E"/>
          <w:sz w:val="20"/>
        </w:rPr>
        <w:t xml:space="preserve">24. Standar Kolaborasi PkM (PKM-KLB): </w:t>
      </w:r>
      <w:r>
        <w:rPr>
          <w:rFonts w:ascii="Calibri" w:hAnsi="Calibri"/>
          <w:sz w:val="20"/>
        </w:rPr>
        <w:t>Skor 89 (Mencapai Standar). Proporsi skema PkM 95,60%. Jumlah kegiatan PkM progresif 94,20%. Kerjasama dengan mitra luar perlu peningkatan.</w:t>
      </w:r>
    </w:p>
    <w:p/>
    <w:p>
      <w:r>
        <w:br w:type="page"/>
      </w:r>
    </w:p>
    <w:p>
      <w:pPr>
        <w:keepNext/>
        <w:spacing w:before="240" w:after="160"/>
      </w:pPr>
      <w:r>
        <w:rPr>
          <w:rFonts w:ascii="Calibri" w:hAnsi="Calibri"/>
          <w:b/>
          <w:color w:val="1A3A6E"/>
          <w:sz w:val="26"/>
        </w:rPr>
        <w:t>3.5 Standar Tambahan (9 Standar)</w:t>
      </w:r>
    </w:p>
    <w:tbl>
      <w:tblPr>
        <w:tblStyle w:val="TableGrid"/>
        <w:tblW w:type="auto" w:w="0"/>
        <w:jc w:val="center"/>
        <w:tblLook w:firstColumn="1" w:firstRow="1" w:lastColumn="0" w:lastRow="0" w:noHBand="0" w:noVBand="1" w:val="04A0"/>
      </w:tblPr>
      <w:tblGrid>
        <w:gridCol w:w="992"/>
        <w:gridCol w:w="992"/>
        <w:gridCol w:w="992"/>
        <w:gridCol w:w="992"/>
        <w:gridCol w:w="992"/>
        <w:gridCol w:w="992"/>
        <w:gridCol w:w="992"/>
        <w:gridCol w:w="992"/>
      </w:tblGrid>
      <w:tr>
        <w:tc>
          <w:tcPr>
            <w:tcW w:type="dxa" w:w="992"/>
            <w:shd w:fill="1A3A6E"/>
            <w:vAlign w:val="center"/>
          </w:tcPr>
          <w:p>
            <w:pPr>
              <w:jc w:val="center"/>
            </w:pPr>
            <w:r/>
            <w:r>
              <w:rPr>
                <w:rFonts w:ascii="Calibri" w:hAnsi="Calibri"/>
                <w:b/>
                <w:color w:val="FFFFFF"/>
                <w:sz w:val="20"/>
              </w:rPr>
              <w:t>No</w:t>
            </w:r>
          </w:p>
        </w:tc>
        <w:tc>
          <w:tcPr>
            <w:tcW w:type="dxa" w:w="992"/>
            <w:shd w:fill="1A3A6E"/>
            <w:vAlign w:val="center"/>
          </w:tcPr>
          <w:p>
            <w:pPr>
              <w:jc w:val="center"/>
            </w:pPr>
            <w:r/>
            <w:r>
              <w:rPr>
                <w:rFonts w:ascii="Calibri" w:hAnsi="Calibri"/>
                <w:b/>
                <w:color w:val="FFFFFF"/>
                <w:sz w:val="20"/>
              </w:rPr>
              <w:t>Nama Standar</w:t>
            </w:r>
          </w:p>
        </w:tc>
        <w:tc>
          <w:tcPr>
            <w:tcW w:type="dxa" w:w="992"/>
            <w:shd w:fill="1A3A6E"/>
            <w:vAlign w:val="center"/>
          </w:tcPr>
          <w:p>
            <w:pPr>
              <w:jc w:val="center"/>
            </w:pPr>
            <w:r/>
            <w:r>
              <w:rPr>
                <w:rFonts w:ascii="Calibri" w:hAnsi="Calibri"/>
                <w:b/>
                <w:color w:val="FFFFFF"/>
                <w:sz w:val="20"/>
              </w:rPr>
              <w:t>Kode</w:t>
            </w:r>
          </w:p>
        </w:tc>
        <w:tc>
          <w:tcPr>
            <w:tcW w:type="dxa" w:w="992"/>
            <w:shd w:fill="1A3A6E"/>
            <w:vAlign w:val="center"/>
          </w:tcPr>
          <w:p>
            <w:pPr>
              <w:jc w:val="center"/>
            </w:pPr>
            <w:r/>
            <w:r>
              <w:rPr>
                <w:rFonts w:ascii="Calibri" w:hAnsi="Calibri"/>
                <w:b/>
                <w:color w:val="FFFFFF"/>
                <w:sz w:val="20"/>
              </w:rPr>
              <w:t>Skor</w:t>
            </w:r>
          </w:p>
        </w:tc>
        <w:tc>
          <w:tcPr>
            <w:tcW w:type="dxa" w:w="992"/>
            <w:shd w:fill="1A3A6E"/>
            <w:vAlign w:val="center"/>
          </w:tcPr>
          <w:p>
            <w:pPr>
              <w:jc w:val="center"/>
            </w:pPr>
            <w:r/>
            <w:r>
              <w:rPr>
                <w:rFonts w:ascii="Calibri" w:hAnsi="Calibri"/>
                <w:b/>
                <w:color w:val="FFFFFF"/>
                <w:sz w:val="20"/>
              </w:rPr>
              <w:t>Status</w:t>
            </w:r>
          </w:p>
        </w:tc>
        <w:tc>
          <w:tcPr>
            <w:tcW w:type="dxa" w:w="992"/>
            <w:shd w:fill="1A3A6E"/>
            <w:vAlign w:val="center"/>
          </w:tcPr>
          <w:p>
            <w:pPr>
              <w:jc w:val="center"/>
            </w:pPr>
            <w:r/>
            <w:r>
              <w:rPr>
                <w:rFonts w:ascii="Calibri" w:hAnsi="Calibri"/>
                <w:b/>
                <w:color w:val="FFFFFF"/>
                <w:sz w:val="20"/>
              </w:rPr>
              <w:t>Temuan</w:t>
            </w:r>
          </w:p>
        </w:tc>
        <w:tc>
          <w:tcPr>
            <w:tcW w:type="dxa" w:w="992"/>
            <w:shd w:fill="1A3A6E"/>
            <w:vAlign w:val="center"/>
          </w:tcPr>
          <w:p>
            <w:pPr>
              <w:jc w:val="center"/>
            </w:pPr>
            <w:r/>
            <w:r>
              <w:rPr>
                <w:rFonts w:ascii="Calibri" w:hAnsi="Calibri"/>
                <w:b/>
                <w:color w:val="FFFFFF"/>
                <w:sz w:val="20"/>
              </w:rPr>
              <w:t>PTK</w:t>
            </w:r>
          </w:p>
        </w:tc>
        <w:tc>
          <w:tcPr>
            <w:tcW w:type="dxa" w:w="992"/>
            <w:shd w:fill="1A3A6E"/>
            <w:vAlign w:val="center"/>
          </w:tcPr>
          <w:p>
            <w:pPr>
              <w:jc w:val="center"/>
            </w:pPr>
            <w:r/>
            <w:r>
              <w:rPr>
                <w:rFonts w:ascii="Calibri" w:hAnsi="Calibri"/>
                <w:b/>
                <w:color w:val="FFFFFF"/>
                <w:sz w:val="20"/>
              </w:rPr>
              <w:t>TL (%)</w:t>
            </w:r>
          </w:p>
        </w:tc>
      </w:tr>
      <w:tr>
        <w:tc>
          <w:tcPr>
            <w:tcW w:type="dxa" w:w="992"/>
            <w:vAlign w:val="center"/>
          </w:tcPr>
          <w:p>
            <w:pPr>
              <w:jc w:val="center"/>
            </w:pPr>
            <w:r/>
            <w:r>
              <w:rPr>
                <w:rFonts w:ascii="Calibri" w:hAnsi="Calibri"/>
                <w:sz w:val="18"/>
              </w:rPr>
              <w:t>25</w:t>
            </w:r>
          </w:p>
        </w:tc>
        <w:tc>
          <w:tcPr>
            <w:tcW w:type="dxa" w:w="992"/>
          </w:tcPr>
          <w:p>
            <w:pPr>
              <w:jc w:val="left"/>
            </w:pPr>
            <w:r/>
            <w:r>
              <w:rPr>
                <w:rFonts w:ascii="Calibri" w:hAnsi="Calibri"/>
                <w:sz w:val="18"/>
              </w:rPr>
              <w:t>Standar VMTS</w:t>
            </w:r>
          </w:p>
        </w:tc>
        <w:tc>
          <w:tcPr>
            <w:tcW w:type="dxa" w:w="992"/>
          </w:tcPr>
          <w:p>
            <w:pPr>
              <w:jc w:val="center"/>
            </w:pPr>
            <w:r/>
            <w:r>
              <w:rPr>
                <w:rFonts w:ascii="Calibri" w:hAnsi="Calibri"/>
                <w:sz w:val="18"/>
              </w:rPr>
              <w:t>VMTS</w:t>
            </w:r>
          </w:p>
        </w:tc>
        <w:tc>
          <w:tcPr>
            <w:tcW w:type="dxa" w:w="992"/>
          </w:tcPr>
          <w:p>
            <w:pPr>
              <w:jc w:val="center"/>
            </w:pPr>
            <w:r/>
            <w:r>
              <w:rPr>
                <w:rFonts w:ascii="Calibri" w:hAnsi="Calibri"/>
                <w:b/>
                <w:color w:val="109881"/>
                <w:sz w:val="18"/>
              </w:rPr>
              <w:t>89</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4</w:t>
            </w:r>
          </w:p>
        </w:tc>
        <w:tc>
          <w:tcPr>
            <w:tcW w:type="dxa" w:w="992"/>
          </w:tcPr>
          <w:p>
            <w:pPr>
              <w:jc w:val="center"/>
            </w:pPr>
            <w:r/>
            <w:r>
              <w:rPr>
                <w:rFonts w:ascii="Calibri" w:hAnsi="Calibri"/>
                <w:sz w:val="18"/>
              </w:rPr>
              <w:t>2</w:t>
            </w:r>
          </w:p>
        </w:tc>
        <w:tc>
          <w:tcPr>
            <w:tcW w:type="dxa" w:w="992"/>
          </w:tcPr>
          <w:p>
            <w:pPr>
              <w:jc w:val="center"/>
            </w:pPr>
            <w:r/>
            <w:r>
              <w:rPr>
                <w:rFonts w:ascii="Calibri" w:hAnsi="Calibri"/>
                <w:sz w:val="18"/>
              </w:rPr>
              <w:t>90%</w:t>
            </w:r>
          </w:p>
        </w:tc>
      </w:tr>
      <w:tr>
        <w:tc>
          <w:tcPr>
            <w:tcW w:type="dxa" w:w="992"/>
            <w:vAlign w:val="center"/>
          </w:tcPr>
          <w:p>
            <w:pPr>
              <w:jc w:val="center"/>
            </w:pPr>
            <w:r/>
            <w:r>
              <w:rPr>
                <w:rFonts w:ascii="Calibri" w:hAnsi="Calibri"/>
                <w:sz w:val="18"/>
              </w:rPr>
              <w:t>26</w:t>
            </w:r>
          </w:p>
        </w:tc>
        <w:tc>
          <w:tcPr>
            <w:tcW w:type="dxa" w:w="992"/>
          </w:tcPr>
          <w:p>
            <w:pPr>
              <w:jc w:val="left"/>
            </w:pPr>
            <w:r/>
            <w:r>
              <w:rPr>
                <w:rFonts w:ascii="Calibri" w:hAnsi="Calibri"/>
                <w:sz w:val="18"/>
              </w:rPr>
              <w:t>Standar Tata Pamong &amp; Tata Kelola</w:t>
            </w:r>
          </w:p>
        </w:tc>
        <w:tc>
          <w:tcPr>
            <w:tcW w:type="dxa" w:w="992"/>
          </w:tcPr>
          <w:p>
            <w:pPr>
              <w:jc w:val="center"/>
            </w:pPr>
            <w:r/>
            <w:r>
              <w:rPr>
                <w:rFonts w:ascii="Calibri" w:hAnsi="Calibri"/>
                <w:sz w:val="18"/>
              </w:rPr>
              <w:t>TPTK</w:t>
            </w:r>
          </w:p>
        </w:tc>
        <w:tc>
          <w:tcPr>
            <w:tcW w:type="dxa" w:w="992"/>
          </w:tcPr>
          <w:p>
            <w:pPr>
              <w:jc w:val="center"/>
            </w:pPr>
            <w:r/>
            <w:r>
              <w:rPr>
                <w:rFonts w:ascii="Calibri" w:hAnsi="Calibri"/>
                <w:b/>
                <w:color w:val="06B6D4"/>
                <w:sz w:val="18"/>
              </w:rPr>
              <w:t>90</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4</w:t>
            </w:r>
          </w:p>
        </w:tc>
        <w:tc>
          <w:tcPr>
            <w:tcW w:type="dxa" w:w="992"/>
          </w:tcPr>
          <w:p>
            <w:pPr>
              <w:jc w:val="center"/>
            </w:pPr>
            <w:r/>
            <w:r>
              <w:rPr>
                <w:rFonts w:ascii="Calibri" w:hAnsi="Calibri"/>
                <w:sz w:val="18"/>
              </w:rPr>
              <w:t>2</w:t>
            </w:r>
          </w:p>
        </w:tc>
        <w:tc>
          <w:tcPr>
            <w:tcW w:type="dxa" w:w="992"/>
          </w:tcPr>
          <w:p>
            <w:pPr>
              <w:jc w:val="center"/>
            </w:pPr>
            <w:r/>
            <w:r>
              <w:rPr>
                <w:rFonts w:ascii="Calibri" w:hAnsi="Calibri"/>
                <w:sz w:val="18"/>
              </w:rPr>
              <w:t>92%</w:t>
            </w:r>
          </w:p>
        </w:tc>
      </w:tr>
      <w:tr>
        <w:tc>
          <w:tcPr>
            <w:tcW w:type="dxa" w:w="992"/>
            <w:vAlign w:val="center"/>
          </w:tcPr>
          <w:p>
            <w:pPr>
              <w:jc w:val="center"/>
            </w:pPr>
            <w:r/>
            <w:r>
              <w:rPr>
                <w:rFonts w:ascii="Calibri" w:hAnsi="Calibri"/>
                <w:sz w:val="18"/>
              </w:rPr>
              <w:t>27</w:t>
            </w:r>
          </w:p>
        </w:tc>
        <w:tc>
          <w:tcPr>
            <w:tcW w:type="dxa" w:w="992"/>
          </w:tcPr>
          <w:p>
            <w:pPr>
              <w:jc w:val="left"/>
            </w:pPr>
            <w:r/>
            <w:r>
              <w:rPr>
                <w:rFonts w:ascii="Calibri" w:hAnsi="Calibri"/>
                <w:sz w:val="18"/>
              </w:rPr>
              <w:t>Standar Mahasiswa</w:t>
            </w:r>
          </w:p>
        </w:tc>
        <w:tc>
          <w:tcPr>
            <w:tcW w:type="dxa" w:w="992"/>
          </w:tcPr>
          <w:p>
            <w:pPr>
              <w:jc w:val="center"/>
            </w:pPr>
            <w:r/>
            <w:r>
              <w:rPr>
                <w:rFonts w:ascii="Calibri" w:hAnsi="Calibri"/>
                <w:sz w:val="18"/>
              </w:rPr>
              <w:t>MHS</w:t>
            </w:r>
          </w:p>
        </w:tc>
        <w:tc>
          <w:tcPr>
            <w:tcW w:type="dxa" w:w="992"/>
          </w:tcPr>
          <w:p>
            <w:pPr>
              <w:jc w:val="center"/>
            </w:pPr>
            <w:r/>
            <w:r>
              <w:rPr>
                <w:rFonts w:ascii="Calibri" w:hAnsi="Calibri"/>
                <w:b/>
                <w:color w:val="06B6D4"/>
                <w:sz w:val="18"/>
              </w:rPr>
              <w:t>93</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3</w:t>
            </w:r>
          </w:p>
        </w:tc>
        <w:tc>
          <w:tcPr>
            <w:tcW w:type="dxa" w:w="992"/>
          </w:tcPr>
          <w:p>
            <w:pPr>
              <w:jc w:val="center"/>
            </w:pPr>
            <w:r/>
            <w:r>
              <w:rPr>
                <w:rFonts w:ascii="Calibri" w:hAnsi="Calibri"/>
                <w:sz w:val="18"/>
              </w:rPr>
              <w:t>2</w:t>
            </w:r>
          </w:p>
        </w:tc>
        <w:tc>
          <w:tcPr>
            <w:tcW w:type="dxa" w:w="992"/>
          </w:tcPr>
          <w:p>
            <w:pPr>
              <w:jc w:val="center"/>
            </w:pPr>
            <w:r/>
            <w:r>
              <w:rPr>
                <w:rFonts w:ascii="Calibri" w:hAnsi="Calibri"/>
                <w:sz w:val="18"/>
              </w:rPr>
              <w:t>94%</w:t>
            </w:r>
          </w:p>
        </w:tc>
      </w:tr>
      <w:tr>
        <w:tc>
          <w:tcPr>
            <w:tcW w:type="dxa" w:w="992"/>
            <w:vAlign w:val="center"/>
          </w:tcPr>
          <w:p>
            <w:pPr>
              <w:jc w:val="center"/>
            </w:pPr>
            <w:r/>
            <w:r>
              <w:rPr>
                <w:rFonts w:ascii="Calibri" w:hAnsi="Calibri"/>
                <w:sz w:val="18"/>
              </w:rPr>
              <w:t>28</w:t>
            </w:r>
          </w:p>
        </w:tc>
        <w:tc>
          <w:tcPr>
            <w:tcW w:type="dxa" w:w="992"/>
          </w:tcPr>
          <w:p>
            <w:pPr>
              <w:jc w:val="left"/>
            </w:pPr>
            <w:r/>
            <w:r>
              <w:rPr>
                <w:rFonts w:ascii="Calibri" w:hAnsi="Calibri"/>
                <w:sz w:val="18"/>
              </w:rPr>
              <w:t>Standar Sumber Daya Manusia</w:t>
            </w:r>
          </w:p>
        </w:tc>
        <w:tc>
          <w:tcPr>
            <w:tcW w:type="dxa" w:w="992"/>
          </w:tcPr>
          <w:p>
            <w:pPr>
              <w:jc w:val="center"/>
            </w:pPr>
            <w:r/>
            <w:r>
              <w:rPr>
                <w:rFonts w:ascii="Calibri" w:hAnsi="Calibri"/>
                <w:sz w:val="18"/>
              </w:rPr>
              <w:t>SDM</w:t>
            </w:r>
          </w:p>
        </w:tc>
        <w:tc>
          <w:tcPr>
            <w:tcW w:type="dxa" w:w="992"/>
          </w:tcPr>
          <w:p>
            <w:pPr>
              <w:jc w:val="center"/>
            </w:pPr>
            <w:r/>
            <w:r>
              <w:rPr>
                <w:rFonts w:ascii="Calibri" w:hAnsi="Calibri"/>
                <w:b/>
                <w:color w:val="109881"/>
                <w:sz w:val="18"/>
              </w:rPr>
              <w:t>89</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6</w:t>
            </w:r>
          </w:p>
        </w:tc>
        <w:tc>
          <w:tcPr>
            <w:tcW w:type="dxa" w:w="992"/>
          </w:tcPr>
          <w:p>
            <w:pPr>
              <w:jc w:val="center"/>
            </w:pPr>
            <w:r/>
            <w:r>
              <w:rPr>
                <w:rFonts w:ascii="Calibri" w:hAnsi="Calibri"/>
                <w:sz w:val="18"/>
              </w:rPr>
              <w:t>4</w:t>
            </w:r>
          </w:p>
        </w:tc>
        <w:tc>
          <w:tcPr>
            <w:tcW w:type="dxa" w:w="992"/>
          </w:tcPr>
          <w:p>
            <w:pPr>
              <w:jc w:val="center"/>
            </w:pPr>
            <w:r/>
            <w:r>
              <w:rPr>
                <w:rFonts w:ascii="Calibri" w:hAnsi="Calibri"/>
                <w:sz w:val="18"/>
              </w:rPr>
              <w:t>88%</w:t>
            </w:r>
          </w:p>
        </w:tc>
      </w:tr>
      <w:tr>
        <w:tc>
          <w:tcPr>
            <w:tcW w:type="dxa" w:w="992"/>
            <w:vAlign w:val="center"/>
          </w:tcPr>
          <w:p>
            <w:pPr>
              <w:jc w:val="center"/>
            </w:pPr>
            <w:r/>
            <w:r>
              <w:rPr>
                <w:rFonts w:ascii="Calibri" w:hAnsi="Calibri"/>
                <w:sz w:val="18"/>
              </w:rPr>
              <w:t>29</w:t>
            </w:r>
          </w:p>
        </w:tc>
        <w:tc>
          <w:tcPr>
            <w:tcW w:type="dxa" w:w="992"/>
          </w:tcPr>
          <w:p>
            <w:pPr>
              <w:jc w:val="left"/>
            </w:pPr>
            <w:r/>
            <w:r>
              <w:rPr>
                <w:rFonts w:ascii="Calibri" w:hAnsi="Calibri"/>
                <w:sz w:val="18"/>
              </w:rPr>
              <w:t>Standar Keuangan, Sarana, Prasarana</w:t>
            </w:r>
          </w:p>
        </w:tc>
        <w:tc>
          <w:tcPr>
            <w:tcW w:type="dxa" w:w="992"/>
          </w:tcPr>
          <w:p>
            <w:pPr>
              <w:jc w:val="center"/>
            </w:pPr>
            <w:r/>
            <w:r>
              <w:rPr>
                <w:rFonts w:ascii="Calibri" w:hAnsi="Calibri"/>
                <w:sz w:val="18"/>
              </w:rPr>
              <w:t>KSP</w:t>
            </w:r>
          </w:p>
        </w:tc>
        <w:tc>
          <w:tcPr>
            <w:tcW w:type="dxa" w:w="992"/>
          </w:tcPr>
          <w:p>
            <w:pPr>
              <w:jc w:val="center"/>
            </w:pPr>
            <w:r/>
            <w:r>
              <w:rPr>
                <w:rFonts w:ascii="Calibri" w:hAnsi="Calibri"/>
                <w:b/>
                <w:color w:val="06B6D4"/>
                <w:sz w:val="18"/>
              </w:rPr>
              <w:t>95</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3</w:t>
            </w:r>
          </w:p>
        </w:tc>
        <w:tc>
          <w:tcPr>
            <w:tcW w:type="dxa" w:w="992"/>
          </w:tcPr>
          <w:p>
            <w:pPr>
              <w:jc w:val="center"/>
            </w:pPr>
            <w:r/>
            <w:r>
              <w:rPr>
                <w:rFonts w:ascii="Calibri" w:hAnsi="Calibri"/>
                <w:sz w:val="18"/>
              </w:rPr>
              <w:t>2</w:t>
            </w:r>
          </w:p>
        </w:tc>
        <w:tc>
          <w:tcPr>
            <w:tcW w:type="dxa" w:w="992"/>
          </w:tcPr>
          <w:p>
            <w:pPr>
              <w:jc w:val="center"/>
            </w:pPr>
            <w:r/>
            <w:r>
              <w:rPr>
                <w:rFonts w:ascii="Calibri" w:hAnsi="Calibri"/>
                <w:sz w:val="18"/>
              </w:rPr>
              <w:t>95%</w:t>
            </w:r>
          </w:p>
        </w:tc>
      </w:tr>
      <w:tr>
        <w:tc>
          <w:tcPr>
            <w:tcW w:type="dxa" w:w="992"/>
            <w:vAlign w:val="center"/>
          </w:tcPr>
          <w:p>
            <w:pPr>
              <w:jc w:val="center"/>
            </w:pPr>
            <w:r/>
            <w:r>
              <w:rPr>
                <w:rFonts w:ascii="Calibri" w:hAnsi="Calibri"/>
                <w:sz w:val="18"/>
              </w:rPr>
              <w:t>30</w:t>
            </w:r>
          </w:p>
        </w:tc>
        <w:tc>
          <w:tcPr>
            <w:tcW w:type="dxa" w:w="992"/>
          </w:tcPr>
          <w:p>
            <w:pPr>
              <w:jc w:val="left"/>
            </w:pPr>
            <w:r/>
            <w:r>
              <w:rPr>
                <w:rFonts w:ascii="Calibri" w:hAnsi="Calibri"/>
                <w:sz w:val="18"/>
              </w:rPr>
              <w:t>Standar Kerjasama</w:t>
            </w:r>
          </w:p>
        </w:tc>
        <w:tc>
          <w:tcPr>
            <w:tcW w:type="dxa" w:w="992"/>
          </w:tcPr>
          <w:p>
            <w:pPr>
              <w:jc w:val="center"/>
            </w:pPr>
            <w:r/>
            <w:r>
              <w:rPr>
                <w:rFonts w:ascii="Calibri" w:hAnsi="Calibri"/>
                <w:sz w:val="18"/>
              </w:rPr>
              <w:t>KJS</w:t>
            </w:r>
          </w:p>
        </w:tc>
        <w:tc>
          <w:tcPr>
            <w:tcW w:type="dxa" w:w="992"/>
          </w:tcPr>
          <w:p>
            <w:pPr>
              <w:jc w:val="center"/>
            </w:pPr>
            <w:r/>
            <w:r>
              <w:rPr>
                <w:rFonts w:ascii="Calibri" w:hAnsi="Calibri"/>
                <w:b/>
                <w:color w:val="109881"/>
                <w:sz w:val="18"/>
              </w:rPr>
              <w:t>80</w:t>
            </w:r>
          </w:p>
        </w:tc>
        <w:tc>
          <w:tcPr>
            <w:tcW w:type="dxa" w:w="992"/>
          </w:tcPr>
          <w:p>
            <w:pPr>
              <w:jc w:val="center"/>
            </w:pPr>
            <w:r/>
            <w:r>
              <w:rPr>
                <w:rFonts w:ascii="Calibri" w:hAnsi="Calibri"/>
                <w:b/>
                <w:color w:val="F59E0B"/>
                <w:sz w:val="18"/>
              </w:rPr>
              <w:t>BS</w:t>
            </w:r>
          </w:p>
        </w:tc>
        <w:tc>
          <w:tcPr>
            <w:tcW w:type="dxa" w:w="992"/>
          </w:tcPr>
          <w:p>
            <w:pPr>
              <w:jc w:val="center"/>
            </w:pPr>
            <w:r/>
            <w:r>
              <w:rPr>
                <w:rFonts w:ascii="Calibri" w:hAnsi="Calibri"/>
                <w:sz w:val="18"/>
              </w:rPr>
              <w:t>8</w:t>
            </w:r>
          </w:p>
        </w:tc>
        <w:tc>
          <w:tcPr>
            <w:tcW w:type="dxa" w:w="992"/>
          </w:tcPr>
          <w:p>
            <w:pPr>
              <w:jc w:val="center"/>
            </w:pPr>
            <w:r/>
            <w:r>
              <w:rPr>
                <w:rFonts w:ascii="Calibri" w:hAnsi="Calibri"/>
                <w:sz w:val="18"/>
              </w:rPr>
              <w:t>5</w:t>
            </w:r>
          </w:p>
        </w:tc>
        <w:tc>
          <w:tcPr>
            <w:tcW w:type="dxa" w:w="992"/>
          </w:tcPr>
          <w:p>
            <w:pPr>
              <w:jc w:val="center"/>
            </w:pPr>
            <w:r/>
            <w:r>
              <w:rPr>
                <w:rFonts w:ascii="Calibri" w:hAnsi="Calibri"/>
                <w:sz w:val="18"/>
              </w:rPr>
              <w:t>80%</w:t>
            </w:r>
          </w:p>
        </w:tc>
      </w:tr>
      <w:tr>
        <w:tc>
          <w:tcPr>
            <w:tcW w:type="dxa" w:w="992"/>
            <w:vAlign w:val="center"/>
          </w:tcPr>
          <w:p>
            <w:pPr>
              <w:jc w:val="center"/>
            </w:pPr>
            <w:r/>
            <w:r>
              <w:rPr>
                <w:rFonts w:ascii="Calibri" w:hAnsi="Calibri"/>
                <w:sz w:val="18"/>
              </w:rPr>
              <w:t>31</w:t>
            </w:r>
          </w:p>
        </w:tc>
        <w:tc>
          <w:tcPr>
            <w:tcW w:type="dxa" w:w="992"/>
          </w:tcPr>
          <w:p>
            <w:pPr>
              <w:jc w:val="left"/>
            </w:pPr>
            <w:r/>
            <w:r>
              <w:rPr>
                <w:rFonts w:ascii="Calibri" w:hAnsi="Calibri"/>
                <w:sz w:val="18"/>
              </w:rPr>
              <w:t>Standar MBKM</w:t>
            </w:r>
          </w:p>
        </w:tc>
        <w:tc>
          <w:tcPr>
            <w:tcW w:type="dxa" w:w="992"/>
          </w:tcPr>
          <w:p>
            <w:pPr>
              <w:jc w:val="center"/>
            </w:pPr>
            <w:r/>
            <w:r>
              <w:rPr>
                <w:rFonts w:ascii="Calibri" w:hAnsi="Calibri"/>
                <w:sz w:val="18"/>
              </w:rPr>
              <w:t>MBKM</w:t>
            </w:r>
          </w:p>
        </w:tc>
        <w:tc>
          <w:tcPr>
            <w:tcW w:type="dxa" w:w="992"/>
          </w:tcPr>
          <w:p>
            <w:pPr>
              <w:jc w:val="center"/>
            </w:pPr>
            <w:r/>
            <w:r>
              <w:rPr>
                <w:rFonts w:ascii="Calibri" w:hAnsi="Calibri"/>
                <w:b/>
                <w:color w:val="06B6D4"/>
                <w:sz w:val="18"/>
              </w:rPr>
              <w:t>96</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2</w:t>
            </w:r>
          </w:p>
        </w:tc>
        <w:tc>
          <w:tcPr>
            <w:tcW w:type="dxa" w:w="992"/>
          </w:tcPr>
          <w:p>
            <w:pPr>
              <w:jc w:val="center"/>
            </w:pPr>
            <w:r/>
            <w:r>
              <w:rPr>
                <w:rFonts w:ascii="Calibri" w:hAnsi="Calibri"/>
                <w:sz w:val="18"/>
              </w:rPr>
              <w:t>1</w:t>
            </w:r>
          </w:p>
        </w:tc>
        <w:tc>
          <w:tcPr>
            <w:tcW w:type="dxa" w:w="992"/>
          </w:tcPr>
          <w:p>
            <w:pPr>
              <w:jc w:val="center"/>
            </w:pPr>
            <w:r/>
            <w:r>
              <w:rPr>
                <w:rFonts w:ascii="Calibri" w:hAnsi="Calibri"/>
                <w:sz w:val="18"/>
              </w:rPr>
              <w:t>96%</w:t>
            </w:r>
          </w:p>
        </w:tc>
      </w:tr>
      <w:tr>
        <w:tc>
          <w:tcPr>
            <w:tcW w:type="dxa" w:w="992"/>
            <w:vAlign w:val="center"/>
          </w:tcPr>
          <w:p>
            <w:pPr>
              <w:jc w:val="center"/>
            </w:pPr>
            <w:r/>
            <w:r>
              <w:rPr>
                <w:rFonts w:ascii="Calibri" w:hAnsi="Calibri"/>
                <w:sz w:val="18"/>
              </w:rPr>
              <w:t>32</w:t>
            </w:r>
          </w:p>
        </w:tc>
        <w:tc>
          <w:tcPr>
            <w:tcW w:type="dxa" w:w="992"/>
          </w:tcPr>
          <w:p>
            <w:pPr>
              <w:jc w:val="left"/>
            </w:pPr>
            <w:r/>
            <w:r>
              <w:rPr>
                <w:rFonts w:ascii="Calibri" w:hAnsi="Calibri"/>
                <w:sz w:val="18"/>
              </w:rPr>
              <w:t>Standar Luaran &amp; Capaian Tridharma</w:t>
            </w:r>
          </w:p>
        </w:tc>
        <w:tc>
          <w:tcPr>
            <w:tcW w:type="dxa" w:w="992"/>
          </w:tcPr>
          <w:p>
            <w:pPr>
              <w:jc w:val="center"/>
            </w:pPr>
            <w:r/>
            <w:r>
              <w:rPr>
                <w:rFonts w:ascii="Calibri" w:hAnsi="Calibri"/>
                <w:sz w:val="18"/>
              </w:rPr>
              <w:t>LCT</w:t>
            </w:r>
          </w:p>
        </w:tc>
        <w:tc>
          <w:tcPr>
            <w:tcW w:type="dxa" w:w="992"/>
          </w:tcPr>
          <w:p>
            <w:pPr>
              <w:jc w:val="center"/>
            </w:pPr>
            <w:r/>
            <w:r>
              <w:rPr>
                <w:rFonts w:ascii="Calibri" w:hAnsi="Calibri"/>
                <w:b/>
                <w:color w:val="109881"/>
                <w:sz w:val="18"/>
              </w:rPr>
              <w:t>88</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4</w:t>
            </w:r>
          </w:p>
        </w:tc>
        <w:tc>
          <w:tcPr>
            <w:tcW w:type="dxa" w:w="992"/>
          </w:tcPr>
          <w:p>
            <w:pPr>
              <w:jc w:val="center"/>
            </w:pPr>
            <w:r/>
            <w:r>
              <w:rPr>
                <w:rFonts w:ascii="Calibri" w:hAnsi="Calibri"/>
                <w:sz w:val="18"/>
              </w:rPr>
              <w:t>3</w:t>
            </w:r>
          </w:p>
        </w:tc>
        <w:tc>
          <w:tcPr>
            <w:tcW w:type="dxa" w:w="992"/>
          </w:tcPr>
          <w:p>
            <w:pPr>
              <w:jc w:val="center"/>
            </w:pPr>
            <w:r/>
            <w:r>
              <w:rPr>
                <w:rFonts w:ascii="Calibri" w:hAnsi="Calibri"/>
                <w:sz w:val="18"/>
              </w:rPr>
              <w:t>88%</w:t>
            </w:r>
          </w:p>
        </w:tc>
      </w:tr>
      <w:tr>
        <w:tc>
          <w:tcPr>
            <w:tcW w:type="dxa" w:w="992"/>
            <w:vAlign w:val="center"/>
          </w:tcPr>
          <w:p>
            <w:pPr>
              <w:jc w:val="center"/>
            </w:pPr>
            <w:r/>
            <w:r>
              <w:rPr>
                <w:rFonts w:ascii="Calibri" w:hAnsi="Calibri"/>
                <w:sz w:val="18"/>
              </w:rPr>
              <w:t>33</w:t>
            </w:r>
          </w:p>
        </w:tc>
        <w:tc>
          <w:tcPr>
            <w:tcW w:type="dxa" w:w="992"/>
          </w:tcPr>
          <w:p>
            <w:pPr>
              <w:jc w:val="left"/>
            </w:pPr>
            <w:r/>
            <w:r>
              <w:rPr>
                <w:rFonts w:ascii="Calibri" w:hAnsi="Calibri"/>
                <w:sz w:val="18"/>
              </w:rPr>
              <w:t>Standar Pelayanan Kepada Mahasiswa</w:t>
            </w:r>
          </w:p>
        </w:tc>
        <w:tc>
          <w:tcPr>
            <w:tcW w:type="dxa" w:w="992"/>
          </w:tcPr>
          <w:p>
            <w:pPr>
              <w:jc w:val="center"/>
            </w:pPr>
            <w:r/>
            <w:r>
              <w:rPr>
                <w:rFonts w:ascii="Calibri" w:hAnsi="Calibri"/>
                <w:sz w:val="18"/>
              </w:rPr>
              <w:t>PKM-MHS</w:t>
            </w:r>
          </w:p>
        </w:tc>
        <w:tc>
          <w:tcPr>
            <w:tcW w:type="dxa" w:w="992"/>
          </w:tcPr>
          <w:p>
            <w:pPr>
              <w:jc w:val="center"/>
            </w:pPr>
            <w:r/>
            <w:r>
              <w:rPr>
                <w:rFonts w:ascii="Calibri" w:hAnsi="Calibri"/>
                <w:b/>
                <w:color w:val="109881"/>
                <w:sz w:val="18"/>
              </w:rPr>
              <w:t>88</w:t>
            </w:r>
          </w:p>
        </w:tc>
        <w:tc>
          <w:tcPr>
            <w:tcW w:type="dxa" w:w="992"/>
          </w:tcPr>
          <w:p>
            <w:pPr>
              <w:jc w:val="center"/>
            </w:pPr>
            <w:r/>
            <w:r>
              <w:rPr>
                <w:rFonts w:ascii="Calibri" w:hAnsi="Calibri"/>
                <w:b/>
                <w:color w:val="109881"/>
                <w:sz w:val="18"/>
              </w:rPr>
              <w:t>MS</w:t>
            </w:r>
          </w:p>
        </w:tc>
        <w:tc>
          <w:tcPr>
            <w:tcW w:type="dxa" w:w="992"/>
          </w:tcPr>
          <w:p>
            <w:pPr>
              <w:jc w:val="center"/>
            </w:pPr>
            <w:r/>
            <w:r>
              <w:rPr>
                <w:rFonts w:ascii="Calibri" w:hAnsi="Calibri"/>
                <w:sz w:val="18"/>
              </w:rPr>
              <w:t>5</w:t>
            </w:r>
          </w:p>
        </w:tc>
        <w:tc>
          <w:tcPr>
            <w:tcW w:type="dxa" w:w="992"/>
          </w:tcPr>
          <w:p>
            <w:pPr>
              <w:jc w:val="center"/>
            </w:pPr>
            <w:r/>
            <w:r>
              <w:rPr>
                <w:rFonts w:ascii="Calibri" w:hAnsi="Calibri"/>
                <w:sz w:val="18"/>
              </w:rPr>
              <w:t>3</w:t>
            </w:r>
          </w:p>
        </w:tc>
        <w:tc>
          <w:tcPr>
            <w:tcW w:type="dxa" w:w="992"/>
          </w:tcPr>
          <w:p>
            <w:pPr>
              <w:jc w:val="center"/>
            </w:pPr>
            <w:r/>
            <w:r>
              <w:rPr>
                <w:rFonts w:ascii="Calibri" w:hAnsi="Calibri"/>
                <w:sz w:val="18"/>
              </w:rPr>
              <w:t>88%</w:t>
            </w:r>
          </w:p>
        </w:tc>
      </w:tr>
    </w:tbl>
    <w:p/>
    <w:p>
      <w:pPr>
        <w:spacing w:after="120" w:line="312" w:lineRule="auto"/>
        <w:jc w:val="both"/>
      </w:pPr>
      <w:r>
        <w:rPr>
          <w:rFonts w:ascii="Calibri" w:hAnsi="Calibri"/>
          <w:b/>
          <w:color w:val="1F2937"/>
          <w:sz w:val="22"/>
        </w:rPr>
        <w:t>Catatan Hasil Assessment:</w:t>
      </w:r>
    </w:p>
    <w:p>
      <w:pPr>
        <w:spacing w:after="80" w:line="312" w:lineRule="auto"/>
        <w:ind w:left="283"/>
        <w:jc w:val="both"/>
      </w:pPr>
      <w:r>
        <w:rPr>
          <w:rFonts w:ascii="Calibri" w:hAnsi="Calibri"/>
          <w:b/>
          <w:color w:val="1A3A6E"/>
          <w:sz w:val="20"/>
        </w:rPr>
        <w:t xml:space="preserve">25. Standar VMTS (VMTS): </w:t>
      </w:r>
      <w:r>
        <w:rPr>
          <w:rFonts w:ascii="Calibri" w:hAnsi="Calibri"/>
          <w:sz w:val="20"/>
        </w:rPr>
        <w:t>Skor 89 (Mencapai Standar). Rata-rata keseluruhan 3,54 (Likert 1-4, Sangat Baik). Dosen 3,54, Tendik 3,48. Sosialisasi VMTS berjalan. Pemahaman civitas akademika baik. Perlu peningkatan metode sosialisasi (skor 3,38).</w:t>
      </w:r>
    </w:p>
    <w:p>
      <w:pPr>
        <w:spacing w:after="80" w:line="312" w:lineRule="auto"/>
        <w:ind w:left="283"/>
        <w:jc w:val="both"/>
      </w:pPr>
      <w:r>
        <w:rPr>
          <w:rFonts w:ascii="Calibri" w:hAnsi="Calibri"/>
          <w:b/>
          <w:color w:val="1A3A6E"/>
          <w:sz w:val="20"/>
        </w:rPr>
        <w:t xml:space="preserve">26. Standar Tata Pamong &amp; Tata Kelola (TPTK): </w:t>
      </w:r>
      <w:r>
        <w:rPr>
          <w:rFonts w:ascii="Calibri" w:hAnsi="Calibri"/>
          <w:sz w:val="20"/>
        </w:rPr>
        <w:t>Skor 90 (Mencapai Standar). Rata-rata keseluruhan 3,59 (Likert 1-4, Sangat Baik). SD 0,58. Tata pamong berjalan baik. Koordinasi antar-unit 3,50. Pelayanan administrasi akademik 3,45 (terendah). Evaluasi ditindaklanjuti 3,52.</w:t>
      </w:r>
    </w:p>
    <w:p>
      <w:pPr>
        <w:spacing w:after="80" w:line="312" w:lineRule="auto"/>
        <w:ind w:left="283"/>
        <w:jc w:val="both"/>
      </w:pPr>
      <w:r>
        <w:rPr>
          <w:rFonts w:ascii="Calibri" w:hAnsi="Calibri"/>
          <w:b/>
          <w:color w:val="1A3A6E"/>
          <w:sz w:val="20"/>
        </w:rPr>
        <w:t xml:space="preserve">27. Standar Mahasiswa (MHS): </w:t>
      </w:r>
      <w:r>
        <w:rPr>
          <w:rFonts w:ascii="Calibri" w:hAnsi="Calibri"/>
          <w:sz w:val="20"/>
        </w:rPr>
        <w:t>Skor 93 (Mencapai Standar). AEE PT 92,50% (≥90%). Lulusan bekerja/wirausaha 84,30% (≥80%). Mahasiswa berkegiatan MBKM 68,40% (≥60%). Program integritas akademik 95,00%. Capaian kompetensi lulusan 91,80%. Semua Tercapai.</w:t>
      </w:r>
    </w:p>
    <w:p>
      <w:pPr>
        <w:spacing w:after="80" w:line="312" w:lineRule="auto"/>
        <w:ind w:left="283"/>
        <w:jc w:val="both"/>
      </w:pPr>
      <w:r>
        <w:rPr>
          <w:rFonts w:ascii="Calibri" w:hAnsi="Calibri"/>
          <w:b/>
          <w:color w:val="1A3A6E"/>
          <w:sz w:val="20"/>
        </w:rPr>
        <w:t xml:space="preserve">28. Standar Sumber Daya Manusia (SDM): </w:t>
      </w:r>
      <w:r>
        <w:rPr>
          <w:rFonts w:ascii="Calibri" w:hAnsi="Calibri"/>
          <w:sz w:val="20"/>
        </w:rPr>
        <w:t>Skor 89 (Mencapai Standar). Total SDM 93 orang. Sertifikasi pendidik 94,60% (BELUM TERCAPAI, target 100%). Dosen Lektor+ 78,40%. Tendik S2 96,40% (BELUM TERCAPAI). Realisasi anggaran SDM 88,70%. 16/18 indikator Tercapai, 2 Belum Tercapai. AMI Kesejahteraan: rata-rata 96,32% (Sangat Baik).</w:t>
      </w:r>
    </w:p>
    <w:p>
      <w:pPr>
        <w:spacing w:after="80" w:line="312" w:lineRule="auto"/>
        <w:ind w:left="283"/>
        <w:jc w:val="both"/>
      </w:pPr>
      <w:r>
        <w:rPr>
          <w:rFonts w:ascii="Calibri" w:hAnsi="Calibri"/>
          <w:b/>
          <w:color w:val="1A3A6E"/>
          <w:sz w:val="20"/>
        </w:rPr>
        <w:t xml:space="preserve">29. Standar Keuangan, Sarana, Prasarana (KSP): </w:t>
      </w:r>
      <w:r>
        <w:rPr>
          <w:rFonts w:ascii="Calibri" w:hAnsi="Calibri"/>
          <w:sz w:val="20"/>
        </w:rPr>
        <w:t>Skor 95 (Mencapai Standar). Keuangan: realisasi pendapatan 95,20%, belanja operasional 94,80%, kemahasiswaan 95,60%, penelitian 96,10%. Sarana: 95,20% baik (dari 83%). Prasarana: 95,80% baik (dari 84%). Target pendapatan Rp28.400 juta. Semua Tercapai.</w:t>
      </w:r>
    </w:p>
    <w:p>
      <w:pPr>
        <w:spacing w:after="80" w:line="312" w:lineRule="auto"/>
        <w:ind w:left="283"/>
        <w:jc w:val="both"/>
      </w:pPr>
      <w:r>
        <w:rPr>
          <w:rFonts w:ascii="Calibri" w:hAnsi="Calibri"/>
          <w:b/>
          <w:color w:val="1A3A6E"/>
          <w:sz w:val="20"/>
        </w:rPr>
        <w:t xml:space="preserve">30. Standar Kerjasama (KJS): </w:t>
      </w:r>
      <w:r>
        <w:rPr>
          <w:rFonts w:ascii="Calibri" w:hAnsi="Calibri"/>
          <w:sz w:val="20"/>
        </w:rPr>
        <w:t>Skor 80 (Belum mencapai Standar). Tidak ada AMI khusus Kerjasama. Data dari AMI MBKM: kerjasama mitra 92,40%. MoU/MoA aktif namun implementasi perlu peningkatan. Perlu AMI khusus untuk Kerjasama.</w:t>
      </w:r>
    </w:p>
    <w:p>
      <w:pPr>
        <w:spacing w:after="80" w:line="312" w:lineRule="auto"/>
        <w:ind w:left="283"/>
        <w:jc w:val="both"/>
      </w:pPr>
      <w:r>
        <w:rPr>
          <w:rFonts w:ascii="Calibri" w:hAnsi="Calibri"/>
          <w:b/>
          <w:color w:val="1A3A6E"/>
          <w:sz w:val="20"/>
        </w:rPr>
        <w:t xml:space="preserve">31. Standar MBKM (MBKM): </w:t>
      </w:r>
      <w:r>
        <w:rPr>
          <w:rFonts w:ascii="Calibri" w:hAnsi="Calibri"/>
          <w:sz w:val="20"/>
        </w:rPr>
        <w:t>Skor 96 (Mencapai Standar). Dokumen Standar MBKM 100. Buku Panduan MBKM 100. Pemetaan Mitra 94,20. Kerjasama mitra 92,40. Rata-rata capaian 95,50 (Sangat Baik). Rekognisi &amp; konversi nilai 96,90. SKPI 95,40. Semua indikator Sangat Baik.</w:t>
      </w:r>
    </w:p>
    <w:p>
      <w:pPr>
        <w:spacing w:after="80" w:line="312" w:lineRule="auto"/>
        <w:ind w:left="283"/>
        <w:jc w:val="both"/>
      </w:pPr>
      <w:r>
        <w:rPr>
          <w:rFonts w:ascii="Calibri" w:hAnsi="Calibri"/>
          <w:b/>
          <w:color w:val="1A3A6E"/>
          <w:sz w:val="20"/>
        </w:rPr>
        <w:t xml:space="preserve">32. Standar Luaran &amp; Capaian Tridharma (LCT): </w:t>
      </w:r>
      <w:r>
        <w:rPr>
          <w:rFonts w:ascii="Calibri" w:hAnsi="Calibri"/>
          <w:sz w:val="20"/>
        </w:rPr>
        <w:t>Skor 88 (Mencapai Standar). Lulusan terserap 86,50%. IPK 3,48. Publikasi penelitian 95,60%. Publikasi PkM 94,50%. HKI penelitian 93,40%. HKI/TTG PkM 93,80%. Berdasarkan AMI Pendidikan, Penelitian, dan PkM.</w:t>
      </w:r>
    </w:p>
    <w:p>
      <w:pPr>
        <w:spacing w:after="80" w:line="312" w:lineRule="auto"/>
        <w:ind w:left="283"/>
        <w:jc w:val="both"/>
      </w:pPr>
      <w:r>
        <w:rPr>
          <w:rFonts w:ascii="Calibri" w:hAnsi="Calibri"/>
          <w:b/>
          <w:color w:val="1A3A6E"/>
          <w:sz w:val="20"/>
        </w:rPr>
        <w:t xml:space="preserve">33. Standar Pelayanan Kepada Mahasiswa (PKM-MHS): </w:t>
      </w:r>
      <w:r>
        <w:rPr>
          <w:rFonts w:ascii="Calibri" w:hAnsi="Calibri"/>
          <w:sz w:val="20"/>
        </w:rPr>
        <w:t>Skor 88 (Mencapai Standar). Ganjil 3,48 → Genap 3,58 (Likert 1-4, Sangat Baik). 17/20 indikator Sangat Baik (Genap). Tren: 3,42 (2023-1) → 3,48 (2024-1) → 3,58 (2024-2). Info akademik SIAKAD 3,70. Prioritas perbaikan: beasiswa, pendampingan magang.</w:t>
      </w:r>
    </w:p>
    <w:p/>
    <w:p>
      <w:r>
        <w:br w:type="page"/>
      </w:r>
    </w:p>
    <w:p>
      <w:pPr>
        <w:keepNext/>
        <w:spacing w:before="360" w:after="160"/>
        <w:jc w:val="center"/>
      </w:pPr>
      <w:r>
        <w:rPr>
          <w:rFonts w:ascii="Calibri" w:hAnsi="Calibri"/>
          <w:b/>
          <w:color w:val="1A3A6E"/>
          <w:sz w:val="40"/>
        </w:rPr>
        <w:t>BAB IV</w:t>
        <w:br/>
        <w:t>REKAPITULASI 15 DOKUMEN AMI</w:t>
      </w:r>
    </w:p>
    <w:p>
      <w:pPr>
        <w:spacing w:after="120" w:line="312" w:lineRule="auto"/>
        <w:ind w:firstLine="567"/>
        <w:jc w:val="both"/>
      </w:pPr>
      <w:r>
        <w:rPr>
          <w:rFonts w:ascii="Calibri" w:hAnsi="Calibri"/>
          <w:b w:val="0"/>
          <w:color w:val="1F2937"/>
          <w:sz w:val="22"/>
        </w:rPr>
        <w:t>Assessment AMI TA 2024/2025 dilaksanakan melalui 15 dokumen AMI yang mencakup seluruh aspek Tridharma Perguruan Tinggi dan standar tambahan. Berikut rekapitulasi 15 dokumen AMI tersebut:</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shd w:fill="1A3A6E"/>
            <w:vAlign w:val="center"/>
          </w:tcPr>
          <w:p>
            <w:pPr>
              <w:jc w:val="center"/>
            </w:pPr>
            <w:r/>
            <w:r>
              <w:rPr>
                <w:rFonts w:ascii="Calibri" w:hAnsi="Calibri"/>
                <w:b/>
                <w:color w:val="FFFFFF"/>
                <w:sz w:val="20"/>
              </w:rPr>
              <w:t>No</w:t>
            </w:r>
          </w:p>
        </w:tc>
        <w:tc>
          <w:tcPr>
            <w:tcW w:type="dxa" w:w="1587"/>
            <w:shd w:fill="1A3A6E"/>
            <w:vAlign w:val="center"/>
          </w:tcPr>
          <w:p>
            <w:pPr>
              <w:jc w:val="center"/>
            </w:pPr>
            <w:r/>
            <w:r>
              <w:rPr>
                <w:rFonts w:ascii="Calibri" w:hAnsi="Calibri"/>
                <w:b/>
                <w:color w:val="FFFFFF"/>
                <w:sz w:val="20"/>
              </w:rPr>
              <w:t>Nama Dokumen AMI</w:t>
            </w:r>
          </w:p>
        </w:tc>
        <w:tc>
          <w:tcPr>
            <w:tcW w:type="dxa" w:w="1587"/>
            <w:shd w:fill="1A3A6E"/>
            <w:vAlign w:val="center"/>
          </w:tcPr>
          <w:p>
            <w:pPr>
              <w:jc w:val="center"/>
            </w:pPr>
            <w:r/>
            <w:r>
              <w:rPr>
                <w:rFonts w:ascii="Calibri" w:hAnsi="Calibri"/>
                <w:b/>
                <w:color w:val="FFFFFF"/>
                <w:sz w:val="20"/>
              </w:rPr>
              <w:t>Kode Dokumen</w:t>
            </w:r>
          </w:p>
        </w:tc>
        <w:tc>
          <w:tcPr>
            <w:tcW w:type="dxa" w:w="1587"/>
            <w:shd w:fill="1A3A6E"/>
            <w:vAlign w:val="center"/>
          </w:tcPr>
          <w:p>
            <w:pPr>
              <w:jc w:val="center"/>
            </w:pPr>
            <w:r/>
            <w:r>
              <w:rPr>
                <w:rFonts w:ascii="Calibri" w:hAnsi="Calibri"/>
                <w:b/>
                <w:color w:val="FFFFFF"/>
                <w:sz w:val="20"/>
              </w:rPr>
              <w:t>Tanggal Audit</w:t>
            </w:r>
          </w:p>
        </w:tc>
        <w:tc>
          <w:tcPr>
            <w:tcW w:type="dxa" w:w="1587"/>
            <w:shd w:fill="1A3A6E"/>
            <w:vAlign w:val="center"/>
          </w:tcPr>
          <w:p>
            <w:pPr>
              <w:jc w:val="center"/>
            </w:pPr>
            <w:r/>
            <w:r>
              <w:rPr>
                <w:rFonts w:ascii="Calibri" w:hAnsi="Calibri"/>
                <w:b/>
                <w:color w:val="FFFFFF"/>
                <w:sz w:val="20"/>
              </w:rPr>
              <w:t>Kategori</w:t>
            </w:r>
          </w:p>
        </w:tc>
      </w:tr>
      <w:tr>
        <w:tc>
          <w:tcPr>
            <w:tcW w:type="dxa" w:w="1587"/>
            <w:vAlign w:val="center"/>
          </w:tcPr>
          <w:p>
            <w:r/>
            <w:r>
              <w:rPr>
                <w:rFonts w:ascii="Calibri" w:hAnsi="Calibri"/>
                <w:b w:val="0"/>
                <w:sz w:val="19"/>
              </w:rPr>
              <w:t>1</w:t>
            </w:r>
          </w:p>
        </w:tc>
        <w:tc>
          <w:tcPr>
            <w:tcW w:type="dxa" w:w="1587"/>
            <w:vAlign w:val="center"/>
          </w:tcPr>
          <w:p>
            <w:r/>
            <w:r>
              <w:rPr>
                <w:rFonts w:ascii="Calibri" w:hAnsi="Calibri"/>
                <w:b w:val="0"/>
                <w:sz w:val="19"/>
              </w:rPr>
              <w:t>AMI Pendidikan 2024-2025</w:t>
            </w:r>
          </w:p>
        </w:tc>
        <w:tc>
          <w:tcPr>
            <w:tcW w:type="dxa" w:w="1587"/>
            <w:vAlign w:val="center"/>
          </w:tcPr>
          <w:p>
            <w:r/>
            <w:r>
              <w:rPr>
                <w:rFonts w:ascii="Calibri" w:hAnsi="Calibri"/>
                <w:b w:val="0"/>
                <w:sz w:val="19"/>
              </w:rPr>
              <w:t>SPMI/PPM/MONEV/PEND/2025</w:t>
            </w:r>
          </w:p>
        </w:tc>
        <w:tc>
          <w:tcPr>
            <w:tcW w:type="dxa" w:w="1587"/>
            <w:vAlign w:val="center"/>
          </w:tcPr>
          <w:p>
            <w:r/>
            <w:r>
              <w:rPr>
                <w:rFonts w:ascii="Calibri" w:hAnsi="Calibri"/>
                <w:b w:val="0"/>
                <w:sz w:val="19"/>
              </w:rPr>
              <w:t>TA 2024-2025</w:t>
            </w:r>
          </w:p>
        </w:tc>
        <w:tc>
          <w:tcPr>
            <w:tcW w:type="dxa" w:w="1587"/>
            <w:vAlign w:val="center"/>
          </w:tcPr>
          <w:p>
            <w:r/>
            <w:r>
              <w:rPr>
                <w:rFonts w:ascii="Calibri" w:hAnsi="Calibri"/>
                <w:b w:val="0"/>
                <w:sz w:val="19"/>
              </w:rPr>
              <w:t>Pendidikan</w:t>
            </w:r>
          </w:p>
        </w:tc>
      </w:tr>
      <w:tr>
        <w:tc>
          <w:tcPr>
            <w:tcW w:type="dxa" w:w="1587"/>
            <w:vAlign w:val="center"/>
          </w:tcPr>
          <w:p>
            <w:r/>
            <w:r>
              <w:rPr>
                <w:rFonts w:ascii="Calibri" w:hAnsi="Calibri"/>
                <w:b w:val="0"/>
                <w:sz w:val="19"/>
              </w:rPr>
              <w:t>2</w:t>
            </w:r>
          </w:p>
        </w:tc>
        <w:tc>
          <w:tcPr>
            <w:tcW w:type="dxa" w:w="1587"/>
            <w:vAlign w:val="center"/>
          </w:tcPr>
          <w:p>
            <w:r/>
            <w:r>
              <w:rPr>
                <w:rFonts w:ascii="Calibri" w:hAnsi="Calibri"/>
                <w:b w:val="0"/>
                <w:sz w:val="19"/>
              </w:rPr>
              <w:t>AMI Proses Pembelajaran Ganjil 2024-2025</w:t>
            </w:r>
          </w:p>
        </w:tc>
        <w:tc>
          <w:tcPr>
            <w:tcW w:type="dxa" w:w="1587"/>
            <w:vAlign w:val="center"/>
          </w:tcPr>
          <w:p>
            <w:r/>
            <w:r>
              <w:rPr>
                <w:rFonts w:ascii="Calibri" w:hAnsi="Calibri"/>
                <w:b w:val="0"/>
                <w:sz w:val="19"/>
              </w:rPr>
              <w:t>SPMI/PPM/MONEV/SPB-G/2025</w:t>
            </w:r>
          </w:p>
        </w:tc>
        <w:tc>
          <w:tcPr>
            <w:tcW w:type="dxa" w:w="1587"/>
            <w:vAlign w:val="center"/>
          </w:tcPr>
          <w:p>
            <w:r/>
            <w:r>
              <w:rPr>
                <w:rFonts w:ascii="Calibri" w:hAnsi="Calibri"/>
                <w:b w:val="0"/>
                <w:sz w:val="19"/>
              </w:rPr>
              <w:t>Ganjil 2024</w:t>
            </w:r>
          </w:p>
        </w:tc>
        <w:tc>
          <w:tcPr>
            <w:tcW w:type="dxa" w:w="1587"/>
            <w:vAlign w:val="center"/>
          </w:tcPr>
          <w:p>
            <w:r/>
            <w:r>
              <w:rPr>
                <w:rFonts w:ascii="Calibri" w:hAnsi="Calibri"/>
                <w:b w:val="0"/>
                <w:sz w:val="19"/>
              </w:rPr>
              <w:t>Pendidikan</w:t>
            </w:r>
          </w:p>
        </w:tc>
      </w:tr>
      <w:tr>
        <w:tc>
          <w:tcPr>
            <w:tcW w:type="dxa" w:w="1587"/>
            <w:vAlign w:val="center"/>
          </w:tcPr>
          <w:p>
            <w:r/>
            <w:r>
              <w:rPr>
                <w:rFonts w:ascii="Calibri" w:hAnsi="Calibri"/>
                <w:b w:val="0"/>
                <w:sz w:val="19"/>
              </w:rPr>
              <w:t>3</w:t>
            </w:r>
          </w:p>
        </w:tc>
        <w:tc>
          <w:tcPr>
            <w:tcW w:type="dxa" w:w="1587"/>
            <w:vAlign w:val="center"/>
          </w:tcPr>
          <w:p>
            <w:r/>
            <w:r>
              <w:rPr>
                <w:rFonts w:ascii="Calibri" w:hAnsi="Calibri"/>
                <w:b w:val="0"/>
                <w:sz w:val="19"/>
              </w:rPr>
              <w:t>AMI Proses Pembelajaran Genap 2024-2025</w:t>
            </w:r>
          </w:p>
        </w:tc>
        <w:tc>
          <w:tcPr>
            <w:tcW w:type="dxa" w:w="1587"/>
            <w:vAlign w:val="center"/>
          </w:tcPr>
          <w:p>
            <w:r/>
            <w:r>
              <w:rPr>
                <w:rFonts w:ascii="Calibri" w:hAnsi="Calibri"/>
                <w:b w:val="0"/>
                <w:sz w:val="19"/>
              </w:rPr>
              <w:t>SPMI/PPM/MONEV/SPB-GN/2025</w:t>
            </w:r>
          </w:p>
        </w:tc>
        <w:tc>
          <w:tcPr>
            <w:tcW w:type="dxa" w:w="1587"/>
            <w:vAlign w:val="center"/>
          </w:tcPr>
          <w:p>
            <w:r/>
            <w:r>
              <w:rPr>
                <w:rFonts w:ascii="Calibri" w:hAnsi="Calibri"/>
                <w:b w:val="0"/>
                <w:sz w:val="19"/>
              </w:rPr>
              <w:t>Genap 2025</w:t>
            </w:r>
          </w:p>
        </w:tc>
        <w:tc>
          <w:tcPr>
            <w:tcW w:type="dxa" w:w="1587"/>
            <w:vAlign w:val="center"/>
          </w:tcPr>
          <w:p>
            <w:r/>
            <w:r>
              <w:rPr>
                <w:rFonts w:ascii="Calibri" w:hAnsi="Calibri"/>
                <w:b w:val="0"/>
                <w:sz w:val="19"/>
              </w:rPr>
              <w:t>Pendidikan</w:t>
            </w:r>
          </w:p>
        </w:tc>
      </w:tr>
      <w:tr>
        <w:tc>
          <w:tcPr>
            <w:tcW w:type="dxa" w:w="1587"/>
            <w:vAlign w:val="center"/>
          </w:tcPr>
          <w:p>
            <w:r/>
            <w:r>
              <w:rPr>
                <w:rFonts w:ascii="Calibri" w:hAnsi="Calibri"/>
                <w:b w:val="0"/>
                <w:sz w:val="19"/>
              </w:rPr>
              <w:t>4</w:t>
            </w:r>
          </w:p>
        </w:tc>
        <w:tc>
          <w:tcPr>
            <w:tcW w:type="dxa" w:w="1587"/>
            <w:vAlign w:val="center"/>
          </w:tcPr>
          <w:p>
            <w:r/>
            <w:r>
              <w:rPr>
                <w:rFonts w:ascii="Calibri" w:hAnsi="Calibri"/>
                <w:b w:val="0"/>
                <w:sz w:val="19"/>
              </w:rPr>
              <w:t>AMI SDM 2024-2025</w:t>
            </w:r>
          </w:p>
        </w:tc>
        <w:tc>
          <w:tcPr>
            <w:tcW w:type="dxa" w:w="1587"/>
            <w:vAlign w:val="center"/>
          </w:tcPr>
          <w:p>
            <w:r/>
            <w:r>
              <w:rPr>
                <w:rFonts w:ascii="Calibri" w:hAnsi="Calibri"/>
                <w:b w:val="0"/>
                <w:sz w:val="19"/>
              </w:rPr>
              <w:t>SPMI/PPM/MONEV/SDM/2025</w:t>
            </w:r>
          </w:p>
        </w:tc>
        <w:tc>
          <w:tcPr>
            <w:tcW w:type="dxa" w:w="1587"/>
            <w:vAlign w:val="center"/>
          </w:tcPr>
          <w:p>
            <w:r/>
            <w:r>
              <w:rPr>
                <w:rFonts w:ascii="Calibri" w:hAnsi="Calibri"/>
                <w:b w:val="0"/>
                <w:sz w:val="19"/>
              </w:rPr>
              <w:t>TA 2024-2025</w:t>
            </w:r>
          </w:p>
        </w:tc>
        <w:tc>
          <w:tcPr>
            <w:tcW w:type="dxa" w:w="1587"/>
            <w:vAlign w:val="center"/>
          </w:tcPr>
          <w:p>
            <w:r/>
            <w:r>
              <w:rPr>
                <w:rFonts w:ascii="Calibri" w:hAnsi="Calibri"/>
                <w:b w:val="0"/>
                <w:sz w:val="19"/>
              </w:rPr>
              <w:t>Tambahan</w:t>
            </w:r>
          </w:p>
        </w:tc>
      </w:tr>
      <w:tr>
        <w:tc>
          <w:tcPr>
            <w:tcW w:type="dxa" w:w="1587"/>
            <w:vAlign w:val="center"/>
          </w:tcPr>
          <w:p>
            <w:r/>
            <w:r>
              <w:rPr>
                <w:rFonts w:ascii="Calibri" w:hAnsi="Calibri"/>
                <w:b w:val="0"/>
                <w:sz w:val="19"/>
              </w:rPr>
              <w:t>5</w:t>
            </w:r>
          </w:p>
        </w:tc>
        <w:tc>
          <w:tcPr>
            <w:tcW w:type="dxa" w:w="1587"/>
            <w:vAlign w:val="center"/>
          </w:tcPr>
          <w:p>
            <w:r/>
            <w:r>
              <w:rPr>
                <w:rFonts w:ascii="Calibri" w:hAnsi="Calibri"/>
                <w:b w:val="0"/>
                <w:sz w:val="19"/>
              </w:rPr>
              <w:t>AMI Kesejahteraan 2024-2025</w:t>
            </w:r>
          </w:p>
        </w:tc>
        <w:tc>
          <w:tcPr>
            <w:tcW w:type="dxa" w:w="1587"/>
            <w:vAlign w:val="center"/>
          </w:tcPr>
          <w:p>
            <w:r/>
            <w:r>
              <w:rPr>
                <w:rFonts w:ascii="Calibri" w:hAnsi="Calibri"/>
                <w:b w:val="0"/>
                <w:sz w:val="19"/>
              </w:rPr>
              <w:t>SPMI/PPM/MONEV/KSJH/2025</w:t>
            </w:r>
          </w:p>
        </w:tc>
        <w:tc>
          <w:tcPr>
            <w:tcW w:type="dxa" w:w="1587"/>
            <w:vAlign w:val="center"/>
          </w:tcPr>
          <w:p>
            <w:r/>
            <w:r>
              <w:rPr>
                <w:rFonts w:ascii="Calibri" w:hAnsi="Calibri"/>
                <w:b w:val="0"/>
                <w:sz w:val="19"/>
              </w:rPr>
              <w:t>TA 2024-2025</w:t>
            </w:r>
          </w:p>
        </w:tc>
        <w:tc>
          <w:tcPr>
            <w:tcW w:type="dxa" w:w="1587"/>
            <w:vAlign w:val="center"/>
          </w:tcPr>
          <w:p>
            <w:r/>
            <w:r>
              <w:rPr>
                <w:rFonts w:ascii="Calibri" w:hAnsi="Calibri"/>
                <w:b w:val="0"/>
                <w:sz w:val="19"/>
              </w:rPr>
              <w:t>Tambahan</w:t>
            </w:r>
          </w:p>
        </w:tc>
      </w:tr>
      <w:tr>
        <w:tc>
          <w:tcPr>
            <w:tcW w:type="dxa" w:w="1587"/>
            <w:vAlign w:val="center"/>
          </w:tcPr>
          <w:p>
            <w:r/>
            <w:r>
              <w:rPr>
                <w:rFonts w:ascii="Calibri" w:hAnsi="Calibri"/>
                <w:b w:val="0"/>
                <w:sz w:val="19"/>
              </w:rPr>
              <w:t>6</w:t>
            </w:r>
          </w:p>
        </w:tc>
        <w:tc>
          <w:tcPr>
            <w:tcW w:type="dxa" w:w="1587"/>
            <w:vAlign w:val="center"/>
          </w:tcPr>
          <w:p>
            <w:r/>
            <w:r>
              <w:rPr>
                <w:rFonts w:ascii="Calibri" w:hAnsi="Calibri"/>
                <w:b w:val="0"/>
                <w:sz w:val="19"/>
              </w:rPr>
              <w:t>AMI Keuangan 2024-2025</w:t>
            </w:r>
          </w:p>
        </w:tc>
        <w:tc>
          <w:tcPr>
            <w:tcW w:type="dxa" w:w="1587"/>
            <w:vAlign w:val="center"/>
          </w:tcPr>
          <w:p>
            <w:r/>
            <w:r>
              <w:rPr>
                <w:rFonts w:ascii="Calibri" w:hAnsi="Calibri"/>
                <w:b w:val="0"/>
                <w:sz w:val="19"/>
              </w:rPr>
              <w:t>SPMI/PPM/MONEV/KEU/2025</w:t>
            </w:r>
          </w:p>
        </w:tc>
        <w:tc>
          <w:tcPr>
            <w:tcW w:type="dxa" w:w="1587"/>
            <w:vAlign w:val="center"/>
          </w:tcPr>
          <w:p>
            <w:r/>
            <w:r>
              <w:rPr>
                <w:rFonts w:ascii="Calibri" w:hAnsi="Calibri"/>
                <w:b w:val="0"/>
                <w:sz w:val="19"/>
              </w:rPr>
              <w:t>TA 2024-2025</w:t>
            </w:r>
          </w:p>
        </w:tc>
        <w:tc>
          <w:tcPr>
            <w:tcW w:type="dxa" w:w="1587"/>
            <w:vAlign w:val="center"/>
          </w:tcPr>
          <w:p>
            <w:r/>
            <w:r>
              <w:rPr>
                <w:rFonts w:ascii="Calibri" w:hAnsi="Calibri"/>
                <w:b w:val="0"/>
                <w:sz w:val="19"/>
              </w:rPr>
              <w:t>Tambahan</w:t>
            </w:r>
          </w:p>
        </w:tc>
      </w:tr>
      <w:tr>
        <w:tc>
          <w:tcPr>
            <w:tcW w:type="dxa" w:w="1587"/>
            <w:vAlign w:val="center"/>
          </w:tcPr>
          <w:p>
            <w:r/>
            <w:r>
              <w:rPr>
                <w:rFonts w:ascii="Calibri" w:hAnsi="Calibri"/>
                <w:b w:val="0"/>
                <w:sz w:val="19"/>
              </w:rPr>
              <w:t>7</w:t>
            </w:r>
          </w:p>
        </w:tc>
        <w:tc>
          <w:tcPr>
            <w:tcW w:type="dxa" w:w="1587"/>
            <w:vAlign w:val="center"/>
          </w:tcPr>
          <w:p>
            <w:r/>
            <w:r>
              <w:rPr>
                <w:rFonts w:ascii="Calibri" w:hAnsi="Calibri"/>
                <w:b w:val="0"/>
                <w:sz w:val="19"/>
              </w:rPr>
              <w:t>AMI Sarana dan Prasarana 2024-2025</w:t>
            </w:r>
          </w:p>
        </w:tc>
        <w:tc>
          <w:tcPr>
            <w:tcW w:type="dxa" w:w="1587"/>
            <w:vAlign w:val="center"/>
          </w:tcPr>
          <w:p>
            <w:r/>
            <w:r>
              <w:rPr>
                <w:rFonts w:ascii="Calibri" w:hAnsi="Calibri"/>
                <w:b w:val="0"/>
                <w:sz w:val="19"/>
              </w:rPr>
              <w:t>SPMI/PPM/MONEV/SARPRAS/2025</w:t>
            </w:r>
          </w:p>
        </w:tc>
        <w:tc>
          <w:tcPr>
            <w:tcW w:type="dxa" w:w="1587"/>
            <w:vAlign w:val="center"/>
          </w:tcPr>
          <w:p>
            <w:r/>
            <w:r>
              <w:rPr>
                <w:rFonts w:ascii="Calibri" w:hAnsi="Calibri"/>
                <w:b w:val="0"/>
                <w:sz w:val="19"/>
              </w:rPr>
              <w:t>TA 2024-2025</w:t>
            </w:r>
          </w:p>
        </w:tc>
        <w:tc>
          <w:tcPr>
            <w:tcW w:type="dxa" w:w="1587"/>
            <w:vAlign w:val="center"/>
          </w:tcPr>
          <w:p>
            <w:r/>
            <w:r>
              <w:rPr>
                <w:rFonts w:ascii="Calibri" w:hAnsi="Calibri"/>
                <w:b w:val="0"/>
                <w:sz w:val="19"/>
              </w:rPr>
              <w:t>Tambahan</w:t>
            </w:r>
          </w:p>
        </w:tc>
      </w:tr>
      <w:tr>
        <w:tc>
          <w:tcPr>
            <w:tcW w:type="dxa" w:w="1587"/>
            <w:vAlign w:val="center"/>
          </w:tcPr>
          <w:p>
            <w:r/>
            <w:r>
              <w:rPr>
                <w:rFonts w:ascii="Calibri" w:hAnsi="Calibri"/>
                <w:b w:val="0"/>
                <w:sz w:val="19"/>
              </w:rPr>
              <w:t>8</w:t>
            </w:r>
          </w:p>
        </w:tc>
        <w:tc>
          <w:tcPr>
            <w:tcW w:type="dxa" w:w="1587"/>
            <w:vAlign w:val="center"/>
          </w:tcPr>
          <w:p>
            <w:r/>
            <w:r>
              <w:rPr>
                <w:rFonts w:ascii="Calibri" w:hAnsi="Calibri"/>
                <w:b w:val="0"/>
                <w:sz w:val="19"/>
              </w:rPr>
              <w:t>AMI VMTS 2024-2025</w:t>
            </w:r>
          </w:p>
        </w:tc>
        <w:tc>
          <w:tcPr>
            <w:tcW w:type="dxa" w:w="1587"/>
            <w:vAlign w:val="center"/>
          </w:tcPr>
          <w:p>
            <w:r/>
            <w:r>
              <w:rPr>
                <w:rFonts w:ascii="Calibri" w:hAnsi="Calibri"/>
                <w:b w:val="0"/>
                <w:sz w:val="19"/>
              </w:rPr>
              <w:t>SPMI/PPM/MONEV/VMTS/2025</w:t>
            </w:r>
          </w:p>
        </w:tc>
        <w:tc>
          <w:tcPr>
            <w:tcW w:type="dxa" w:w="1587"/>
            <w:vAlign w:val="center"/>
          </w:tcPr>
          <w:p>
            <w:r/>
            <w:r>
              <w:rPr>
                <w:rFonts w:ascii="Calibri" w:hAnsi="Calibri"/>
                <w:b w:val="0"/>
                <w:sz w:val="19"/>
              </w:rPr>
              <w:t>TA 2024-2025</w:t>
            </w:r>
          </w:p>
        </w:tc>
        <w:tc>
          <w:tcPr>
            <w:tcW w:type="dxa" w:w="1587"/>
            <w:vAlign w:val="center"/>
          </w:tcPr>
          <w:p>
            <w:r/>
            <w:r>
              <w:rPr>
                <w:rFonts w:ascii="Calibri" w:hAnsi="Calibri"/>
                <w:b w:val="0"/>
                <w:sz w:val="19"/>
              </w:rPr>
              <w:t>Tambahan</w:t>
            </w:r>
          </w:p>
        </w:tc>
      </w:tr>
      <w:tr>
        <w:tc>
          <w:tcPr>
            <w:tcW w:type="dxa" w:w="1587"/>
            <w:vAlign w:val="center"/>
          </w:tcPr>
          <w:p>
            <w:r/>
            <w:r>
              <w:rPr>
                <w:rFonts w:ascii="Calibri" w:hAnsi="Calibri"/>
                <w:b w:val="0"/>
                <w:sz w:val="19"/>
              </w:rPr>
              <w:t>9</w:t>
            </w:r>
          </w:p>
        </w:tc>
        <w:tc>
          <w:tcPr>
            <w:tcW w:type="dxa" w:w="1587"/>
            <w:vAlign w:val="center"/>
          </w:tcPr>
          <w:p>
            <w:r/>
            <w:r>
              <w:rPr>
                <w:rFonts w:ascii="Calibri" w:hAnsi="Calibri"/>
                <w:b w:val="0"/>
                <w:sz w:val="19"/>
              </w:rPr>
              <w:t>AMI TPTK 2024-2025</w:t>
            </w:r>
          </w:p>
        </w:tc>
        <w:tc>
          <w:tcPr>
            <w:tcW w:type="dxa" w:w="1587"/>
            <w:vAlign w:val="center"/>
          </w:tcPr>
          <w:p>
            <w:r/>
            <w:r>
              <w:rPr>
                <w:rFonts w:ascii="Calibri" w:hAnsi="Calibri"/>
                <w:b w:val="0"/>
                <w:sz w:val="19"/>
              </w:rPr>
              <w:t>SPMI/PPM/MONEV/TPTK/2025</w:t>
            </w:r>
          </w:p>
        </w:tc>
        <w:tc>
          <w:tcPr>
            <w:tcW w:type="dxa" w:w="1587"/>
            <w:vAlign w:val="center"/>
          </w:tcPr>
          <w:p>
            <w:r/>
            <w:r>
              <w:rPr>
                <w:rFonts w:ascii="Calibri" w:hAnsi="Calibri"/>
                <w:b w:val="0"/>
                <w:sz w:val="19"/>
              </w:rPr>
              <w:t>TA 2024-2025</w:t>
            </w:r>
          </w:p>
        </w:tc>
        <w:tc>
          <w:tcPr>
            <w:tcW w:type="dxa" w:w="1587"/>
            <w:vAlign w:val="center"/>
          </w:tcPr>
          <w:p>
            <w:r/>
            <w:r>
              <w:rPr>
                <w:rFonts w:ascii="Calibri" w:hAnsi="Calibri"/>
                <w:b w:val="0"/>
                <w:sz w:val="19"/>
              </w:rPr>
              <w:t>Tambahan</w:t>
            </w:r>
          </w:p>
        </w:tc>
      </w:tr>
      <w:tr>
        <w:tc>
          <w:tcPr>
            <w:tcW w:type="dxa" w:w="1587"/>
            <w:vAlign w:val="center"/>
          </w:tcPr>
          <w:p>
            <w:r/>
            <w:r>
              <w:rPr>
                <w:rFonts w:ascii="Calibri" w:hAnsi="Calibri"/>
                <w:b w:val="0"/>
                <w:sz w:val="19"/>
              </w:rPr>
              <w:t>10</w:t>
            </w:r>
          </w:p>
        </w:tc>
        <w:tc>
          <w:tcPr>
            <w:tcW w:type="dxa" w:w="1587"/>
            <w:vAlign w:val="center"/>
          </w:tcPr>
          <w:p>
            <w:r/>
            <w:r>
              <w:rPr>
                <w:rFonts w:ascii="Calibri" w:hAnsi="Calibri"/>
                <w:b w:val="0"/>
                <w:sz w:val="19"/>
              </w:rPr>
              <w:t>AMI Mahasiswa 2024-2025</w:t>
            </w:r>
          </w:p>
        </w:tc>
        <w:tc>
          <w:tcPr>
            <w:tcW w:type="dxa" w:w="1587"/>
            <w:vAlign w:val="center"/>
          </w:tcPr>
          <w:p>
            <w:r/>
            <w:r>
              <w:rPr>
                <w:rFonts w:ascii="Calibri" w:hAnsi="Calibri"/>
                <w:b w:val="0"/>
                <w:sz w:val="19"/>
              </w:rPr>
              <w:t>SPMI/PPM/MONEV/MHS/2025</w:t>
            </w:r>
          </w:p>
        </w:tc>
        <w:tc>
          <w:tcPr>
            <w:tcW w:type="dxa" w:w="1587"/>
            <w:vAlign w:val="center"/>
          </w:tcPr>
          <w:p>
            <w:r/>
            <w:r>
              <w:rPr>
                <w:rFonts w:ascii="Calibri" w:hAnsi="Calibri"/>
                <w:b w:val="0"/>
                <w:sz w:val="19"/>
              </w:rPr>
              <w:t>TA 2024-2025</w:t>
            </w:r>
          </w:p>
        </w:tc>
        <w:tc>
          <w:tcPr>
            <w:tcW w:type="dxa" w:w="1587"/>
            <w:vAlign w:val="center"/>
          </w:tcPr>
          <w:p>
            <w:r/>
            <w:r>
              <w:rPr>
                <w:rFonts w:ascii="Calibri" w:hAnsi="Calibri"/>
                <w:b w:val="0"/>
                <w:sz w:val="19"/>
              </w:rPr>
              <w:t>Tambahan</w:t>
            </w:r>
          </w:p>
        </w:tc>
      </w:tr>
      <w:tr>
        <w:tc>
          <w:tcPr>
            <w:tcW w:type="dxa" w:w="1587"/>
            <w:vAlign w:val="center"/>
          </w:tcPr>
          <w:p>
            <w:r/>
            <w:r>
              <w:rPr>
                <w:rFonts w:ascii="Calibri" w:hAnsi="Calibri"/>
                <w:b w:val="0"/>
                <w:sz w:val="19"/>
              </w:rPr>
              <w:t>11</w:t>
            </w:r>
          </w:p>
        </w:tc>
        <w:tc>
          <w:tcPr>
            <w:tcW w:type="dxa" w:w="1587"/>
            <w:vAlign w:val="center"/>
          </w:tcPr>
          <w:p>
            <w:r/>
            <w:r>
              <w:rPr>
                <w:rFonts w:ascii="Calibri" w:hAnsi="Calibri"/>
                <w:b w:val="0"/>
                <w:sz w:val="19"/>
              </w:rPr>
              <w:t>AMI Penelitian 2024-2025</w:t>
            </w:r>
          </w:p>
        </w:tc>
        <w:tc>
          <w:tcPr>
            <w:tcW w:type="dxa" w:w="1587"/>
            <w:vAlign w:val="center"/>
          </w:tcPr>
          <w:p>
            <w:r/>
            <w:r>
              <w:rPr>
                <w:rFonts w:ascii="Calibri" w:hAnsi="Calibri"/>
                <w:b w:val="0"/>
                <w:sz w:val="19"/>
              </w:rPr>
              <w:t>SPMI/PPM/MONEV/PNLT/2025</w:t>
            </w:r>
          </w:p>
        </w:tc>
        <w:tc>
          <w:tcPr>
            <w:tcW w:type="dxa" w:w="1587"/>
            <w:vAlign w:val="center"/>
          </w:tcPr>
          <w:p>
            <w:r/>
            <w:r>
              <w:rPr>
                <w:rFonts w:ascii="Calibri" w:hAnsi="Calibri"/>
                <w:b w:val="0"/>
                <w:sz w:val="19"/>
              </w:rPr>
              <w:t>TA 2024-2025</w:t>
            </w:r>
          </w:p>
        </w:tc>
        <w:tc>
          <w:tcPr>
            <w:tcW w:type="dxa" w:w="1587"/>
            <w:vAlign w:val="center"/>
          </w:tcPr>
          <w:p>
            <w:r/>
            <w:r>
              <w:rPr>
                <w:rFonts w:ascii="Calibri" w:hAnsi="Calibri"/>
                <w:b w:val="0"/>
                <w:sz w:val="19"/>
              </w:rPr>
              <w:t>Penelitian</w:t>
            </w:r>
          </w:p>
        </w:tc>
      </w:tr>
      <w:tr>
        <w:tc>
          <w:tcPr>
            <w:tcW w:type="dxa" w:w="1587"/>
            <w:vAlign w:val="center"/>
          </w:tcPr>
          <w:p>
            <w:r/>
            <w:r>
              <w:rPr>
                <w:rFonts w:ascii="Calibri" w:hAnsi="Calibri"/>
                <w:b w:val="0"/>
                <w:sz w:val="19"/>
              </w:rPr>
              <w:t>12</w:t>
            </w:r>
          </w:p>
        </w:tc>
        <w:tc>
          <w:tcPr>
            <w:tcW w:type="dxa" w:w="1587"/>
            <w:vAlign w:val="center"/>
          </w:tcPr>
          <w:p>
            <w:r/>
            <w:r>
              <w:rPr>
                <w:rFonts w:ascii="Calibri" w:hAnsi="Calibri"/>
                <w:b w:val="0"/>
                <w:sz w:val="19"/>
              </w:rPr>
              <w:t>AMI Pengabdian 2024-2025</w:t>
            </w:r>
          </w:p>
        </w:tc>
        <w:tc>
          <w:tcPr>
            <w:tcW w:type="dxa" w:w="1587"/>
            <w:vAlign w:val="center"/>
          </w:tcPr>
          <w:p>
            <w:r/>
            <w:r>
              <w:rPr>
                <w:rFonts w:ascii="Calibri" w:hAnsi="Calibri"/>
                <w:b w:val="0"/>
                <w:sz w:val="19"/>
              </w:rPr>
              <w:t>SPMI/PPM/MONEV/PKM/2025</w:t>
            </w:r>
          </w:p>
        </w:tc>
        <w:tc>
          <w:tcPr>
            <w:tcW w:type="dxa" w:w="1587"/>
            <w:vAlign w:val="center"/>
          </w:tcPr>
          <w:p>
            <w:r/>
            <w:r>
              <w:rPr>
                <w:rFonts w:ascii="Calibri" w:hAnsi="Calibri"/>
                <w:b w:val="0"/>
                <w:sz w:val="19"/>
              </w:rPr>
              <w:t>TA 2024-2025</w:t>
            </w:r>
          </w:p>
        </w:tc>
        <w:tc>
          <w:tcPr>
            <w:tcW w:type="dxa" w:w="1587"/>
            <w:vAlign w:val="center"/>
          </w:tcPr>
          <w:p>
            <w:r/>
            <w:r>
              <w:rPr>
                <w:rFonts w:ascii="Calibri" w:hAnsi="Calibri"/>
                <w:b w:val="0"/>
                <w:sz w:val="19"/>
              </w:rPr>
              <w:t>PkM</w:t>
            </w:r>
          </w:p>
        </w:tc>
      </w:tr>
      <w:tr>
        <w:tc>
          <w:tcPr>
            <w:tcW w:type="dxa" w:w="1587"/>
            <w:vAlign w:val="center"/>
          </w:tcPr>
          <w:p>
            <w:r/>
            <w:r>
              <w:rPr>
                <w:rFonts w:ascii="Calibri" w:hAnsi="Calibri"/>
                <w:b w:val="0"/>
                <w:sz w:val="19"/>
              </w:rPr>
              <w:t>13</w:t>
            </w:r>
          </w:p>
        </w:tc>
        <w:tc>
          <w:tcPr>
            <w:tcW w:type="dxa" w:w="1587"/>
            <w:vAlign w:val="center"/>
          </w:tcPr>
          <w:p>
            <w:r/>
            <w:r>
              <w:rPr>
                <w:rFonts w:ascii="Calibri" w:hAnsi="Calibri"/>
                <w:b w:val="0"/>
                <w:sz w:val="19"/>
              </w:rPr>
              <w:t>AMI MBKM 2024-2025</w:t>
            </w:r>
          </w:p>
        </w:tc>
        <w:tc>
          <w:tcPr>
            <w:tcW w:type="dxa" w:w="1587"/>
            <w:vAlign w:val="center"/>
          </w:tcPr>
          <w:p>
            <w:r/>
            <w:r>
              <w:rPr>
                <w:rFonts w:ascii="Calibri" w:hAnsi="Calibri"/>
                <w:b w:val="0"/>
                <w:sz w:val="19"/>
              </w:rPr>
              <w:t>SPMI/PPM/MONEV/MBKM/2025</w:t>
            </w:r>
          </w:p>
        </w:tc>
        <w:tc>
          <w:tcPr>
            <w:tcW w:type="dxa" w:w="1587"/>
            <w:vAlign w:val="center"/>
          </w:tcPr>
          <w:p>
            <w:r/>
            <w:r>
              <w:rPr>
                <w:rFonts w:ascii="Calibri" w:hAnsi="Calibri"/>
                <w:b w:val="0"/>
                <w:sz w:val="19"/>
              </w:rPr>
              <w:t>TA 2024-2025</w:t>
            </w:r>
          </w:p>
        </w:tc>
        <w:tc>
          <w:tcPr>
            <w:tcW w:type="dxa" w:w="1587"/>
            <w:vAlign w:val="center"/>
          </w:tcPr>
          <w:p>
            <w:r/>
            <w:r>
              <w:rPr>
                <w:rFonts w:ascii="Calibri" w:hAnsi="Calibri"/>
                <w:b w:val="0"/>
                <w:sz w:val="19"/>
              </w:rPr>
              <w:t>Tambahan</w:t>
            </w:r>
          </w:p>
        </w:tc>
      </w:tr>
      <w:tr>
        <w:tc>
          <w:tcPr>
            <w:tcW w:type="dxa" w:w="1587"/>
            <w:vAlign w:val="center"/>
          </w:tcPr>
          <w:p>
            <w:r/>
            <w:r>
              <w:rPr>
                <w:rFonts w:ascii="Calibri" w:hAnsi="Calibri"/>
                <w:b w:val="0"/>
                <w:sz w:val="19"/>
              </w:rPr>
              <w:t>14</w:t>
            </w:r>
          </w:p>
        </w:tc>
        <w:tc>
          <w:tcPr>
            <w:tcW w:type="dxa" w:w="1587"/>
            <w:vAlign w:val="center"/>
          </w:tcPr>
          <w:p>
            <w:r/>
            <w:r>
              <w:rPr>
                <w:rFonts w:ascii="Calibri" w:hAnsi="Calibri"/>
                <w:b w:val="0"/>
                <w:sz w:val="19"/>
              </w:rPr>
              <w:t>AMI Pelayanan Mahasiswa Ganjil 2024-2025</w:t>
            </w:r>
          </w:p>
        </w:tc>
        <w:tc>
          <w:tcPr>
            <w:tcW w:type="dxa" w:w="1587"/>
            <w:vAlign w:val="center"/>
          </w:tcPr>
          <w:p>
            <w:r/>
            <w:r>
              <w:rPr>
                <w:rFonts w:ascii="Calibri" w:hAnsi="Calibri"/>
                <w:b w:val="0"/>
                <w:sz w:val="19"/>
              </w:rPr>
              <w:t>SPMI/PPM/MONEV/PLYN-G/2025</w:t>
            </w:r>
          </w:p>
        </w:tc>
        <w:tc>
          <w:tcPr>
            <w:tcW w:type="dxa" w:w="1587"/>
            <w:vAlign w:val="center"/>
          </w:tcPr>
          <w:p>
            <w:r/>
            <w:r>
              <w:rPr>
                <w:rFonts w:ascii="Calibri" w:hAnsi="Calibri"/>
                <w:b w:val="0"/>
                <w:sz w:val="19"/>
              </w:rPr>
              <w:t>Ganjil 2024</w:t>
            </w:r>
          </w:p>
        </w:tc>
        <w:tc>
          <w:tcPr>
            <w:tcW w:type="dxa" w:w="1587"/>
            <w:vAlign w:val="center"/>
          </w:tcPr>
          <w:p>
            <w:r/>
            <w:r>
              <w:rPr>
                <w:rFonts w:ascii="Calibri" w:hAnsi="Calibri"/>
                <w:b w:val="0"/>
                <w:sz w:val="19"/>
              </w:rPr>
              <w:t>Tambahan</w:t>
            </w:r>
          </w:p>
        </w:tc>
      </w:tr>
      <w:tr>
        <w:tc>
          <w:tcPr>
            <w:tcW w:type="dxa" w:w="1587"/>
            <w:vAlign w:val="center"/>
          </w:tcPr>
          <w:p>
            <w:r/>
            <w:r>
              <w:rPr>
                <w:rFonts w:ascii="Calibri" w:hAnsi="Calibri"/>
                <w:b w:val="0"/>
                <w:sz w:val="19"/>
              </w:rPr>
              <w:t>15</w:t>
            </w:r>
          </w:p>
        </w:tc>
        <w:tc>
          <w:tcPr>
            <w:tcW w:type="dxa" w:w="1587"/>
            <w:vAlign w:val="center"/>
          </w:tcPr>
          <w:p>
            <w:r/>
            <w:r>
              <w:rPr>
                <w:rFonts w:ascii="Calibri" w:hAnsi="Calibri"/>
                <w:b w:val="0"/>
                <w:sz w:val="19"/>
              </w:rPr>
              <w:t>AMI Pelayanan Mahasiswa Genap 2024-2025</w:t>
            </w:r>
          </w:p>
        </w:tc>
        <w:tc>
          <w:tcPr>
            <w:tcW w:type="dxa" w:w="1587"/>
            <w:vAlign w:val="center"/>
          </w:tcPr>
          <w:p>
            <w:r/>
            <w:r>
              <w:rPr>
                <w:rFonts w:ascii="Calibri" w:hAnsi="Calibri"/>
                <w:b w:val="0"/>
                <w:sz w:val="19"/>
              </w:rPr>
              <w:t>SPMI/PPM/MONEV/PLYN-GN/2025</w:t>
            </w:r>
          </w:p>
        </w:tc>
        <w:tc>
          <w:tcPr>
            <w:tcW w:type="dxa" w:w="1587"/>
            <w:vAlign w:val="center"/>
          </w:tcPr>
          <w:p>
            <w:r/>
            <w:r>
              <w:rPr>
                <w:rFonts w:ascii="Calibri" w:hAnsi="Calibri"/>
                <w:b w:val="0"/>
                <w:sz w:val="19"/>
              </w:rPr>
              <w:t>Genap 2025</w:t>
            </w:r>
          </w:p>
        </w:tc>
        <w:tc>
          <w:tcPr>
            <w:tcW w:type="dxa" w:w="1587"/>
            <w:vAlign w:val="center"/>
          </w:tcPr>
          <w:p>
            <w:r/>
            <w:r>
              <w:rPr>
                <w:rFonts w:ascii="Calibri" w:hAnsi="Calibri"/>
                <w:b w:val="0"/>
                <w:sz w:val="19"/>
              </w:rPr>
              <w:t>Tambahan</w:t>
            </w:r>
          </w:p>
        </w:tc>
      </w:tr>
    </w:tbl>
    <w:p/>
    <w:p>
      <w:pPr>
        <w:spacing w:after="120" w:line="312" w:lineRule="auto"/>
        <w:ind w:firstLine="567"/>
        <w:jc w:val="both"/>
      </w:pPr>
      <w:r>
        <w:rPr>
          <w:rFonts w:ascii="Calibri" w:hAnsi="Calibri"/>
          <w:b w:val="0"/>
          <w:color w:val="1F2937"/>
          <w:sz w:val="22"/>
        </w:rPr>
        <w:t>Ke-15 dokumen AMI tersebut mencakup total 212 indikator penilaian yang terdistribusi pada 33 Standar SPMI. Setiap dokumen AMI diaudit oleh Tim Audit Mutu Internal PPM UNITA dengan melibatkan Gugus Penjaminan Mutu (GPM) di tingkat fakultas dan program studi.</w:t>
      </w:r>
    </w:p>
    <w:p>
      <w:r>
        <w:br w:type="page"/>
      </w:r>
    </w:p>
    <w:p>
      <w:pPr>
        <w:keepNext/>
        <w:spacing w:before="360" w:after="160"/>
        <w:jc w:val="center"/>
      </w:pPr>
      <w:r>
        <w:rPr>
          <w:rFonts w:ascii="Calibri" w:hAnsi="Calibri"/>
          <w:b/>
          <w:color w:val="1A3A6E"/>
          <w:sz w:val="40"/>
        </w:rPr>
        <w:t>BAB V</w:t>
        <w:br/>
        <w:t>ANALISIS TEMUAN DAN PTK</w:t>
      </w:r>
    </w:p>
    <w:p>
      <w:pPr>
        <w:keepNext/>
        <w:spacing w:before="240" w:after="160"/>
      </w:pPr>
      <w:r>
        <w:rPr>
          <w:rFonts w:ascii="Calibri" w:hAnsi="Calibri"/>
          <w:b/>
          <w:color w:val="1A3A6E"/>
          <w:sz w:val="26"/>
        </w:rPr>
        <w:t>5.1 Analisis Temuan per Kategori Standar</w:t>
      </w:r>
    </w:p>
    <w:p>
      <w:pPr>
        <w:spacing w:after="120" w:line="312" w:lineRule="auto"/>
        <w:ind w:firstLine="567"/>
        <w:jc w:val="both"/>
      </w:pPr>
      <w:r>
        <w:rPr>
          <w:rFonts w:ascii="Calibri" w:hAnsi="Calibri"/>
          <w:b w:val="0"/>
          <w:color w:val="1F2937"/>
          <w:sz w:val="22"/>
        </w:rPr>
        <w:t>Hasil Assessment AMI TA 2024/2025 mengidentifikasi total 121 temuan dengan 78 Permintaan Tindakan Koreksi (PTK) yang tersebar pada 33 Standar SPMI. Distribusi temuan dan PTK per kategori standar disajikan pada Tabel 5.1.</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shd w:fill="1A3A6E"/>
            <w:vAlign w:val="center"/>
          </w:tcPr>
          <w:p>
            <w:pPr>
              <w:jc w:val="center"/>
            </w:pPr>
            <w:r/>
            <w:r>
              <w:rPr>
                <w:rFonts w:ascii="Calibri" w:hAnsi="Calibri"/>
                <w:b/>
                <w:color w:val="FFFFFF"/>
                <w:sz w:val="20"/>
              </w:rPr>
              <w:t>Kategori</w:t>
            </w:r>
          </w:p>
        </w:tc>
        <w:tc>
          <w:tcPr>
            <w:tcW w:type="dxa" w:w="1587"/>
            <w:shd w:fill="1A3A6E"/>
            <w:vAlign w:val="center"/>
          </w:tcPr>
          <w:p>
            <w:pPr>
              <w:jc w:val="center"/>
            </w:pPr>
            <w:r/>
            <w:r>
              <w:rPr>
                <w:rFonts w:ascii="Calibri" w:hAnsi="Calibri"/>
                <w:b/>
                <w:color w:val="FFFFFF"/>
                <w:sz w:val="20"/>
              </w:rPr>
              <w:t>Jumlah Standar</w:t>
            </w:r>
          </w:p>
        </w:tc>
        <w:tc>
          <w:tcPr>
            <w:tcW w:type="dxa" w:w="1587"/>
            <w:shd w:fill="1A3A6E"/>
            <w:vAlign w:val="center"/>
          </w:tcPr>
          <w:p>
            <w:pPr>
              <w:jc w:val="center"/>
            </w:pPr>
            <w:r/>
            <w:r>
              <w:rPr>
                <w:rFonts w:ascii="Calibri" w:hAnsi="Calibri"/>
                <w:b/>
                <w:color w:val="FFFFFF"/>
                <w:sz w:val="20"/>
              </w:rPr>
              <w:t>Rata-rata Skor</w:t>
            </w:r>
          </w:p>
        </w:tc>
        <w:tc>
          <w:tcPr>
            <w:tcW w:type="dxa" w:w="1587"/>
            <w:shd w:fill="1A3A6E"/>
            <w:vAlign w:val="center"/>
          </w:tcPr>
          <w:p>
            <w:pPr>
              <w:jc w:val="center"/>
            </w:pPr>
            <w:r/>
            <w:r>
              <w:rPr>
                <w:rFonts w:ascii="Calibri" w:hAnsi="Calibri"/>
                <w:b/>
                <w:color w:val="FFFFFF"/>
                <w:sz w:val="20"/>
              </w:rPr>
              <w:t>Total Temuan</w:t>
            </w:r>
          </w:p>
        </w:tc>
        <w:tc>
          <w:tcPr>
            <w:tcW w:type="dxa" w:w="1587"/>
            <w:shd w:fill="1A3A6E"/>
            <w:vAlign w:val="center"/>
          </w:tcPr>
          <w:p>
            <w:pPr>
              <w:jc w:val="center"/>
            </w:pPr>
            <w:r/>
            <w:r>
              <w:rPr>
                <w:rFonts w:ascii="Calibri" w:hAnsi="Calibri"/>
                <w:b/>
                <w:color w:val="FFFFFF"/>
                <w:sz w:val="20"/>
              </w:rPr>
              <w:t>Total PTK</w:t>
            </w:r>
          </w:p>
        </w:tc>
      </w:tr>
      <w:tr>
        <w:tc>
          <w:tcPr>
            <w:tcW w:type="dxa" w:w="1587"/>
            <w:vAlign w:val="center"/>
          </w:tcPr>
          <w:p>
            <w:pPr>
              <w:jc w:val="center"/>
            </w:pPr>
            <w:r/>
            <w:r>
              <w:rPr>
                <w:rFonts w:ascii="Calibri" w:hAnsi="Calibri"/>
                <w:b w:val="0"/>
                <w:sz w:val="19"/>
              </w:rPr>
              <w:t>Pendidikan</w:t>
            </w:r>
          </w:p>
        </w:tc>
        <w:tc>
          <w:tcPr>
            <w:tcW w:type="dxa" w:w="1587"/>
            <w:vAlign w:val="center"/>
          </w:tcPr>
          <w:p>
            <w:pPr>
              <w:jc w:val="center"/>
            </w:pPr>
            <w:r/>
            <w:r>
              <w:rPr>
                <w:rFonts w:ascii="Calibri" w:hAnsi="Calibri"/>
                <w:b w:val="0"/>
                <w:sz w:val="19"/>
              </w:rPr>
              <w:t>8</w:t>
            </w:r>
          </w:p>
        </w:tc>
        <w:tc>
          <w:tcPr>
            <w:tcW w:type="dxa" w:w="1587"/>
            <w:vAlign w:val="center"/>
          </w:tcPr>
          <w:p>
            <w:pPr>
              <w:jc w:val="center"/>
            </w:pPr>
            <w:r/>
            <w:r>
              <w:rPr>
                <w:rFonts w:ascii="Calibri" w:hAnsi="Calibri"/>
                <w:b w:val="0"/>
                <w:sz w:val="19"/>
              </w:rPr>
              <w:t>88.4</w:t>
            </w:r>
          </w:p>
        </w:tc>
        <w:tc>
          <w:tcPr>
            <w:tcW w:type="dxa" w:w="1587"/>
            <w:vAlign w:val="center"/>
          </w:tcPr>
          <w:p>
            <w:pPr>
              <w:jc w:val="center"/>
            </w:pPr>
            <w:r/>
            <w:r>
              <w:rPr>
                <w:rFonts w:ascii="Calibri" w:hAnsi="Calibri"/>
                <w:b w:val="0"/>
                <w:sz w:val="19"/>
              </w:rPr>
              <w:t>34</w:t>
            </w:r>
          </w:p>
        </w:tc>
        <w:tc>
          <w:tcPr>
            <w:tcW w:type="dxa" w:w="1587"/>
            <w:vAlign w:val="center"/>
          </w:tcPr>
          <w:p>
            <w:pPr>
              <w:jc w:val="center"/>
            </w:pPr>
            <w:r/>
            <w:r>
              <w:rPr>
                <w:rFonts w:ascii="Calibri" w:hAnsi="Calibri"/>
                <w:b w:val="0"/>
                <w:sz w:val="19"/>
              </w:rPr>
              <w:t>22</w:t>
            </w:r>
          </w:p>
        </w:tc>
      </w:tr>
      <w:tr>
        <w:tc>
          <w:tcPr>
            <w:tcW w:type="dxa" w:w="1587"/>
            <w:vAlign w:val="center"/>
          </w:tcPr>
          <w:p>
            <w:pPr>
              <w:jc w:val="center"/>
            </w:pPr>
            <w:r/>
            <w:r>
              <w:rPr>
                <w:rFonts w:ascii="Calibri" w:hAnsi="Calibri"/>
                <w:b w:val="0"/>
                <w:sz w:val="19"/>
              </w:rPr>
              <w:t>Penelitian</w:t>
            </w:r>
          </w:p>
        </w:tc>
        <w:tc>
          <w:tcPr>
            <w:tcW w:type="dxa" w:w="1587"/>
            <w:vAlign w:val="center"/>
          </w:tcPr>
          <w:p>
            <w:pPr>
              <w:jc w:val="center"/>
            </w:pPr>
            <w:r/>
            <w:r>
              <w:rPr>
                <w:rFonts w:ascii="Calibri" w:hAnsi="Calibri"/>
                <w:b w:val="0"/>
                <w:sz w:val="19"/>
              </w:rPr>
              <w:t>8</w:t>
            </w:r>
          </w:p>
        </w:tc>
        <w:tc>
          <w:tcPr>
            <w:tcW w:type="dxa" w:w="1587"/>
            <w:vAlign w:val="center"/>
          </w:tcPr>
          <w:p>
            <w:pPr>
              <w:jc w:val="center"/>
            </w:pPr>
            <w:r/>
            <w:r>
              <w:rPr>
                <w:rFonts w:ascii="Calibri" w:hAnsi="Calibri"/>
                <w:b w:val="0"/>
                <w:sz w:val="19"/>
              </w:rPr>
              <w:t>92.2</w:t>
            </w:r>
          </w:p>
        </w:tc>
        <w:tc>
          <w:tcPr>
            <w:tcW w:type="dxa" w:w="1587"/>
            <w:vAlign w:val="center"/>
          </w:tcPr>
          <w:p>
            <w:pPr>
              <w:jc w:val="center"/>
            </w:pPr>
            <w:r/>
            <w:r>
              <w:rPr>
                <w:rFonts w:ascii="Calibri" w:hAnsi="Calibri"/>
                <w:b w:val="0"/>
                <w:sz w:val="19"/>
              </w:rPr>
              <w:t>26</w:t>
            </w:r>
          </w:p>
        </w:tc>
        <w:tc>
          <w:tcPr>
            <w:tcW w:type="dxa" w:w="1587"/>
            <w:vAlign w:val="center"/>
          </w:tcPr>
          <w:p>
            <w:pPr>
              <w:jc w:val="center"/>
            </w:pPr>
            <w:r/>
            <w:r>
              <w:rPr>
                <w:rFonts w:ascii="Calibri" w:hAnsi="Calibri"/>
                <w:b w:val="0"/>
                <w:sz w:val="19"/>
              </w:rPr>
              <w:t>18</w:t>
            </w:r>
          </w:p>
        </w:tc>
      </w:tr>
      <w:tr>
        <w:tc>
          <w:tcPr>
            <w:tcW w:type="dxa" w:w="1587"/>
            <w:vAlign w:val="center"/>
          </w:tcPr>
          <w:p>
            <w:pPr>
              <w:jc w:val="center"/>
            </w:pPr>
            <w:r/>
            <w:r>
              <w:rPr>
                <w:rFonts w:ascii="Calibri" w:hAnsi="Calibri"/>
                <w:b w:val="0"/>
                <w:sz w:val="19"/>
              </w:rPr>
              <w:t>PkM</w:t>
            </w:r>
          </w:p>
        </w:tc>
        <w:tc>
          <w:tcPr>
            <w:tcW w:type="dxa" w:w="1587"/>
            <w:vAlign w:val="center"/>
          </w:tcPr>
          <w:p>
            <w:pPr>
              <w:jc w:val="center"/>
            </w:pPr>
            <w:r/>
            <w:r>
              <w:rPr>
                <w:rFonts w:ascii="Calibri" w:hAnsi="Calibri"/>
                <w:b w:val="0"/>
                <w:sz w:val="19"/>
              </w:rPr>
              <w:t>8</w:t>
            </w:r>
          </w:p>
        </w:tc>
        <w:tc>
          <w:tcPr>
            <w:tcW w:type="dxa" w:w="1587"/>
            <w:vAlign w:val="center"/>
          </w:tcPr>
          <w:p>
            <w:pPr>
              <w:jc w:val="center"/>
            </w:pPr>
            <w:r/>
            <w:r>
              <w:rPr>
                <w:rFonts w:ascii="Calibri" w:hAnsi="Calibri"/>
                <w:b w:val="0"/>
                <w:sz w:val="19"/>
              </w:rPr>
              <w:t>92.8</w:t>
            </w:r>
          </w:p>
        </w:tc>
        <w:tc>
          <w:tcPr>
            <w:tcW w:type="dxa" w:w="1587"/>
            <w:vAlign w:val="center"/>
          </w:tcPr>
          <w:p>
            <w:pPr>
              <w:jc w:val="center"/>
            </w:pPr>
            <w:r/>
            <w:r>
              <w:rPr>
                <w:rFonts w:ascii="Calibri" w:hAnsi="Calibri"/>
                <w:b w:val="0"/>
                <w:sz w:val="19"/>
              </w:rPr>
              <w:t>22</w:t>
            </w:r>
          </w:p>
        </w:tc>
        <w:tc>
          <w:tcPr>
            <w:tcW w:type="dxa" w:w="1587"/>
            <w:vAlign w:val="center"/>
          </w:tcPr>
          <w:p>
            <w:pPr>
              <w:jc w:val="center"/>
            </w:pPr>
            <w:r/>
            <w:r>
              <w:rPr>
                <w:rFonts w:ascii="Calibri" w:hAnsi="Calibri"/>
                <w:b w:val="0"/>
                <w:sz w:val="19"/>
              </w:rPr>
              <w:t>14</w:t>
            </w:r>
          </w:p>
        </w:tc>
      </w:tr>
      <w:tr>
        <w:tc>
          <w:tcPr>
            <w:tcW w:type="dxa" w:w="1587"/>
            <w:vAlign w:val="center"/>
          </w:tcPr>
          <w:p>
            <w:pPr>
              <w:jc w:val="center"/>
            </w:pPr>
            <w:r/>
            <w:r>
              <w:rPr>
                <w:rFonts w:ascii="Calibri" w:hAnsi="Calibri"/>
                <w:b w:val="0"/>
                <w:sz w:val="19"/>
              </w:rPr>
              <w:t>Tambahan</w:t>
            </w:r>
          </w:p>
        </w:tc>
        <w:tc>
          <w:tcPr>
            <w:tcW w:type="dxa" w:w="1587"/>
            <w:vAlign w:val="center"/>
          </w:tcPr>
          <w:p>
            <w:pPr>
              <w:jc w:val="center"/>
            </w:pPr>
            <w:r/>
            <w:r>
              <w:rPr>
                <w:rFonts w:ascii="Calibri" w:hAnsi="Calibri"/>
                <w:b w:val="0"/>
                <w:sz w:val="19"/>
              </w:rPr>
              <w:t>9</w:t>
            </w:r>
          </w:p>
        </w:tc>
        <w:tc>
          <w:tcPr>
            <w:tcW w:type="dxa" w:w="1587"/>
            <w:vAlign w:val="center"/>
          </w:tcPr>
          <w:p>
            <w:pPr>
              <w:jc w:val="center"/>
            </w:pPr>
            <w:r/>
            <w:r>
              <w:rPr>
                <w:rFonts w:ascii="Calibri" w:hAnsi="Calibri"/>
                <w:b w:val="0"/>
                <w:sz w:val="19"/>
              </w:rPr>
              <w:t>89.8</w:t>
            </w:r>
          </w:p>
        </w:tc>
        <w:tc>
          <w:tcPr>
            <w:tcW w:type="dxa" w:w="1587"/>
            <w:vAlign w:val="center"/>
          </w:tcPr>
          <w:p>
            <w:pPr>
              <w:jc w:val="center"/>
            </w:pPr>
            <w:r/>
            <w:r>
              <w:rPr>
                <w:rFonts w:ascii="Calibri" w:hAnsi="Calibri"/>
                <w:b w:val="0"/>
                <w:sz w:val="19"/>
              </w:rPr>
              <w:t>39</w:t>
            </w:r>
          </w:p>
        </w:tc>
        <w:tc>
          <w:tcPr>
            <w:tcW w:type="dxa" w:w="1587"/>
            <w:vAlign w:val="center"/>
          </w:tcPr>
          <w:p>
            <w:pPr>
              <w:jc w:val="center"/>
            </w:pPr>
            <w:r/>
            <w:r>
              <w:rPr>
                <w:rFonts w:ascii="Calibri" w:hAnsi="Calibri"/>
                <w:b w:val="0"/>
                <w:sz w:val="19"/>
              </w:rPr>
              <w:t>24</w:t>
            </w:r>
          </w:p>
        </w:tc>
      </w:tr>
      <w:tr>
        <w:tc>
          <w:tcPr>
            <w:tcW w:type="dxa" w:w="1587"/>
            <w:shd w:fill="E8F0FE"/>
            <w:vAlign w:val="center"/>
          </w:tcPr>
          <w:p>
            <w:pPr>
              <w:jc w:val="center"/>
            </w:pPr>
            <w:r/>
            <w:r>
              <w:rPr>
                <w:rFonts w:ascii="Calibri" w:hAnsi="Calibri"/>
                <w:b/>
                <w:sz w:val="19"/>
              </w:rPr>
              <w:t>TOTAL</w:t>
            </w:r>
          </w:p>
        </w:tc>
        <w:tc>
          <w:tcPr>
            <w:tcW w:type="dxa" w:w="1587"/>
            <w:shd w:fill="E8F0FE"/>
            <w:vAlign w:val="center"/>
          </w:tcPr>
          <w:p>
            <w:pPr>
              <w:jc w:val="center"/>
            </w:pPr>
            <w:r/>
            <w:r>
              <w:rPr>
                <w:rFonts w:ascii="Calibri" w:hAnsi="Calibri"/>
                <w:b/>
                <w:sz w:val="19"/>
              </w:rPr>
              <w:t>33</w:t>
            </w:r>
          </w:p>
        </w:tc>
        <w:tc>
          <w:tcPr>
            <w:tcW w:type="dxa" w:w="1587"/>
            <w:shd w:fill="E8F0FE"/>
            <w:vAlign w:val="center"/>
          </w:tcPr>
          <w:p>
            <w:pPr>
              <w:jc w:val="center"/>
            </w:pPr>
            <w:r/>
            <w:r>
              <w:rPr>
                <w:rFonts w:ascii="Calibri" w:hAnsi="Calibri"/>
                <w:b/>
                <w:sz w:val="19"/>
              </w:rPr>
              <w:t>90.8</w:t>
            </w:r>
          </w:p>
        </w:tc>
        <w:tc>
          <w:tcPr>
            <w:tcW w:type="dxa" w:w="1587"/>
            <w:shd w:fill="E8F0FE"/>
            <w:vAlign w:val="center"/>
          </w:tcPr>
          <w:p>
            <w:pPr>
              <w:jc w:val="center"/>
            </w:pPr>
            <w:r/>
            <w:r>
              <w:rPr>
                <w:rFonts w:ascii="Calibri" w:hAnsi="Calibri"/>
                <w:b/>
                <w:sz w:val="19"/>
              </w:rPr>
              <w:t>121</w:t>
            </w:r>
          </w:p>
        </w:tc>
        <w:tc>
          <w:tcPr>
            <w:tcW w:type="dxa" w:w="1587"/>
            <w:shd w:fill="E8F0FE"/>
            <w:vAlign w:val="center"/>
          </w:tcPr>
          <w:p>
            <w:pPr>
              <w:jc w:val="center"/>
            </w:pPr>
            <w:r/>
            <w:r>
              <w:rPr>
                <w:rFonts w:ascii="Calibri" w:hAnsi="Calibri"/>
                <w:b/>
                <w:sz w:val="19"/>
              </w:rPr>
              <w:t>78</w:t>
            </w:r>
          </w:p>
        </w:tc>
      </w:tr>
    </w:tbl>
    <w:p/>
    <w:p>
      <w:pPr>
        <w:keepNext/>
        <w:spacing w:before="240" w:after="160"/>
      </w:pPr>
      <w:r>
        <w:rPr>
          <w:rFonts w:ascii="Calibri" w:hAnsi="Calibri"/>
          <w:b/>
          <w:color w:val="1A3A6E"/>
          <w:sz w:val="26"/>
        </w:rPr>
        <w:t>5.2 Identifikasi Standar dengan PTK Tertinggi</w:t>
      </w:r>
    </w:p>
    <w:p>
      <w:pPr>
        <w:spacing w:after="120" w:line="312" w:lineRule="auto"/>
        <w:ind w:firstLine="567"/>
        <w:jc w:val="both"/>
      </w:pPr>
      <w:r>
        <w:rPr>
          <w:rFonts w:ascii="Calibri" w:hAnsi="Calibri"/>
          <w:b w:val="0"/>
          <w:color w:val="1F2937"/>
          <w:sz w:val="22"/>
        </w:rPr>
        <w:t>Standar dengan jumlah PTK tertinggi memerlukan perhatian khusus dalam tahap Pengendalian. Berikut 5 standar dengan PTK tertinggi:</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shd w:fill="1A3A6E"/>
            <w:vAlign w:val="center"/>
          </w:tcPr>
          <w:p>
            <w:pPr>
              <w:jc w:val="center"/>
            </w:pPr>
            <w:r/>
            <w:r>
              <w:rPr>
                <w:rFonts w:ascii="Calibri" w:hAnsi="Calibri"/>
                <w:b/>
                <w:color w:val="FFFFFF"/>
                <w:sz w:val="20"/>
              </w:rPr>
              <w:t>No</w:t>
            </w:r>
          </w:p>
        </w:tc>
        <w:tc>
          <w:tcPr>
            <w:tcW w:type="dxa" w:w="1587"/>
            <w:shd w:fill="1A3A6E"/>
            <w:vAlign w:val="center"/>
          </w:tcPr>
          <w:p>
            <w:pPr>
              <w:jc w:val="center"/>
            </w:pPr>
            <w:r/>
            <w:r>
              <w:rPr>
                <w:rFonts w:ascii="Calibri" w:hAnsi="Calibri"/>
                <w:b/>
                <w:color w:val="FFFFFF"/>
                <w:sz w:val="20"/>
              </w:rPr>
              <w:t>Nama Standar</w:t>
            </w:r>
          </w:p>
        </w:tc>
        <w:tc>
          <w:tcPr>
            <w:tcW w:type="dxa" w:w="1587"/>
            <w:shd w:fill="1A3A6E"/>
            <w:vAlign w:val="center"/>
          </w:tcPr>
          <w:p>
            <w:pPr>
              <w:jc w:val="center"/>
            </w:pPr>
            <w:r/>
            <w:r>
              <w:rPr>
                <w:rFonts w:ascii="Calibri" w:hAnsi="Calibri"/>
                <w:b/>
                <w:color w:val="FFFFFF"/>
                <w:sz w:val="20"/>
              </w:rPr>
              <w:t>Skor</w:t>
            </w:r>
          </w:p>
        </w:tc>
        <w:tc>
          <w:tcPr>
            <w:tcW w:type="dxa" w:w="1587"/>
            <w:shd w:fill="1A3A6E"/>
            <w:vAlign w:val="center"/>
          </w:tcPr>
          <w:p>
            <w:pPr>
              <w:jc w:val="center"/>
            </w:pPr>
            <w:r/>
            <w:r>
              <w:rPr>
                <w:rFonts w:ascii="Calibri" w:hAnsi="Calibri"/>
                <w:b/>
                <w:color w:val="FFFFFF"/>
                <w:sz w:val="20"/>
              </w:rPr>
              <w:t>Status</w:t>
            </w:r>
          </w:p>
        </w:tc>
        <w:tc>
          <w:tcPr>
            <w:tcW w:type="dxa" w:w="1587"/>
            <w:shd w:fill="1A3A6E"/>
            <w:vAlign w:val="center"/>
          </w:tcPr>
          <w:p>
            <w:pPr>
              <w:jc w:val="center"/>
            </w:pPr>
            <w:r/>
            <w:r>
              <w:rPr>
                <w:rFonts w:ascii="Calibri" w:hAnsi="Calibri"/>
                <w:b/>
                <w:color w:val="FFFFFF"/>
                <w:sz w:val="20"/>
              </w:rPr>
              <w:t>PTK</w:t>
            </w:r>
          </w:p>
        </w:tc>
      </w:tr>
      <w:tr>
        <w:tc>
          <w:tcPr>
            <w:tcW w:type="dxa" w:w="1587"/>
            <w:vAlign w:val="center"/>
          </w:tcPr>
          <w:p>
            <w:pPr>
              <w:jc w:val="center"/>
            </w:pPr>
            <w:r/>
            <w:r>
              <w:rPr>
                <w:rFonts w:ascii="Calibri" w:hAnsi="Calibri"/>
                <w:b w:val="0"/>
                <w:sz w:val="19"/>
              </w:rPr>
              <w:t>30</w:t>
            </w:r>
          </w:p>
        </w:tc>
        <w:tc>
          <w:tcPr>
            <w:tcW w:type="dxa" w:w="1587"/>
            <w:vAlign w:val="center"/>
          </w:tcPr>
          <w:p>
            <w:pPr>
              <w:jc w:val="center"/>
            </w:pPr>
            <w:r/>
            <w:r>
              <w:rPr>
                <w:rFonts w:ascii="Calibri" w:hAnsi="Calibri"/>
                <w:b w:val="0"/>
                <w:sz w:val="19"/>
              </w:rPr>
              <w:t>Standar Kerjasama</w:t>
            </w:r>
          </w:p>
        </w:tc>
        <w:tc>
          <w:tcPr>
            <w:tcW w:type="dxa" w:w="1587"/>
            <w:vAlign w:val="center"/>
          </w:tcPr>
          <w:p>
            <w:pPr>
              <w:jc w:val="center"/>
            </w:pPr>
            <w:r/>
            <w:r>
              <w:rPr>
                <w:rFonts w:ascii="Calibri" w:hAnsi="Calibri"/>
                <w:b w:val="0"/>
                <w:sz w:val="19"/>
              </w:rPr>
              <w:t>80</w:t>
            </w:r>
          </w:p>
        </w:tc>
        <w:tc>
          <w:tcPr>
            <w:tcW w:type="dxa" w:w="1587"/>
            <w:vAlign w:val="center"/>
          </w:tcPr>
          <w:p>
            <w:pPr>
              <w:jc w:val="center"/>
            </w:pPr>
            <w:r/>
            <w:r>
              <w:rPr>
                <w:rFonts w:ascii="Calibri" w:hAnsi="Calibri"/>
                <w:b w:val="0"/>
                <w:sz w:val="19"/>
              </w:rPr>
              <w:t>BS</w:t>
            </w:r>
          </w:p>
        </w:tc>
        <w:tc>
          <w:tcPr>
            <w:tcW w:type="dxa" w:w="1587"/>
            <w:vAlign w:val="center"/>
          </w:tcPr>
          <w:p>
            <w:pPr>
              <w:jc w:val="center"/>
            </w:pPr>
            <w:r/>
            <w:r>
              <w:rPr>
                <w:rFonts w:ascii="Calibri" w:hAnsi="Calibri"/>
                <w:b w:val="0"/>
                <w:sz w:val="19"/>
              </w:rPr>
              <w:t>5</w:t>
            </w:r>
          </w:p>
        </w:tc>
      </w:tr>
      <w:tr>
        <w:tc>
          <w:tcPr>
            <w:tcW w:type="dxa" w:w="1587"/>
            <w:vAlign w:val="center"/>
          </w:tcPr>
          <w:p>
            <w:pPr>
              <w:jc w:val="center"/>
            </w:pPr>
            <w:r/>
            <w:r>
              <w:rPr>
                <w:rFonts w:ascii="Calibri" w:hAnsi="Calibri"/>
                <w:b w:val="0"/>
                <w:sz w:val="19"/>
              </w:rPr>
              <w:t>6</w:t>
            </w:r>
          </w:p>
        </w:tc>
        <w:tc>
          <w:tcPr>
            <w:tcW w:type="dxa" w:w="1587"/>
            <w:vAlign w:val="center"/>
          </w:tcPr>
          <w:p>
            <w:pPr>
              <w:jc w:val="center"/>
            </w:pPr>
            <w:r/>
            <w:r>
              <w:rPr>
                <w:rFonts w:ascii="Calibri" w:hAnsi="Calibri"/>
                <w:b w:val="0"/>
                <w:sz w:val="19"/>
              </w:rPr>
              <w:t>Standar Dosen &amp; Tenaga Kependidikan</w:t>
            </w:r>
          </w:p>
        </w:tc>
        <w:tc>
          <w:tcPr>
            <w:tcW w:type="dxa" w:w="1587"/>
            <w:vAlign w:val="center"/>
          </w:tcPr>
          <w:p>
            <w:pPr>
              <w:jc w:val="center"/>
            </w:pPr>
            <w:r/>
            <w:r>
              <w:rPr>
                <w:rFonts w:ascii="Calibri" w:hAnsi="Calibri"/>
                <w:b w:val="0"/>
                <w:sz w:val="19"/>
              </w:rPr>
              <w:t>89</w:t>
            </w:r>
          </w:p>
        </w:tc>
        <w:tc>
          <w:tcPr>
            <w:tcW w:type="dxa" w:w="1587"/>
            <w:vAlign w:val="center"/>
          </w:tcPr>
          <w:p>
            <w:pPr>
              <w:jc w:val="center"/>
            </w:pPr>
            <w:r/>
            <w:r>
              <w:rPr>
                <w:rFonts w:ascii="Calibri" w:hAnsi="Calibri"/>
                <w:b w:val="0"/>
                <w:sz w:val="19"/>
              </w:rPr>
              <w:t>MS</w:t>
            </w:r>
          </w:p>
        </w:tc>
        <w:tc>
          <w:tcPr>
            <w:tcW w:type="dxa" w:w="1587"/>
            <w:vAlign w:val="center"/>
          </w:tcPr>
          <w:p>
            <w:pPr>
              <w:jc w:val="center"/>
            </w:pPr>
            <w:r/>
            <w:r>
              <w:rPr>
                <w:rFonts w:ascii="Calibri" w:hAnsi="Calibri"/>
                <w:b w:val="0"/>
                <w:sz w:val="19"/>
              </w:rPr>
              <w:t>4</w:t>
            </w:r>
          </w:p>
        </w:tc>
      </w:tr>
      <w:tr>
        <w:tc>
          <w:tcPr>
            <w:tcW w:type="dxa" w:w="1587"/>
            <w:vAlign w:val="center"/>
          </w:tcPr>
          <w:p>
            <w:pPr>
              <w:jc w:val="center"/>
            </w:pPr>
            <w:r/>
            <w:r>
              <w:rPr>
                <w:rFonts w:ascii="Calibri" w:hAnsi="Calibri"/>
                <w:b w:val="0"/>
                <w:sz w:val="19"/>
              </w:rPr>
              <w:t>28</w:t>
            </w:r>
          </w:p>
        </w:tc>
        <w:tc>
          <w:tcPr>
            <w:tcW w:type="dxa" w:w="1587"/>
            <w:vAlign w:val="center"/>
          </w:tcPr>
          <w:p>
            <w:pPr>
              <w:jc w:val="center"/>
            </w:pPr>
            <w:r/>
            <w:r>
              <w:rPr>
                <w:rFonts w:ascii="Calibri" w:hAnsi="Calibri"/>
                <w:b w:val="0"/>
                <w:sz w:val="19"/>
              </w:rPr>
              <w:t>Standar Sumber Daya Manusia</w:t>
            </w:r>
          </w:p>
        </w:tc>
        <w:tc>
          <w:tcPr>
            <w:tcW w:type="dxa" w:w="1587"/>
            <w:vAlign w:val="center"/>
          </w:tcPr>
          <w:p>
            <w:pPr>
              <w:jc w:val="center"/>
            </w:pPr>
            <w:r/>
            <w:r>
              <w:rPr>
                <w:rFonts w:ascii="Calibri" w:hAnsi="Calibri"/>
                <w:b w:val="0"/>
                <w:sz w:val="19"/>
              </w:rPr>
              <w:t>89</w:t>
            </w:r>
          </w:p>
        </w:tc>
        <w:tc>
          <w:tcPr>
            <w:tcW w:type="dxa" w:w="1587"/>
            <w:vAlign w:val="center"/>
          </w:tcPr>
          <w:p>
            <w:pPr>
              <w:jc w:val="center"/>
            </w:pPr>
            <w:r/>
            <w:r>
              <w:rPr>
                <w:rFonts w:ascii="Calibri" w:hAnsi="Calibri"/>
                <w:b w:val="0"/>
                <w:sz w:val="19"/>
              </w:rPr>
              <w:t>MS</w:t>
            </w:r>
          </w:p>
        </w:tc>
        <w:tc>
          <w:tcPr>
            <w:tcW w:type="dxa" w:w="1587"/>
            <w:vAlign w:val="center"/>
          </w:tcPr>
          <w:p>
            <w:pPr>
              <w:jc w:val="center"/>
            </w:pPr>
            <w:r/>
            <w:r>
              <w:rPr>
                <w:rFonts w:ascii="Calibri" w:hAnsi="Calibri"/>
                <w:b w:val="0"/>
                <w:sz w:val="19"/>
              </w:rPr>
              <w:t>4</w:t>
            </w:r>
          </w:p>
        </w:tc>
      </w:tr>
      <w:tr>
        <w:tc>
          <w:tcPr>
            <w:tcW w:type="dxa" w:w="1587"/>
            <w:vAlign w:val="center"/>
          </w:tcPr>
          <w:p>
            <w:pPr>
              <w:jc w:val="center"/>
            </w:pPr>
            <w:r/>
            <w:r>
              <w:rPr>
                <w:rFonts w:ascii="Calibri" w:hAnsi="Calibri"/>
                <w:b w:val="0"/>
                <w:sz w:val="19"/>
              </w:rPr>
              <w:t>2</w:t>
            </w:r>
          </w:p>
        </w:tc>
        <w:tc>
          <w:tcPr>
            <w:tcW w:type="dxa" w:w="1587"/>
            <w:vAlign w:val="center"/>
          </w:tcPr>
          <w:p>
            <w:pPr>
              <w:jc w:val="center"/>
            </w:pPr>
            <w:r/>
            <w:r>
              <w:rPr>
                <w:rFonts w:ascii="Calibri" w:hAnsi="Calibri"/>
                <w:b w:val="0"/>
                <w:sz w:val="19"/>
              </w:rPr>
              <w:t>Standar Proses Pembelajaran</w:t>
            </w:r>
          </w:p>
        </w:tc>
        <w:tc>
          <w:tcPr>
            <w:tcW w:type="dxa" w:w="1587"/>
            <w:vAlign w:val="center"/>
          </w:tcPr>
          <w:p>
            <w:pPr>
              <w:jc w:val="center"/>
            </w:pPr>
            <w:r/>
            <w:r>
              <w:rPr>
                <w:rFonts w:ascii="Calibri" w:hAnsi="Calibri"/>
                <w:b w:val="0"/>
                <w:sz w:val="19"/>
              </w:rPr>
              <w:t>89</w:t>
            </w:r>
          </w:p>
        </w:tc>
        <w:tc>
          <w:tcPr>
            <w:tcW w:type="dxa" w:w="1587"/>
            <w:vAlign w:val="center"/>
          </w:tcPr>
          <w:p>
            <w:pPr>
              <w:jc w:val="center"/>
            </w:pPr>
            <w:r/>
            <w:r>
              <w:rPr>
                <w:rFonts w:ascii="Calibri" w:hAnsi="Calibri"/>
                <w:b w:val="0"/>
                <w:sz w:val="19"/>
              </w:rPr>
              <w:t>MS</w:t>
            </w:r>
          </w:p>
        </w:tc>
        <w:tc>
          <w:tcPr>
            <w:tcW w:type="dxa" w:w="1587"/>
            <w:vAlign w:val="center"/>
          </w:tcPr>
          <w:p>
            <w:pPr>
              <w:jc w:val="center"/>
            </w:pPr>
            <w:r/>
            <w:r>
              <w:rPr>
                <w:rFonts w:ascii="Calibri" w:hAnsi="Calibri"/>
                <w:b w:val="0"/>
                <w:sz w:val="19"/>
              </w:rPr>
              <w:t>3</w:t>
            </w:r>
          </w:p>
        </w:tc>
      </w:tr>
      <w:tr>
        <w:tc>
          <w:tcPr>
            <w:tcW w:type="dxa" w:w="1587"/>
            <w:vAlign w:val="center"/>
          </w:tcPr>
          <w:p>
            <w:pPr>
              <w:jc w:val="center"/>
            </w:pPr>
            <w:r/>
            <w:r>
              <w:rPr>
                <w:rFonts w:ascii="Calibri" w:hAnsi="Calibri"/>
                <w:b w:val="0"/>
                <w:sz w:val="19"/>
              </w:rPr>
              <w:t>3</w:t>
            </w:r>
          </w:p>
        </w:tc>
        <w:tc>
          <w:tcPr>
            <w:tcW w:type="dxa" w:w="1587"/>
            <w:vAlign w:val="center"/>
          </w:tcPr>
          <w:p>
            <w:pPr>
              <w:jc w:val="center"/>
            </w:pPr>
            <w:r/>
            <w:r>
              <w:rPr>
                <w:rFonts w:ascii="Calibri" w:hAnsi="Calibri"/>
                <w:b w:val="0"/>
                <w:sz w:val="19"/>
              </w:rPr>
              <w:t>Standar Penilaian</w:t>
            </w:r>
          </w:p>
        </w:tc>
        <w:tc>
          <w:tcPr>
            <w:tcW w:type="dxa" w:w="1587"/>
            <w:vAlign w:val="center"/>
          </w:tcPr>
          <w:p>
            <w:pPr>
              <w:jc w:val="center"/>
            </w:pPr>
            <w:r/>
            <w:r>
              <w:rPr>
                <w:rFonts w:ascii="Calibri" w:hAnsi="Calibri"/>
                <w:b w:val="0"/>
                <w:sz w:val="19"/>
              </w:rPr>
              <w:t>85</w:t>
            </w:r>
          </w:p>
        </w:tc>
        <w:tc>
          <w:tcPr>
            <w:tcW w:type="dxa" w:w="1587"/>
            <w:vAlign w:val="center"/>
          </w:tcPr>
          <w:p>
            <w:pPr>
              <w:jc w:val="center"/>
            </w:pPr>
            <w:r/>
            <w:r>
              <w:rPr>
                <w:rFonts w:ascii="Calibri" w:hAnsi="Calibri"/>
                <w:b w:val="0"/>
                <w:sz w:val="19"/>
              </w:rPr>
              <w:t>MS</w:t>
            </w:r>
          </w:p>
        </w:tc>
        <w:tc>
          <w:tcPr>
            <w:tcW w:type="dxa" w:w="1587"/>
            <w:vAlign w:val="center"/>
          </w:tcPr>
          <w:p>
            <w:pPr>
              <w:jc w:val="center"/>
            </w:pPr>
            <w:r/>
            <w:r>
              <w:rPr>
                <w:rFonts w:ascii="Calibri" w:hAnsi="Calibri"/>
                <w:b w:val="0"/>
                <w:sz w:val="19"/>
              </w:rPr>
              <w:t>3</w:t>
            </w:r>
          </w:p>
        </w:tc>
      </w:tr>
    </w:tbl>
    <w:p/>
    <w:p>
      <w:pPr>
        <w:keepNext/>
        <w:spacing w:before="240" w:after="160"/>
      </w:pPr>
      <w:r>
        <w:rPr>
          <w:rFonts w:ascii="Calibri" w:hAnsi="Calibri"/>
          <w:b/>
          <w:color w:val="1A3A6E"/>
          <w:sz w:val="26"/>
        </w:rPr>
        <w:t>5.3 Identifikasi Standar dengan Capaian Terbaik</w:t>
      </w:r>
    </w:p>
    <w:p>
      <w:pPr>
        <w:spacing w:after="120" w:line="312" w:lineRule="auto"/>
        <w:ind w:firstLine="567"/>
        <w:jc w:val="both"/>
      </w:pPr>
      <w:r>
        <w:rPr>
          <w:rFonts w:ascii="Calibri" w:hAnsi="Calibri"/>
          <w:b w:val="0"/>
          <w:color w:val="1F2937"/>
          <w:sz w:val="22"/>
        </w:rPr>
        <w:t>Standar dengan capaian terbaik (skor tertinggi) dapat menjadi best practice yang dapat direplikasi pada standar lain. Berikut 5 standar dengan skor tertinggi:</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shd w:fill="1A3A6E"/>
            <w:vAlign w:val="center"/>
          </w:tcPr>
          <w:p>
            <w:pPr>
              <w:jc w:val="center"/>
            </w:pPr>
            <w:r/>
            <w:r>
              <w:rPr>
                <w:rFonts w:ascii="Calibri" w:hAnsi="Calibri"/>
                <w:b/>
                <w:color w:val="FFFFFF"/>
                <w:sz w:val="20"/>
              </w:rPr>
              <w:t>No</w:t>
            </w:r>
          </w:p>
        </w:tc>
        <w:tc>
          <w:tcPr>
            <w:tcW w:type="dxa" w:w="1587"/>
            <w:shd w:fill="1A3A6E"/>
            <w:vAlign w:val="center"/>
          </w:tcPr>
          <w:p>
            <w:pPr>
              <w:jc w:val="center"/>
            </w:pPr>
            <w:r/>
            <w:r>
              <w:rPr>
                <w:rFonts w:ascii="Calibri" w:hAnsi="Calibri"/>
                <w:b/>
                <w:color w:val="FFFFFF"/>
                <w:sz w:val="20"/>
              </w:rPr>
              <w:t>Nama Standar</w:t>
            </w:r>
          </w:p>
        </w:tc>
        <w:tc>
          <w:tcPr>
            <w:tcW w:type="dxa" w:w="1587"/>
            <w:shd w:fill="1A3A6E"/>
            <w:vAlign w:val="center"/>
          </w:tcPr>
          <w:p>
            <w:pPr>
              <w:jc w:val="center"/>
            </w:pPr>
            <w:r/>
            <w:r>
              <w:rPr>
                <w:rFonts w:ascii="Calibri" w:hAnsi="Calibri"/>
                <w:b/>
                <w:color w:val="FFFFFF"/>
                <w:sz w:val="20"/>
              </w:rPr>
              <w:t>Skor</w:t>
            </w:r>
          </w:p>
        </w:tc>
        <w:tc>
          <w:tcPr>
            <w:tcW w:type="dxa" w:w="1587"/>
            <w:shd w:fill="1A3A6E"/>
            <w:vAlign w:val="center"/>
          </w:tcPr>
          <w:p>
            <w:pPr>
              <w:jc w:val="center"/>
            </w:pPr>
            <w:r/>
            <w:r>
              <w:rPr>
                <w:rFonts w:ascii="Calibri" w:hAnsi="Calibri"/>
                <w:b/>
                <w:color w:val="FFFFFF"/>
                <w:sz w:val="20"/>
              </w:rPr>
              <w:t>Status</w:t>
            </w:r>
          </w:p>
        </w:tc>
        <w:tc>
          <w:tcPr>
            <w:tcW w:type="dxa" w:w="1587"/>
            <w:shd w:fill="1A3A6E"/>
            <w:vAlign w:val="center"/>
          </w:tcPr>
          <w:p>
            <w:pPr>
              <w:jc w:val="center"/>
            </w:pPr>
            <w:r/>
            <w:r>
              <w:rPr>
                <w:rFonts w:ascii="Calibri" w:hAnsi="Calibri"/>
                <w:b/>
                <w:color w:val="FFFFFF"/>
                <w:sz w:val="20"/>
              </w:rPr>
              <w:t>TL (%)</w:t>
            </w:r>
          </w:p>
        </w:tc>
      </w:tr>
      <w:tr>
        <w:tc>
          <w:tcPr>
            <w:tcW w:type="dxa" w:w="1587"/>
            <w:vAlign w:val="center"/>
          </w:tcPr>
          <w:p>
            <w:pPr>
              <w:jc w:val="center"/>
            </w:pPr>
            <w:r/>
            <w:r>
              <w:rPr>
                <w:rFonts w:ascii="Calibri" w:hAnsi="Calibri"/>
                <w:b w:val="0"/>
                <w:sz w:val="19"/>
              </w:rPr>
              <w:t>18</w:t>
            </w:r>
          </w:p>
        </w:tc>
        <w:tc>
          <w:tcPr>
            <w:tcW w:type="dxa" w:w="1587"/>
            <w:vAlign w:val="center"/>
          </w:tcPr>
          <w:p>
            <w:pPr>
              <w:jc w:val="center"/>
            </w:pPr>
            <w:r/>
            <w:r>
              <w:rPr>
                <w:rFonts w:ascii="Calibri" w:hAnsi="Calibri"/>
                <w:b w:val="0"/>
                <w:sz w:val="19"/>
              </w:rPr>
              <w:t>Standar Proses PkM</w:t>
            </w:r>
          </w:p>
        </w:tc>
        <w:tc>
          <w:tcPr>
            <w:tcW w:type="dxa" w:w="1587"/>
            <w:vAlign w:val="center"/>
          </w:tcPr>
          <w:p>
            <w:pPr>
              <w:jc w:val="center"/>
            </w:pPr>
            <w:r/>
            <w:r>
              <w:rPr>
                <w:rFonts w:ascii="Calibri" w:hAnsi="Calibri"/>
                <w:b w:val="0"/>
                <w:sz w:val="19"/>
              </w:rPr>
              <w:t>96</w:t>
            </w:r>
          </w:p>
        </w:tc>
        <w:tc>
          <w:tcPr>
            <w:tcW w:type="dxa" w:w="1587"/>
            <w:vAlign w:val="center"/>
          </w:tcPr>
          <w:p>
            <w:pPr>
              <w:jc w:val="center"/>
            </w:pPr>
            <w:r/>
            <w:r>
              <w:rPr>
                <w:rFonts w:ascii="Calibri" w:hAnsi="Calibri"/>
                <w:b w:val="0"/>
                <w:sz w:val="19"/>
              </w:rPr>
              <w:t>MS</w:t>
            </w:r>
          </w:p>
        </w:tc>
        <w:tc>
          <w:tcPr>
            <w:tcW w:type="dxa" w:w="1587"/>
            <w:vAlign w:val="center"/>
          </w:tcPr>
          <w:p>
            <w:pPr>
              <w:jc w:val="center"/>
            </w:pPr>
            <w:r/>
            <w:r>
              <w:rPr>
                <w:rFonts w:ascii="Calibri" w:hAnsi="Calibri"/>
                <w:b w:val="0"/>
                <w:sz w:val="19"/>
              </w:rPr>
              <w:t>97%</w:t>
            </w:r>
          </w:p>
        </w:tc>
      </w:tr>
      <w:tr>
        <w:tc>
          <w:tcPr>
            <w:tcW w:type="dxa" w:w="1587"/>
            <w:vAlign w:val="center"/>
          </w:tcPr>
          <w:p>
            <w:pPr>
              <w:jc w:val="center"/>
            </w:pPr>
            <w:r/>
            <w:r>
              <w:rPr>
                <w:rFonts w:ascii="Calibri" w:hAnsi="Calibri"/>
                <w:b w:val="0"/>
                <w:sz w:val="19"/>
              </w:rPr>
              <w:t>31</w:t>
            </w:r>
          </w:p>
        </w:tc>
        <w:tc>
          <w:tcPr>
            <w:tcW w:type="dxa" w:w="1587"/>
            <w:vAlign w:val="center"/>
          </w:tcPr>
          <w:p>
            <w:pPr>
              <w:jc w:val="center"/>
            </w:pPr>
            <w:r/>
            <w:r>
              <w:rPr>
                <w:rFonts w:ascii="Calibri" w:hAnsi="Calibri"/>
                <w:b w:val="0"/>
                <w:sz w:val="19"/>
              </w:rPr>
              <w:t>Standar MBKM</w:t>
            </w:r>
          </w:p>
        </w:tc>
        <w:tc>
          <w:tcPr>
            <w:tcW w:type="dxa" w:w="1587"/>
            <w:vAlign w:val="center"/>
          </w:tcPr>
          <w:p>
            <w:pPr>
              <w:jc w:val="center"/>
            </w:pPr>
            <w:r/>
            <w:r>
              <w:rPr>
                <w:rFonts w:ascii="Calibri" w:hAnsi="Calibri"/>
                <w:b w:val="0"/>
                <w:sz w:val="19"/>
              </w:rPr>
              <w:t>96</w:t>
            </w:r>
          </w:p>
        </w:tc>
        <w:tc>
          <w:tcPr>
            <w:tcW w:type="dxa" w:w="1587"/>
            <w:vAlign w:val="center"/>
          </w:tcPr>
          <w:p>
            <w:pPr>
              <w:jc w:val="center"/>
            </w:pPr>
            <w:r/>
            <w:r>
              <w:rPr>
                <w:rFonts w:ascii="Calibri" w:hAnsi="Calibri"/>
                <w:b w:val="0"/>
                <w:sz w:val="19"/>
              </w:rPr>
              <w:t>MS</w:t>
            </w:r>
          </w:p>
        </w:tc>
        <w:tc>
          <w:tcPr>
            <w:tcW w:type="dxa" w:w="1587"/>
            <w:vAlign w:val="center"/>
          </w:tcPr>
          <w:p>
            <w:pPr>
              <w:jc w:val="center"/>
            </w:pPr>
            <w:r/>
            <w:r>
              <w:rPr>
                <w:rFonts w:ascii="Calibri" w:hAnsi="Calibri"/>
                <w:b w:val="0"/>
                <w:sz w:val="19"/>
              </w:rPr>
              <w:t>96%</w:t>
            </w:r>
          </w:p>
        </w:tc>
      </w:tr>
      <w:tr>
        <w:tc>
          <w:tcPr>
            <w:tcW w:type="dxa" w:w="1587"/>
            <w:vAlign w:val="center"/>
          </w:tcPr>
          <w:p>
            <w:pPr>
              <w:jc w:val="center"/>
            </w:pPr>
            <w:r/>
            <w:r>
              <w:rPr>
                <w:rFonts w:ascii="Calibri" w:hAnsi="Calibri"/>
                <w:b w:val="0"/>
                <w:sz w:val="19"/>
              </w:rPr>
              <w:t>7</w:t>
            </w:r>
          </w:p>
        </w:tc>
        <w:tc>
          <w:tcPr>
            <w:tcW w:type="dxa" w:w="1587"/>
            <w:vAlign w:val="center"/>
          </w:tcPr>
          <w:p>
            <w:pPr>
              <w:jc w:val="center"/>
            </w:pPr>
            <w:r/>
            <w:r>
              <w:rPr>
                <w:rFonts w:ascii="Calibri" w:hAnsi="Calibri"/>
                <w:b w:val="0"/>
                <w:sz w:val="19"/>
              </w:rPr>
              <w:t>Standar Sarana &amp; Prasarana</w:t>
            </w:r>
          </w:p>
        </w:tc>
        <w:tc>
          <w:tcPr>
            <w:tcW w:type="dxa" w:w="1587"/>
            <w:vAlign w:val="center"/>
          </w:tcPr>
          <w:p>
            <w:pPr>
              <w:jc w:val="center"/>
            </w:pPr>
            <w:r/>
            <w:r>
              <w:rPr>
                <w:rFonts w:ascii="Calibri" w:hAnsi="Calibri"/>
                <w:b w:val="0"/>
                <w:sz w:val="19"/>
              </w:rPr>
              <w:t>95</w:t>
            </w:r>
          </w:p>
        </w:tc>
        <w:tc>
          <w:tcPr>
            <w:tcW w:type="dxa" w:w="1587"/>
            <w:vAlign w:val="center"/>
          </w:tcPr>
          <w:p>
            <w:pPr>
              <w:jc w:val="center"/>
            </w:pPr>
            <w:r/>
            <w:r>
              <w:rPr>
                <w:rFonts w:ascii="Calibri" w:hAnsi="Calibri"/>
                <w:b w:val="0"/>
                <w:sz w:val="19"/>
              </w:rPr>
              <w:t>MS</w:t>
            </w:r>
          </w:p>
        </w:tc>
        <w:tc>
          <w:tcPr>
            <w:tcW w:type="dxa" w:w="1587"/>
            <w:vAlign w:val="center"/>
          </w:tcPr>
          <w:p>
            <w:pPr>
              <w:jc w:val="center"/>
            </w:pPr>
            <w:r/>
            <w:r>
              <w:rPr>
                <w:rFonts w:ascii="Calibri" w:hAnsi="Calibri"/>
                <w:b w:val="0"/>
                <w:sz w:val="19"/>
              </w:rPr>
              <w:t>95%</w:t>
            </w:r>
          </w:p>
        </w:tc>
      </w:tr>
      <w:tr>
        <w:tc>
          <w:tcPr>
            <w:tcW w:type="dxa" w:w="1587"/>
            <w:vAlign w:val="center"/>
          </w:tcPr>
          <w:p>
            <w:pPr>
              <w:jc w:val="center"/>
            </w:pPr>
            <w:r/>
            <w:r>
              <w:rPr>
                <w:rFonts w:ascii="Calibri" w:hAnsi="Calibri"/>
                <w:b w:val="0"/>
                <w:sz w:val="19"/>
              </w:rPr>
              <w:t>8</w:t>
            </w:r>
          </w:p>
        </w:tc>
        <w:tc>
          <w:tcPr>
            <w:tcW w:type="dxa" w:w="1587"/>
            <w:vAlign w:val="center"/>
          </w:tcPr>
          <w:p>
            <w:pPr>
              <w:jc w:val="center"/>
            </w:pPr>
            <w:r/>
            <w:r>
              <w:rPr>
                <w:rFonts w:ascii="Calibri" w:hAnsi="Calibri"/>
                <w:b w:val="0"/>
                <w:sz w:val="19"/>
              </w:rPr>
              <w:t>Standar Pembiayaan</w:t>
            </w:r>
          </w:p>
        </w:tc>
        <w:tc>
          <w:tcPr>
            <w:tcW w:type="dxa" w:w="1587"/>
            <w:vAlign w:val="center"/>
          </w:tcPr>
          <w:p>
            <w:pPr>
              <w:jc w:val="center"/>
            </w:pPr>
            <w:r/>
            <w:r>
              <w:rPr>
                <w:rFonts w:ascii="Calibri" w:hAnsi="Calibri"/>
                <w:b w:val="0"/>
                <w:sz w:val="19"/>
              </w:rPr>
              <w:t>95</w:t>
            </w:r>
          </w:p>
        </w:tc>
        <w:tc>
          <w:tcPr>
            <w:tcW w:type="dxa" w:w="1587"/>
            <w:vAlign w:val="center"/>
          </w:tcPr>
          <w:p>
            <w:pPr>
              <w:jc w:val="center"/>
            </w:pPr>
            <w:r/>
            <w:r>
              <w:rPr>
                <w:rFonts w:ascii="Calibri" w:hAnsi="Calibri"/>
                <w:b w:val="0"/>
                <w:sz w:val="19"/>
              </w:rPr>
              <w:t>MS</w:t>
            </w:r>
          </w:p>
        </w:tc>
        <w:tc>
          <w:tcPr>
            <w:tcW w:type="dxa" w:w="1587"/>
            <w:vAlign w:val="center"/>
          </w:tcPr>
          <w:p>
            <w:pPr>
              <w:jc w:val="center"/>
            </w:pPr>
            <w:r/>
            <w:r>
              <w:rPr>
                <w:rFonts w:ascii="Calibri" w:hAnsi="Calibri"/>
                <w:b w:val="0"/>
                <w:sz w:val="19"/>
              </w:rPr>
              <w:t>95%</w:t>
            </w:r>
          </w:p>
        </w:tc>
      </w:tr>
      <w:tr>
        <w:tc>
          <w:tcPr>
            <w:tcW w:type="dxa" w:w="1587"/>
            <w:vAlign w:val="center"/>
          </w:tcPr>
          <w:p>
            <w:pPr>
              <w:jc w:val="center"/>
            </w:pPr>
            <w:r/>
            <w:r>
              <w:rPr>
                <w:rFonts w:ascii="Calibri" w:hAnsi="Calibri"/>
                <w:b w:val="0"/>
                <w:sz w:val="19"/>
              </w:rPr>
              <w:t>10</w:t>
            </w:r>
          </w:p>
        </w:tc>
        <w:tc>
          <w:tcPr>
            <w:tcW w:type="dxa" w:w="1587"/>
            <w:vAlign w:val="center"/>
          </w:tcPr>
          <w:p>
            <w:pPr>
              <w:jc w:val="center"/>
            </w:pPr>
            <w:r/>
            <w:r>
              <w:rPr>
                <w:rFonts w:ascii="Calibri" w:hAnsi="Calibri"/>
                <w:b w:val="0"/>
                <w:sz w:val="19"/>
              </w:rPr>
              <w:t>Standar Proses Penelitian</w:t>
            </w:r>
          </w:p>
        </w:tc>
        <w:tc>
          <w:tcPr>
            <w:tcW w:type="dxa" w:w="1587"/>
            <w:vAlign w:val="center"/>
          </w:tcPr>
          <w:p>
            <w:pPr>
              <w:jc w:val="center"/>
            </w:pPr>
            <w:r/>
            <w:r>
              <w:rPr>
                <w:rFonts w:ascii="Calibri" w:hAnsi="Calibri"/>
                <w:b w:val="0"/>
                <w:sz w:val="19"/>
              </w:rPr>
              <w:t>95</w:t>
            </w:r>
          </w:p>
        </w:tc>
        <w:tc>
          <w:tcPr>
            <w:tcW w:type="dxa" w:w="1587"/>
            <w:vAlign w:val="center"/>
          </w:tcPr>
          <w:p>
            <w:pPr>
              <w:jc w:val="center"/>
            </w:pPr>
            <w:r/>
            <w:r>
              <w:rPr>
                <w:rFonts w:ascii="Calibri" w:hAnsi="Calibri"/>
                <w:b w:val="0"/>
                <w:sz w:val="19"/>
              </w:rPr>
              <w:t>MS</w:t>
            </w:r>
          </w:p>
        </w:tc>
        <w:tc>
          <w:tcPr>
            <w:tcW w:type="dxa" w:w="1587"/>
            <w:vAlign w:val="center"/>
          </w:tcPr>
          <w:p>
            <w:pPr>
              <w:jc w:val="center"/>
            </w:pPr>
            <w:r/>
            <w:r>
              <w:rPr>
                <w:rFonts w:ascii="Calibri" w:hAnsi="Calibri"/>
                <w:b w:val="0"/>
                <w:sz w:val="19"/>
              </w:rPr>
              <w:t>96%</w:t>
            </w:r>
          </w:p>
        </w:tc>
      </w:tr>
    </w:tbl>
    <w:p>
      <w:r>
        <w:br w:type="page"/>
      </w:r>
    </w:p>
    <w:p>
      <w:pPr>
        <w:keepNext/>
        <w:spacing w:before="360" w:after="160"/>
        <w:jc w:val="center"/>
      </w:pPr>
      <w:r>
        <w:rPr>
          <w:rFonts w:ascii="Calibri" w:hAnsi="Calibri"/>
          <w:b/>
          <w:color w:val="1A3A6E"/>
          <w:sz w:val="40"/>
        </w:rPr>
        <w:t>BAB VI</w:t>
        <w:br/>
        <w:t>KESIMPULAN DAN REKOMENDASI</w:t>
      </w:r>
    </w:p>
    <w:p>
      <w:pPr>
        <w:keepNext/>
        <w:spacing w:before="240" w:after="160"/>
      </w:pPr>
      <w:r>
        <w:rPr>
          <w:rFonts w:ascii="Calibri" w:hAnsi="Calibri"/>
          <w:b/>
          <w:color w:val="1A3A6E"/>
          <w:sz w:val="26"/>
        </w:rPr>
        <w:t>6.1 Kesimpulan</w:t>
      </w:r>
    </w:p>
    <w:p>
      <w:pPr>
        <w:spacing w:after="120" w:line="312" w:lineRule="auto"/>
        <w:ind w:firstLine="567"/>
        <w:jc w:val="both"/>
      </w:pPr>
      <w:r>
        <w:rPr>
          <w:rFonts w:ascii="Calibri" w:hAnsi="Calibri"/>
          <w:b w:val="0"/>
          <w:color w:val="1F2937"/>
          <w:sz w:val="22"/>
        </w:rPr>
        <w:t>Berdasarkan hasil Assessment AMI TA 2024/2025 terhadap 33 Standar SPMI Universitas Tulungagung, dapat disimpulkan bahwa:</w:t>
      </w:r>
    </w:p>
    <w:p>
      <w:pPr>
        <w:pStyle w:val="ListBullet"/>
        <w:spacing w:after="60" w:line="312" w:lineRule="auto"/>
        <w:ind w:left="567"/>
      </w:pPr>
      <w:r>
        <w:rPr>
          <w:rFonts w:ascii="Calibri" w:hAnsi="Calibri"/>
          <w:sz w:val="22"/>
        </w:rPr>
        <w:t>Rata-rata skor AMI institusi mencapai 90.8/100 yang masuk kategori "Mencapai Standar" (MS). Capaian ini menunjukkan bahwa sistem penjaminan mutu internal Universitas Tulungagung telah berjalan efektif.</w:t>
      </w:r>
    </w:p>
    <w:p>
      <w:pPr>
        <w:pStyle w:val="ListBullet"/>
        <w:spacing w:after="60" w:line="312" w:lineRule="auto"/>
        <w:ind w:left="567"/>
      </w:pPr>
      <w:r>
        <w:rPr>
          <w:rFonts w:ascii="Calibri" w:hAnsi="Calibri"/>
          <w:sz w:val="22"/>
        </w:rPr>
        <w:t>Sebanyak 32 dari 33 standar (97.0%) telah Mencapai atau Melampaui Standar, sementara 1 standar masih Belum mencapai Standar dan memerlukan tindak lanjut.</w:t>
      </w:r>
    </w:p>
    <w:p>
      <w:pPr>
        <w:pStyle w:val="ListBullet"/>
        <w:spacing w:after="60" w:line="312" w:lineRule="auto"/>
        <w:ind w:left="567"/>
      </w:pPr>
      <w:r>
        <w:rPr>
          <w:rFonts w:ascii="Calibri" w:hAnsi="Calibri"/>
          <w:sz w:val="22"/>
        </w:rPr>
        <w:t>Total 121 temuan dengan 78 PTK teridentifikasi, dengan rata-rata tindak lanjut 91.1% yang menunjukkan komitmen tinggi dalam penyelesaian temuan.</w:t>
      </w:r>
    </w:p>
    <w:p>
      <w:pPr>
        <w:pStyle w:val="ListBullet"/>
        <w:spacing w:after="60" w:line="312" w:lineRule="auto"/>
        <w:ind w:left="567"/>
      </w:pPr>
      <w:r>
        <w:rPr>
          <w:rFonts w:ascii="Calibri" w:hAnsi="Calibri"/>
          <w:sz w:val="22"/>
        </w:rPr>
        <w:t>Standar Pendidikan dan Penelitian menunjukkan capaian terbaik dengan mayoritas standar MS/ML, sementara Standar Tambahan (khususnya Kerjasama) memerlukan penguatan.</w:t>
      </w:r>
    </w:p>
    <w:p>
      <w:pPr>
        <w:pStyle w:val="ListBullet"/>
        <w:spacing w:after="60" w:line="312" w:lineRule="auto"/>
        <w:ind w:left="567"/>
      </w:pPr>
      <w:r>
        <w:rPr>
          <w:rFonts w:ascii="Calibri" w:hAnsi="Calibri"/>
          <w:sz w:val="22"/>
        </w:rPr>
        <w:t>Tidak ada standar yang menyimpang dari standar (MSV), yang berarti seluruh standar telah berjalan sesuai koridor yang ditetapkan.</w:t>
      </w:r>
    </w:p>
    <w:p>
      <w:pPr>
        <w:keepNext/>
        <w:spacing w:before="240" w:after="160"/>
      </w:pPr>
      <w:r>
        <w:rPr>
          <w:rFonts w:ascii="Calibri" w:hAnsi="Calibri"/>
          <w:b/>
          <w:color w:val="1A3A6E"/>
          <w:sz w:val="26"/>
        </w:rPr>
        <w:t>6.2 Rekomendasi Tindak Lanjut Prioritas</w:t>
      </w:r>
    </w:p>
    <w:p>
      <w:pPr>
        <w:spacing w:after="120" w:line="312" w:lineRule="auto"/>
        <w:ind w:firstLine="567"/>
        <w:jc w:val="both"/>
      </w:pPr>
      <w:r>
        <w:rPr>
          <w:rFonts w:ascii="Calibri" w:hAnsi="Calibri"/>
          <w:b w:val="0"/>
          <w:color w:val="1F2937"/>
          <w:sz w:val="22"/>
        </w:rPr>
        <w:t>Berdasarkan analisis temuan, berikut rekomendasi tindak lanjut prioritas untuk tahap Pengendalian dan Peningkatan siklus PPEPP:</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fill="1A3A6E"/>
            <w:vAlign w:val="center"/>
          </w:tcPr>
          <w:p>
            <w:pPr>
              <w:jc w:val="center"/>
            </w:pPr>
            <w:r/>
            <w:r>
              <w:rPr>
                <w:rFonts w:ascii="Calibri" w:hAnsi="Calibri"/>
                <w:b/>
                <w:color w:val="FFFFFF"/>
                <w:sz w:val="20"/>
              </w:rPr>
              <w:t>Prioritas</w:t>
            </w:r>
          </w:p>
        </w:tc>
        <w:tc>
          <w:tcPr>
            <w:tcW w:type="dxa" w:w="1984"/>
            <w:shd w:fill="1A3A6E"/>
            <w:vAlign w:val="center"/>
          </w:tcPr>
          <w:p>
            <w:pPr>
              <w:jc w:val="center"/>
            </w:pPr>
            <w:r/>
            <w:r>
              <w:rPr>
                <w:rFonts w:ascii="Calibri" w:hAnsi="Calibri"/>
                <w:b/>
                <w:color w:val="FFFFFF"/>
                <w:sz w:val="20"/>
              </w:rPr>
              <w:t>Standar</w:t>
            </w:r>
          </w:p>
        </w:tc>
        <w:tc>
          <w:tcPr>
            <w:tcW w:type="dxa" w:w="1984"/>
            <w:shd w:fill="1A3A6E"/>
            <w:vAlign w:val="center"/>
          </w:tcPr>
          <w:p>
            <w:pPr>
              <w:jc w:val="center"/>
            </w:pPr>
            <w:r/>
            <w:r>
              <w:rPr>
                <w:rFonts w:ascii="Calibri" w:hAnsi="Calibri"/>
                <w:b/>
                <w:color w:val="FFFFFF"/>
                <w:sz w:val="20"/>
              </w:rPr>
              <w:t>Isu</w:t>
            </w:r>
          </w:p>
        </w:tc>
        <w:tc>
          <w:tcPr>
            <w:tcW w:type="dxa" w:w="1984"/>
            <w:shd w:fill="1A3A6E"/>
            <w:vAlign w:val="center"/>
          </w:tcPr>
          <w:p>
            <w:pPr>
              <w:jc w:val="center"/>
            </w:pPr>
            <w:r/>
            <w:r>
              <w:rPr>
                <w:rFonts w:ascii="Calibri" w:hAnsi="Calibri"/>
                <w:b/>
                <w:color w:val="FFFFFF"/>
                <w:sz w:val="20"/>
              </w:rPr>
              <w:t>Rekomendasi</w:t>
            </w:r>
          </w:p>
        </w:tc>
      </w:tr>
      <w:tr>
        <w:tc>
          <w:tcPr>
            <w:tcW w:type="dxa" w:w="1984"/>
            <w:vAlign w:val="center"/>
          </w:tcPr>
          <w:p>
            <w:r/>
            <w:r>
              <w:rPr>
                <w:rFonts w:ascii="Calibri" w:hAnsi="Calibri"/>
                <w:b w:val="0"/>
                <w:sz w:val="19"/>
              </w:rPr>
              <w:t>1</w:t>
            </w:r>
          </w:p>
        </w:tc>
        <w:tc>
          <w:tcPr>
            <w:tcW w:type="dxa" w:w="1984"/>
            <w:vAlign w:val="center"/>
          </w:tcPr>
          <w:p>
            <w:r/>
            <w:r>
              <w:rPr>
                <w:rFonts w:ascii="Calibri" w:hAnsi="Calibri"/>
                <w:b w:val="0"/>
                <w:sz w:val="19"/>
              </w:rPr>
              <w:t>Standar Kerjasama (KJS)</w:t>
            </w:r>
          </w:p>
        </w:tc>
        <w:tc>
          <w:tcPr>
            <w:tcW w:type="dxa" w:w="1984"/>
            <w:vAlign w:val="center"/>
          </w:tcPr>
          <w:p>
            <w:r/>
            <w:r>
              <w:rPr>
                <w:rFonts w:ascii="Calibri" w:hAnsi="Calibri"/>
                <w:b w:val="0"/>
                <w:sz w:val="19"/>
              </w:rPr>
              <w:t>Skor 80 (BS), 8 temuan, 5 PTK</w:t>
            </w:r>
          </w:p>
        </w:tc>
        <w:tc>
          <w:tcPr>
            <w:tcW w:type="dxa" w:w="1984"/>
            <w:vAlign w:val="center"/>
          </w:tcPr>
          <w:p>
            <w:r/>
            <w:r>
              <w:rPr>
                <w:rFonts w:ascii="Calibri" w:hAnsi="Calibri"/>
                <w:b w:val="0"/>
                <w:sz w:val="19"/>
              </w:rPr>
              <w:t>Menyusun AMI khusus Kerjasama, memperluas MoU/MoA dengan DUDI, meningkatkan implementasi kerjasama Tridharma</w:t>
            </w:r>
          </w:p>
        </w:tc>
      </w:tr>
      <w:tr>
        <w:tc>
          <w:tcPr>
            <w:tcW w:type="dxa" w:w="1984"/>
            <w:vAlign w:val="center"/>
          </w:tcPr>
          <w:p>
            <w:r/>
            <w:r>
              <w:rPr>
                <w:rFonts w:ascii="Calibri" w:hAnsi="Calibri"/>
                <w:b w:val="0"/>
                <w:sz w:val="19"/>
              </w:rPr>
              <w:t>2</w:t>
            </w:r>
          </w:p>
        </w:tc>
        <w:tc>
          <w:tcPr>
            <w:tcW w:type="dxa" w:w="1984"/>
            <w:vAlign w:val="center"/>
          </w:tcPr>
          <w:p>
            <w:r/>
            <w:r>
              <w:rPr>
                <w:rFonts w:ascii="Calibri" w:hAnsi="Calibri"/>
                <w:b w:val="0"/>
                <w:sz w:val="19"/>
              </w:rPr>
              <w:t>Standar Dosen &amp; Tendik (SDT)</w:t>
            </w:r>
          </w:p>
        </w:tc>
        <w:tc>
          <w:tcPr>
            <w:tcW w:type="dxa" w:w="1984"/>
            <w:vAlign w:val="center"/>
          </w:tcPr>
          <w:p>
            <w:r/>
            <w:r>
              <w:rPr>
                <w:rFonts w:ascii="Calibri" w:hAnsi="Calibri"/>
                <w:b w:val="0"/>
                <w:sz w:val="19"/>
              </w:rPr>
              <w:t>Sertifikasi pendidik 94,6% (belum 100%)</w:t>
            </w:r>
          </w:p>
        </w:tc>
        <w:tc>
          <w:tcPr>
            <w:tcW w:type="dxa" w:w="1984"/>
            <w:vAlign w:val="center"/>
          </w:tcPr>
          <w:p>
            <w:r/>
            <w:r>
              <w:rPr>
                <w:rFonts w:ascii="Calibri" w:hAnsi="Calibri"/>
                <w:b w:val="0"/>
                <w:sz w:val="19"/>
              </w:rPr>
              <w:t>Mempercepat sertifikasi dosen, peningkatan kualifikasi S2/S3 tendik</w:t>
            </w:r>
          </w:p>
        </w:tc>
      </w:tr>
      <w:tr>
        <w:tc>
          <w:tcPr>
            <w:tcW w:type="dxa" w:w="1984"/>
            <w:vAlign w:val="center"/>
          </w:tcPr>
          <w:p>
            <w:r/>
            <w:r>
              <w:rPr>
                <w:rFonts w:ascii="Calibri" w:hAnsi="Calibri"/>
                <w:b w:val="0"/>
                <w:sz w:val="19"/>
              </w:rPr>
              <w:t>3</w:t>
            </w:r>
          </w:p>
        </w:tc>
        <w:tc>
          <w:tcPr>
            <w:tcW w:type="dxa" w:w="1984"/>
            <w:vAlign w:val="center"/>
          </w:tcPr>
          <w:p>
            <w:r/>
            <w:r>
              <w:rPr>
                <w:rFonts w:ascii="Calibri" w:hAnsi="Calibri"/>
                <w:b w:val="0"/>
                <w:sz w:val="19"/>
              </w:rPr>
              <w:t>Standar Isi (SIS)</w:t>
            </w:r>
          </w:p>
        </w:tc>
        <w:tc>
          <w:tcPr>
            <w:tcW w:type="dxa" w:w="1984"/>
            <w:vAlign w:val="center"/>
          </w:tcPr>
          <w:p>
            <w:r/>
            <w:r>
              <w:rPr>
                <w:rFonts w:ascii="Calibri" w:hAnsi="Calibri"/>
                <w:b w:val="0"/>
                <w:sz w:val="19"/>
              </w:rPr>
              <w:t>OBE belum konsisten di semua prodi</w:t>
            </w:r>
          </w:p>
        </w:tc>
        <w:tc>
          <w:tcPr>
            <w:tcW w:type="dxa" w:w="1984"/>
            <w:vAlign w:val="center"/>
          </w:tcPr>
          <w:p>
            <w:r/>
            <w:r>
              <w:rPr>
                <w:rFonts w:ascii="Calibri" w:hAnsi="Calibri"/>
                <w:b w:val="0"/>
                <w:sz w:val="19"/>
              </w:rPr>
              <w:t>Pelatihan OBE menyeluruh, konsistensi rubrik penilaian berbasis OBE</w:t>
            </w:r>
          </w:p>
        </w:tc>
      </w:tr>
      <w:tr>
        <w:tc>
          <w:tcPr>
            <w:tcW w:type="dxa" w:w="1984"/>
            <w:vAlign w:val="center"/>
          </w:tcPr>
          <w:p>
            <w:r/>
            <w:r>
              <w:rPr>
                <w:rFonts w:ascii="Calibri" w:hAnsi="Calibri"/>
                <w:b w:val="0"/>
                <w:sz w:val="19"/>
              </w:rPr>
              <w:t>4</w:t>
            </w:r>
          </w:p>
        </w:tc>
        <w:tc>
          <w:tcPr>
            <w:tcW w:type="dxa" w:w="1984"/>
            <w:vAlign w:val="center"/>
          </w:tcPr>
          <w:p>
            <w:r/>
            <w:r>
              <w:rPr>
                <w:rFonts w:ascii="Calibri" w:hAnsi="Calibri"/>
                <w:b w:val="0"/>
                <w:sz w:val="19"/>
              </w:rPr>
              <w:t>Standar Penilaian (SPN)</w:t>
            </w:r>
          </w:p>
        </w:tc>
        <w:tc>
          <w:tcPr>
            <w:tcW w:type="dxa" w:w="1984"/>
            <w:vAlign w:val="center"/>
          </w:tcPr>
          <w:p>
            <w:r/>
            <w:r>
              <w:rPr>
                <w:rFonts w:ascii="Calibri" w:hAnsi="Calibri"/>
                <w:b w:val="0"/>
                <w:sz w:val="19"/>
              </w:rPr>
              <w:t>Rubrik OBE belum seragam</w:t>
            </w:r>
          </w:p>
        </w:tc>
        <w:tc>
          <w:tcPr>
            <w:tcW w:type="dxa" w:w="1984"/>
            <w:vAlign w:val="center"/>
          </w:tcPr>
          <w:p>
            <w:r/>
            <w:r>
              <w:rPr>
                <w:rFonts w:ascii="Calibri" w:hAnsi="Calibri"/>
                <w:b w:val="0"/>
                <w:sz w:val="19"/>
              </w:rPr>
              <w:t>Standardisasi rubrik penilaian, pelatihan teknis untuk dosen</w:t>
            </w:r>
          </w:p>
        </w:tc>
      </w:tr>
      <w:tr>
        <w:tc>
          <w:tcPr>
            <w:tcW w:type="dxa" w:w="1984"/>
            <w:vAlign w:val="center"/>
          </w:tcPr>
          <w:p>
            <w:r/>
            <w:r>
              <w:rPr>
                <w:rFonts w:ascii="Calibri" w:hAnsi="Calibri"/>
                <w:b w:val="0"/>
                <w:sz w:val="19"/>
              </w:rPr>
              <w:t>5</w:t>
            </w:r>
          </w:p>
        </w:tc>
        <w:tc>
          <w:tcPr>
            <w:tcW w:type="dxa" w:w="1984"/>
            <w:vAlign w:val="center"/>
          </w:tcPr>
          <w:p>
            <w:r/>
            <w:r>
              <w:rPr>
                <w:rFonts w:ascii="Calibri" w:hAnsi="Calibri"/>
                <w:b w:val="0"/>
                <w:sz w:val="19"/>
              </w:rPr>
              <w:t>Standar Pengelolaan (SPP)</w:t>
            </w:r>
          </w:p>
        </w:tc>
        <w:tc>
          <w:tcPr>
            <w:tcW w:type="dxa" w:w="1984"/>
            <w:vAlign w:val="center"/>
          </w:tcPr>
          <w:p>
            <w:r/>
            <w:r>
              <w:rPr>
                <w:rFonts w:ascii="Calibri" w:hAnsi="Calibri"/>
                <w:b w:val="0"/>
                <w:sz w:val="19"/>
              </w:rPr>
              <w:t>Dashboard SPMI perlu pengembangan</w:t>
            </w:r>
          </w:p>
        </w:tc>
        <w:tc>
          <w:tcPr>
            <w:tcW w:type="dxa" w:w="1984"/>
            <w:vAlign w:val="center"/>
          </w:tcPr>
          <w:p>
            <w:r/>
            <w:r>
              <w:rPr>
                <w:rFonts w:ascii="Calibri" w:hAnsi="Calibri"/>
                <w:b w:val="0"/>
                <w:sz w:val="19"/>
              </w:rPr>
              <w:t>Pengembangan fitur dashboard SPMI, integrasi dengan SIAKAD</w:t>
            </w:r>
          </w:p>
        </w:tc>
      </w:tr>
    </w:tbl>
    <w:p/>
    <w:p>
      <w:pPr>
        <w:keepNext/>
        <w:spacing w:before="240" w:after="160"/>
      </w:pPr>
      <w:r>
        <w:rPr>
          <w:rFonts w:ascii="Calibri" w:hAnsi="Calibri"/>
          <w:b/>
          <w:color w:val="1A3A6E"/>
          <w:sz w:val="26"/>
        </w:rPr>
        <w:t>6.3 Penutup</w:t>
      </w:r>
    </w:p>
    <w:p>
      <w:pPr>
        <w:spacing w:after="120" w:line="312" w:lineRule="auto"/>
        <w:ind w:firstLine="567"/>
        <w:jc w:val="both"/>
      </w:pPr>
      <w:r>
        <w:rPr>
          <w:rFonts w:ascii="Calibri" w:hAnsi="Calibri"/>
          <w:b w:val="0"/>
          <w:color w:val="1F2937"/>
          <w:sz w:val="22"/>
        </w:rPr>
        <w:t>Laporan Hasil Pelaksanaan dan Evaluasi Assessment AMI TA 2024/2025 ini menjadi dasar bagi pimpinan Universitas Tulungagung untuk mengambil kebijakan strategis dalam tahap Pengendalian (P) dan Peningkatan (P) siklus PPEPP. Hasil assessment menunjukkan bahwa sistem penjaminan mutu internal Universitas Tulungagung telah berjalan dengan baik dengan rata-rata skor di atas standar yang ditetapkan. Tindak lanjut terhadap temuan dan PTK akan dilaksanakan melalui Rencana Tindak Lanjut (RTL) yang dibahas dalam Rapat Tinjauan Manajemen (RTM).</w:t>
      </w:r>
    </w:p>
    <w:p>
      <w:pPr>
        <w:spacing w:after="120" w:line="312" w:lineRule="auto"/>
        <w:ind w:firstLine="567"/>
        <w:jc w:val="both"/>
      </w:pPr>
      <w:r>
        <w:rPr>
          <w:rFonts w:ascii="Calibri" w:hAnsi="Calibri"/>
          <w:b w:val="0"/>
          <w:color w:val="1F2937"/>
          <w:sz w:val="22"/>
        </w:rPr>
        <w:t>Pusat Penjaminan Mutu Universitas Tulungagung berkomitmen untuk terus meningkatkan kualitas penyelenggaraan Tridharma Perguruan Tinggi melalui siklus PPEPP yang berkelanjutan, sejalan dengan amanat Permen 39/2025 dan Renstra Universitas Tulungagung 2025-2030.</w:t>
      </w:r>
    </w:p>
    <w:p>
      <w:r>
        <w:br w:type="page"/>
      </w:r>
    </w:p>
    <w:p>
      <w:pPr>
        <w:keepNext/>
        <w:spacing w:before="360" w:after="160"/>
        <w:jc w:val="center"/>
      </w:pPr>
      <w:r>
        <w:rPr>
          <w:rFonts w:ascii="Calibri" w:hAnsi="Calibri"/>
          <w:b/>
          <w:color w:val="1A3A6E"/>
          <w:sz w:val="36"/>
        </w:rPr>
        <w:t>LAMPIRAN</w:t>
        <w:br/>
        <w:t>DAFTAR DOKUMEN AMI 2024-2025</w:t>
      </w:r>
    </w:p>
    <w:p>
      <w:pPr>
        <w:spacing w:after="120" w:line="312" w:lineRule="auto"/>
        <w:ind w:firstLine="567"/>
        <w:jc w:val="both"/>
      </w:pPr>
      <w:r>
        <w:rPr>
          <w:rFonts w:ascii="Calibri" w:hAnsi="Calibri"/>
          <w:b w:val="0"/>
          <w:color w:val="1F2937"/>
          <w:sz w:val="22"/>
        </w:rPr>
        <w:t>Berikut daftar lengkap 15 dokumen AMI TA 2024/2025 yang menjadi sumber data Assessment ini:</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fill="1A3A6E"/>
            <w:vAlign w:val="center"/>
          </w:tcPr>
          <w:p>
            <w:pPr>
              <w:jc w:val="center"/>
            </w:pPr>
            <w:r/>
            <w:r>
              <w:rPr>
                <w:rFonts w:ascii="Calibri" w:hAnsi="Calibri"/>
                <w:b/>
                <w:color w:val="FFFFFF"/>
                <w:sz w:val="20"/>
              </w:rPr>
              <w:t>No</w:t>
            </w:r>
          </w:p>
        </w:tc>
        <w:tc>
          <w:tcPr>
            <w:tcW w:type="dxa" w:w="1984"/>
            <w:shd w:fill="1A3A6E"/>
            <w:vAlign w:val="center"/>
          </w:tcPr>
          <w:p>
            <w:pPr>
              <w:jc w:val="center"/>
            </w:pPr>
            <w:r/>
            <w:r>
              <w:rPr>
                <w:rFonts w:ascii="Calibri" w:hAnsi="Calibri"/>
                <w:b/>
                <w:color w:val="FFFFFF"/>
                <w:sz w:val="20"/>
              </w:rPr>
              <w:t>Nama Dokumen AMI</w:t>
            </w:r>
          </w:p>
        </w:tc>
        <w:tc>
          <w:tcPr>
            <w:tcW w:type="dxa" w:w="1984"/>
            <w:shd w:fill="1A3A6E"/>
            <w:vAlign w:val="center"/>
          </w:tcPr>
          <w:p>
            <w:pPr>
              <w:jc w:val="center"/>
            </w:pPr>
            <w:r/>
            <w:r>
              <w:rPr>
                <w:rFonts w:ascii="Calibri" w:hAnsi="Calibri"/>
                <w:b/>
                <w:color w:val="FFFFFF"/>
                <w:sz w:val="20"/>
              </w:rPr>
              <w:t>Kode Dokumen</w:t>
            </w:r>
          </w:p>
        </w:tc>
        <w:tc>
          <w:tcPr>
            <w:tcW w:type="dxa" w:w="1984"/>
            <w:shd w:fill="1A3A6E"/>
            <w:vAlign w:val="center"/>
          </w:tcPr>
          <w:p>
            <w:pPr>
              <w:jc w:val="center"/>
            </w:pPr>
            <w:r/>
            <w:r>
              <w:rPr>
                <w:rFonts w:ascii="Calibri" w:hAnsi="Calibri"/>
                <w:b/>
                <w:color w:val="FFFFFF"/>
                <w:sz w:val="20"/>
              </w:rPr>
              <w:t>Tanggal Audit</w:t>
            </w:r>
          </w:p>
        </w:tc>
      </w:tr>
      <w:tr>
        <w:tc>
          <w:tcPr>
            <w:tcW w:type="dxa" w:w="1984"/>
            <w:vAlign w:val="center"/>
          </w:tcPr>
          <w:p>
            <w:r/>
            <w:r>
              <w:rPr>
                <w:rFonts w:ascii="Calibri" w:hAnsi="Calibri"/>
                <w:b w:val="0"/>
                <w:sz w:val="19"/>
              </w:rPr>
              <w:t>1</w:t>
            </w:r>
          </w:p>
        </w:tc>
        <w:tc>
          <w:tcPr>
            <w:tcW w:type="dxa" w:w="1984"/>
            <w:vAlign w:val="center"/>
          </w:tcPr>
          <w:p>
            <w:r/>
            <w:r>
              <w:rPr>
                <w:rFonts w:ascii="Calibri" w:hAnsi="Calibri"/>
                <w:b w:val="0"/>
                <w:sz w:val="19"/>
              </w:rPr>
              <w:t>AMI Pendidikan 2024-2025</w:t>
            </w:r>
          </w:p>
        </w:tc>
        <w:tc>
          <w:tcPr>
            <w:tcW w:type="dxa" w:w="1984"/>
            <w:vAlign w:val="center"/>
          </w:tcPr>
          <w:p>
            <w:r/>
            <w:r>
              <w:rPr>
                <w:rFonts w:ascii="Calibri" w:hAnsi="Calibri"/>
                <w:b w:val="0"/>
                <w:sz w:val="19"/>
              </w:rPr>
              <w:t>SPMI/PPM/MONEV/PEND/2025</w:t>
            </w:r>
          </w:p>
        </w:tc>
        <w:tc>
          <w:tcPr>
            <w:tcW w:type="dxa" w:w="1984"/>
            <w:vAlign w:val="center"/>
          </w:tcPr>
          <w:p>
            <w:r/>
            <w:r>
              <w:rPr>
                <w:rFonts w:ascii="Calibri" w:hAnsi="Calibri"/>
                <w:b w:val="0"/>
                <w:sz w:val="19"/>
              </w:rPr>
              <w:t>TA 2024-2025</w:t>
            </w:r>
          </w:p>
        </w:tc>
      </w:tr>
      <w:tr>
        <w:tc>
          <w:tcPr>
            <w:tcW w:type="dxa" w:w="1984"/>
            <w:vAlign w:val="center"/>
          </w:tcPr>
          <w:p>
            <w:r/>
            <w:r>
              <w:rPr>
                <w:rFonts w:ascii="Calibri" w:hAnsi="Calibri"/>
                <w:b w:val="0"/>
                <w:sz w:val="19"/>
              </w:rPr>
              <w:t>2</w:t>
            </w:r>
          </w:p>
        </w:tc>
        <w:tc>
          <w:tcPr>
            <w:tcW w:type="dxa" w:w="1984"/>
            <w:vAlign w:val="center"/>
          </w:tcPr>
          <w:p>
            <w:r/>
            <w:r>
              <w:rPr>
                <w:rFonts w:ascii="Calibri" w:hAnsi="Calibri"/>
                <w:b w:val="0"/>
                <w:sz w:val="19"/>
              </w:rPr>
              <w:t>AMI Proses Pembelajaran Ganjil 2024-2025</w:t>
            </w:r>
          </w:p>
        </w:tc>
        <w:tc>
          <w:tcPr>
            <w:tcW w:type="dxa" w:w="1984"/>
            <w:vAlign w:val="center"/>
          </w:tcPr>
          <w:p>
            <w:r/>
            <w:r>
              <w:rPr>
                <w:rFonts w:ascii="Calibri" w:hAnsi="Calibri"/>
                <w:b w:val="0"/>
                <w:sz w:val="19"/>
              </w:rPr>
              <w:t>SPMI/PPM/MONEV/SPB-G/2025</w:t>
            </w:r>
          </w:p>
        </w:tc>
        <w:tc>
          <w:tcPr>
            <w:tcW w:type="dxa" w:w="1984"/>
            <w:vAlign w:val="center"/>
          </w:tcPr>
          <w:p>
            <w:r/>
            <w:r>
              <w:rPr>
                <w:rFonts w:ascii="Calibri" w:hAnsi="Calibri"/>
                <w:b w:val="0"/>
                <w:sz w:val="19"/>
              </w:rPr>
              <w:t>Ganjil 2024</w:t>
            </w:r>
          </w:p>
        </w:tc>
      </w:tr>
      <w:tr>
        <w:tc>
          <w:tcPr>
            <w:tcW w:type="dxa" w:w="1984"/>
            <w:vAlign w:val="center"/>
          </w:tcPr>
          <w:p>
            <w:r/>
            <w:r>
              <w:rPr>
                <w:rFonts w:ascii="Calibri" w:hAnsi="Calibri"/>
                <w:b w:val="0"/>
                <w:sz w:val="19"/>
              </w:rPr>
              <w:t>3</w:t>
            </w:r>
          </w:p>
        </w:tc>
        <w:tc>
          <w:tcPr>
            <w:tcW w:type="dxa" w:w="1984"/>
            <w:vAlign w:val="center"/>
          </w:tcPr>
          <w:p>
            <w:r/>
            <w:r>
              <w:rPr>
                <w:rFonts w:ascii="Calibri" w:hAnsi="Calibri"/>
                <w:b w:val="0"/>
                <w:sz w:val="19"/>
              </w:rPr>
              <w:t>AMI Proses Pembelajaran Genap 2024-2025</w:t>
            </w:r>
          </w:p>
        </w:tc>
        <w:tc>
          <w:tcPr>
            <w:tcW w:type="dxa" w:w="1984"/>
            <w:vAlign w:val="center"/>
          </w:tcPr>
          <w:p>
            <w:r/>
            <w:r>
              <w:rPr>
                <w:rFonts w:ascii="Calibri" w:hAnsi="Calibri"/>
                <w:b w:val="0"/>
                <w:sz w:val="19"/>
              </w:rPr>
              <w:t>SPMI/PPM/MONEV/SPB-GN/2025</w:t>
            </w:r>
          </w:p>
        </w:tc>
        <w:tc>
          <w:tcPr>
            <w:tcW w:type="dxa" w:w="1984"/>
            <w:vAlign w:val="center"/>
          </w:tcPr>
          <w:p>
            <w:r/>
            <w:r>
              <w:rPr>
                <w:rFonts w:ascii="Calibri" w:hAnsi="Calibri"/>
                <w:b w:val="0"/>
                <w:sz w:val="19"/>
              </w:rPr>
              <w:t>Genap 2025</w:t>
            </w:r>
          </w:p>
        </w:tc>
      </w:tr>
      <w:tr>
        <w:tc>
          <w:tcPr>
            <w:tcW w:type="dxa" w:w="1984"/>
            <w:vAlign w:val="center"/>
          </w:tcPr>
          <w:p>
            <w:r/>
            <w:r>
              <w:rPr>
                <w:rFonts w:ascii="Calibri" w:hAnsi="Calibri"/>
                <w:b w:val="0"/>
                <w:sz w:val="19"/>
              </w:rPr>
              <w:t>4</w:t>
            </w:r>
          </w:p>
        </w:tc>
        <w:tc>
          <w:tcPr>
            <w:tcW w:type="dxa" w:w="1984"/>
            <w:vAlign w:val="center"/>
          </w:tcPr>
          <w:p>
            <w:r/>
            <w:r>
              <w:rPr>
                <w:rFonts w:ascii="Calibri" w:hAnsi="Calibri"/>
                <w:b w:val="0"/>
                <w:sz w:val="19"/>
              </w:rPr>
              <w:t>AMI SDM 2024-2025</w:t>
            </w:r>
          </w:p>
        </w:tc>
        <w:tc>
          <w:tcPr>
            <w:tcW w:type="dxa" w:w="1984"/>
            <w:vAlign w:val="center"/>
          </w:tcPr>
          <w:p>
            <w:r/>
            <w:r>
              <w:rPr>
                <w:rFonts w:ascii="Calibri" w:hAnsi="Calibri"/>
                <w:b w:val="0"/>
                <w:sz w:val="19"/>
              </w:rPr>
              <w:t>SPMI/PPM/MONEV/SDM/2025</w:t>
            </w:r>
          </w:p>
        </w:tc>
        <w:tc>
          <w:tcPr>
            <w:tcW w:type="dxa" w:w="1984"/>
            <w:vAlign w:val="center"/>
          </w:tcPr>
          <w:p>
            <w:r/>
            <w:r>
              <w:rPr>
                <w:rFonts w:ascii="Calibri" w:hAnsi="Calibri"/>
                <w:b w:val="0"/>
                <w:sz w:val="19"/>
              </w:rPr>
              <w:t>TA 2024-2025</w:t>
            </w:r>
          </w:p>
        </w:tc>
      </w:tr>
      <w:tr>
        <w:tc>
          <w:tcPr>
            <w:tcW w:type="dxa" w:w="1984"/>
            <w:vAlign w:val="center"/>
          </w:tcPr>
          <w:p>
            <w:r/>
            <w:r>
              <w:rPr>
                <w:rFonts w:ascii="Calibri" w:hAnsi="Calibri"/>
                <w:b w:val="0"/>
                <w:sz w:val="19"/>
              </w:rPr>
              <w:t>5</w:t>
            </w:r>
          </w:p>
        </w:tc>
        <w:tc>
          <w:tcPr>
            <w:tcW w:type="dxa" w:w="1984"/>
            <w:vAlign w:val="center"/>
          </w:tcPr>
          <w:p>
            <w:r/>
            <w:r>
              <w:rPr>
                <w:rFonts w:ascii="Calibri" w:hAnsi="Calibri"/>
                <w:b w:val="0"/>
                <w:sz w:val="19"/>
              </w:rPr>
              <w:t>AMI Kesejahteraan 2024-2025</w:t>
            </w:r>
          </w:p>
        </w:tc>
        <w:tc>
          <w:tcPr>
            <w:tcW w:type="dxa" w:w="1984"/>
            <w:vAlign w:val="center"/>
          </w:tcPr>
          <w:p>
            <w:r/>
            <w:r>
              <w:rPr>
                <w:rFonts w:ascii="Calibri" w:hAnsi="Calibri"/>
                <w:b w:val="0"/>
                <w:sz w:val="19"/>
              </w:rPr>
              <w:t>SPMI/PPM/MONEV/KSJH/2025</w:t>
            </w:r>
          </w:p>
        </w:tc>
        <w:tc>
          <w:tcPr>
            <w:tcW w:type="dxa" w:w="1984"/>
            <w:vAlign w:val="center"/>
          </w:tcPr>
          <w:p>
            <w:r/>
            <w:r>
              <w:rPr>
                <w:rFonts w:ascii="Calibri" w:hAnsi="Calibri"/>
                <w:b w:val="0"/>
                <w:sz w:val="19"/>
              </w:rPr>
              <w:t>TA 2024-2025</w:t>
            </w:r>
          </w:p>
        </w:tc>
      </w:tr>
      <w:tr>
        <w:tc>
          <w:tcPr>
            <w:tcW w:type="dxa" w:w="1984"/>
            <w:vAlign w:val="center"/>
          </w:tcPr>
          <w:p>
            <w:r/>
            <w:r>
              <w:rPr>
                <w:rFonts w:ascii="Calibri" w:hAnsi="Calibri"/>
                <w:b w:val="0"/>
                <w:sz w:val="19"/>
              </w:rPr>
              <w:t>6</w:t>
            </w:r>
          </w:p>
        </w:tc>
        <w:tc>
          <w:tcPr>
            <w:tcW w:type="dxa" w:w="1984"/>
            <w:vAlign w:val="center"/>
          </w:tcPr>
          <w:p>
            <w:r/>
            <w:r>
              <w:rPr>
                <w:rFonts w:ascii="Calibri" w:hAnsi="Calibri"/>
                <w:b w:val="0"/>
                <w:sz w:val="19"/>
              </w:rPr>
              <w:t>AMI Keuangan 2024-2025</w:t>
            </w:r>
          </w:p>
        </w:tc>
        <w:tc>
          <w:tcPr>
            <w:tcW w:type="dxa" w:w="1984"/>
            <w:vAlign w:val="center"/>
          </w:tcPr>
          <w:p>
            <w:r/>
            <w:r>
              <w:rPr>
                <w:rFonts w:ascii="Calibri" w:hAnsi="Calibri"/>
                <w:b w:val="0"/>
                <w:sz w:val="19"/>
              </w:rPr>
              <w:t>SPMI/PPM/MONEV/KEU/2025</w:t>
            </w:r>
          </w:p>
        </w:tc>
        <w:tc>
          <w:tcPr>
            <w:tcW w:type="dxa" w:w="1984"/>
            <w:vAlign w:val="center"/>
          </w:tcPr>
          <w:p>
            <w:r/>
            <w:r>
              <w:rPr>
                <w:rFonts w:ascii="Calibri" w:hAnsi="Calibri"/>
                <w:b w:val="0"/>
                <w:sz w:val="19"/>
              </w:rPr>
              <w:t>TA 2024-2025</w:t>
            </w:r>
          </w:p>
        </w:tc>
      </w:tr>
      <w:tr>
        <w:tc>
          <w:tcPr>
            <w:tcW w:type="dxa" w:w="1984"/>
            <w:vAlign w:val="center"/>
          </w:tcPr>
          <w:p>
            <w:r/>
            <w:r>
              <w:rPr>
                <w:rFonts w:ascii="Calibri" w:hAnsi="Calibri"/>
                <w:b w:val="0"/>
                <w:sz w:val="19"/>
              </w:rPr>
              <w:t>7</w:t>
            </w:r>
          </w:p>
        </w:tc>
        <w:tc>
          <w:tcPr>
            <w:tcW w:type="dxa" w:w="1984"/>
            <w:vAlign w:val="center"/>
          </w:tcPr>
          <w:p>
            <w:r/>
            <w:r>
              <w:rPr>
                <w:rFonts w:ascii="Calibri" w:hAnsi="Calibri"/>
                <w:b w:val="0"/>
                <w:sz w:val="19"/>
              </w:rPr>
              <w:t>AMI Sarana dan Prasarana 2024-2025</w:t>
            </w:r>
          </w:p>
        </w:tc>
        <w:tc>
          <w:tcPr>
            <w:tcW w:type="dxa" w:w="1984"/>
            <w:vAlign w:val="center"/>
          </w:tcPr>
          <w:p>
            <w:r/>
            <w:r>
              <w:rPr>
                <w:rFonts w:ascii="Calibri" w:hAnsi="Calibri"/>
                <w:b w:val="0"/>
                <w:sz w:val="19"/>
              </w:rPr>
              <w:t>SPMI/PPM/MONEV/SARPRAS/2025</w:t>
            </w:r>
          </w:p>
        </w:tc>
        <w:tc>
          <w:tcPr>
            <w:tcW w:type="dxa" w:w="1984"/>
            <w:vAlign w:val="center"/>
          </w:tcPr>
          <w:p>
            <w:r/>
            <w:r>
              <w:rPr>
                <w:rFonts w:ascii="Calibri" w:hAnsi="Calibri"/>
                <w:b w:val="0"/>
                <w:sz w:val="19"/>
              </w:rPr>
              <w:t>TA 2024-2025</w:t>
            </w:r>
          </w:p>
        </w:tc>
      </w:tr>
      <w:tr>
        <w:tc>
          <w:tcPr>
            <w:tcW w:type="dxa" w:w="1984"/>
            <w:vAlign w:val="center"/>
          </w:tcPr>
          <w:p>
            <w:r/>
            <w:r>
              <w:rPr>
                <w:rFonts w:ascii="Calibri" w:hAnsi="Calibri"/>
                <w:b w:val="0"/>
                <w:sz w:val="19"/>
              </w:rPr>
              <w:t>8</w:t>
            </w:r>
          </w:p>
        </w:tc>
        <w:tc>
          <w:tcPr>
            <w:tcW w:type="dxa" w:w="1984"/>
            <w:vAlign w:val="center"/>
          </w:tcPr>
          <w:p>
            <w:r/>
            <w:r>
              <w:rPr>
                <w:rFonts w:ascii="Calibri" w:hAnsi="Calibri"/>
                <w:b w:val="0"/>
                <w:sz w:val="19"/>
              </w:rPr>
              <w:t>AMI VMTS 2024-2025</w:t>
            </w:r>
          </w:p>
        </w:tc>
        <w:tc>
          <w:tcPr>
            <w:tcW w:type="dxa" w:w="1984"/>
            <w:vAlign w:val="center"/>
          </w:tcPr>
          <w:p>
            <w:r/>
            <w:r>
              <w:rPr>
                <w:rFonts w:ascii="Calibri" w:hAnsi="Calibri"/>
                <w:b w:val="0"/>
                <w:sz w:val="19"/>
              </w:rPr>
              <w:t>SPMI/PPM/MONEV/VMTS/2025</w:t>
            </w:r>
          </w:p>
        </w:tc>
        <w:tc>
          <w:tcPr>
            <w:tcW w:type="dxa" w:w="1984"/>
            <w:vAlign w:val="center"/>
          </w:tcPr>
          <w:p>
            <w:r/>
            <w:r>
              <w:rPr>
                <w:rFonts w:ascii="Calibri" w:hAnsi="Calibri"/>
                <w:b w:val="0"/>
                <w:sz w:val="19"/>
              </w:rPr>
              <w:t>TA 2024-2025</w:t>
            </w:r>
          </w:p>
        </w:tc>
      </w:tr>
      <w:tr>
        <w:tc>
          <w:tcPr>
            <w:tcW w:type="dxa" w:w="1984"/>
            <w:vAlign w:val="center"/>
          </w:tcPr>
          <w:p>
            <w:r/>
            <w:r>
              <w:rPr>
                <w:rFonts w:ascii="Calibri" w:hAnsi="Calibri"/>
                <w:b w:val="0"/>
                <w:sz w:val="19"/>
              </w:rPr>
              <w:t>9</w:t>
            </w:r>
          </w:p>
        </w:tc>
        <w:tc>
          <w:tcPr>
            <w:tcW w:type="dxa" w:w="1984"/>
            <w:vAlign w:val="center"/>
          </w:tcPr>
          <w:p>
            <w:r/>
            <w:r>
              <w:rPr>
                <w:rFonts w:ascii="Calibri" w:hAnsi="Calibri"/>
                <w:b w:val="0"/>
                <w:sz w:val="19"/>
              </w:rPr>
              <w:t>AMI TPTK 2024-2025</w:t>
            </w:r>
          </w:p>
        </w:tc>
        <w:tc>
          <w:tcPr>
            <w:tcW w:type="dxa" w:w="1984"/>
            <w:vAlign w:val="center"/>
          </w:tcPr>
          <w:p>
            <w:r/>
            <w:r>
              <w:rPr>
                <w:rFonts w:ascii="Calibri" w:hAnsi="Calibri"/>
                <w:b w:val="0"/>
                <w:sz w:val="19"/>
              </w:rPr>
              <w:t>SPMI/PPM/MONEV/TPTK/2025</w:t>
            </w:r>
          </w:p>
        </w:tc>
        <w:tc>
          <w:tcPr>
            <w:tcW w:type="dxa" w:w="1984"/>
            <w:vAlign w:val="center"/>
          </w:tcPr>
          <w:p>
            <w:r/>
            <w:r>
              <w:rPr>
                <w:rFonts w:ascii="Calibri" w:hAnsi="Calibri"/>
                <w:b w:val="0"/>
                <w:sz w:val="19"/>
              </w:rPr>
              <w:t>TA 2024-2025</w:t>
            </w:r>
          </w:p>
        </w:tc>
      </w:tr>
      <w:tr>
        <w:tc>
          <w:tcPr>
            <w:tcW w:type="dxa" w:w="1984"/>
            <w:vAlign w:val="center"/>
          </w:tcPr>
          <w:p>
            <w:r/>
            <w:r>
              <w:rPr>
                <w:rFonts w:ascii="Calibri" w:hAnsi="Calibri"/>
                <w:b w:val="0"/>
                <w:sz w:val="19"/>
              </w:rPr>
              <w:t>10</w:t>
            </w:r>
          </w:p>
        </w:tc>
        <w:tc>
          <w:tcPr>
            <w:tcW w:type="dxa" w:w="1984"/>
            <w:vAlign w:val="center"/>
          </w:tcPr>
          <w:p>
            <w:r/>
            <w:r>
              <w:rPr>
                <w:rFonts w:ascii="Calibri" w:hAnsi="Calibri"/>
                <w:b w:val="0"/>
                <w:sz w:val="19"/>
              </w:rPr>
              <w:t>AMI Mahasiswa 2024-2025</w:t>
            </w:r>
          </w:p>
        </w:tc>
        <w:tc>
          <w:tcPr>
            <w:tcW w:type="dxa" w:w="1984"/>
            <w:vAlign w:val="center"/>
          </w:tcPr>
          <w:p>
            <w:r/>
            <w:r>
              <w:rPr>
                <w:rFonts w:ascii="Calibri" w:hAnsi="Calibri"/>
                <w:b w:val="0"/>
                <w:sz w:val="19"/>
              </w:rPr>
              <w:t>SPMI/PPM/MONEV/MHS/2025</w:t>
            </w:r>
          </w:p>
        </w:tc>
        <w:tc>
          <w:tcPr>
            <w:tcW w:type="dxa" w:w="1984"/>
            <w:vAlign w:val="center"/>
          </w:tcPr>
          <w:p>
            <w:r/>
            <w:r>
              <w:rPr>
                <w:rFonts w:ascii="Calibri" w:hAnsi="Calibri"/>
                <w:b w:val="0"/>
                <w:sz w:val="19"/>
              </w:rPr>
              <w:t>TA 2024-2025</w:t>
            </w:r>
          </w:p>
        </w:tc>
      </w:tr>
      <w:tr>
        <w:tc>
          <w:tcPr>
            <w:tcW w:type="dxa" w:w="1984"/>
            <w:vAlign w:val="center"/>
          </w:tcPr>
          <w:p>
            <w:r/>
            <w:r>
              <w:rPr>
                <w:rFonts w:ascii="Calibri" w:hAnsi="Calibri"/>
                <w:b w:val="0"/>
                <w:sz w:val="19"/>
              </w:rPr>
              <w:t>11</w:t>
            </w:r>
          </w:p>
        </w:tc>
        <w:tc>
          <w:tcPr>
            <w:tcW w:type="dxa" w:w="1984"/>
            <w:vAlign w:val="center"/>
          </w:tcPr>
          <w:p>
            <w:r/>
            <w:r>
              <w:rPr>
                <w:rFonts w:ascii="Calibri" w:hAnsi="Calibri"/>
                <w:b w:val="0"/>
                <w:sz w:val="19"/>
              </w:rPr>
              <w:t>AMI Penelitian 2024-2025</w:t>
            </w:r>
          </w:p>
        </w:tc>
        <w:tc>
          <w:tcPr>
            <w:tcW w:type="dxa" w:w="1984"/>
            <w:vAlign w:val="center"/>
          </w:tcPr>
          <w:p>
            <w:r/>
            <w:r>
              <w:rPr>
                <w:rFonts w:ascii="Calibri" w:hAnsi="Calibri"/>
                <w:b w:val="0"/>
                <w:sz w:val="19"/>
              </w:rPr>
              <w:t>SPMI/PPM/MONEV/PNLT/2025</w:t>
            </w:r>
          </w:p>
        </w:tc>
        <w:tc>
          <w:tcPr>
            <w:tcW w:type="dxa" w:w="1984"/>
            <w:vAlign w:val="center"/>
          </w:tcPr>
          <w:p>
            <w:r/>
            <w:r>
              <w:rPr>
                <w:rFonts w:ascii="Calibri" w:hAnsi="Calibri"/>
                <w:b w:val="0"/>
                <w:sz w:val="19"/>
              </w:rPr>
              <w:t>TA 2024-2025</w:t>
            </w:r>
          </w:p>
        </w:tc>
      </w:tr>
      <w:tr>
        <w:tc>
          <w:tcPr>
            <w:tcW w:type="dxa" w:w="1984"/>
            <w:vAlign w:val="center"/>
          </w:tcPr>
          <w:p>
            <w:r/>
            <w:r>
              <w:rPr>
                <w:rFonts w:ascii="Calibri" w:hAnsi="Calibri"/>
                <w:b w:val="0"/>
                <w:sz w:val="19"/>
              </w:rPr>
              <w:t>12</w:t>
            </w:r>
          </w:p>
        </w:tc>
        <w:tc>
          <w:tcPr>
            <w:tcW w:type="dxa" w:w="1984"/>
            <w:vAlign w:val="center"/>
          </w:tcPr>
          <w:p>
            <w:r/>
            <w:r>
              <w:rPr>
                <w:rFonts w:ascii="Calibri" w:hAnsi="Calibri"/>
                <w:b w:val="0"/>
                <w:sz w:val="19"/>
              </w:rPr>
              <w:t>AMI Pengabdian 2024-2025</w:t>
            </w:r>
          </w:p>
        </w:tc>
        <w:tc>
          <w:tcPr>
            <w:tcW w:type="dxa" w:w="1984"/>
            <w:vAlign w:val="center"/>
          </w:tcPr>
          <w:p>
            <w:r/>
            <w:r>
              <w:rPr>
                <w:rFonts w:ascii="Calibri" w:hAnsi="Calibri"/>
                <w:b w:val="0"/>
                <w:sz w:val="19"/>
              </w:rPr>
              <w:t>SPMI/PPM/MONEV/PKM/2025</w:t>
            </w:r>
          </w:p>
        </w:tc>
        <w:tc>
          <w:tcPr>
            <w:tcW w:type="dxa" w:w="1984"/>
            <w:vAlign w:val="center"/>
          </w:tcPr>
          <w:p>
            <w:r/>
            <w:r>
              <w:rPr>
                <w:rFonts w:ascii="Calibri" w:hAnsi="Calibri"/>
                <w:b w:val="0"/>
                <w:sz w:val="19"/>
              </w:rPr>
              <w:t>TA 2024-2025</w:t>
            </w:r>
          </w:p>
        </w:tc>
      </w:tr>
      <w:tr>
        <w:tc>
          <w:tcPr>
            <w:tcW w:type="dxa" w:w="1984"/>
            <w:vAlign w:val="center"/>
          </w:tcPr>
          <w:p>
            <w:r/>
            <w:r>
              <w:rPr>
                <w:rFonts w:ascii="Calibri" w:hAnsi="Calibri"/>
                <w:b w:val="0"/>
                <w:sz w:val="19"/>
              </w:rPr>
              <w:t>13</w:t>
            </w:r>
          </w:p>
        </w:tc>
        <w:tc>
          <w:tcPr>
            <w:tcW w:type="dxa" w:w="1984"/>
            <w:vAlign w:val="center"/>
          </w:tcPr>
          <w:p>
            <w:r/>
            <w:r>
              <w:rPr>
                <w:rFonts w:ascii="Calibri" w:hAnsi="Calibri"/>
                <w:b w:val="0"/>
                <w:sz w:val="19"/>
              </w:rPr>
              <w:t>AMI MBKM 2024-2025</w:t>
            </w:r>
          </w:p>
        </w:tc>
        <w:tc>
          <w:tcPr>
            <w:tcW w:type="dxa" w:w="1984"/>
            <w:vAlign w:val="center"/>
          </w:tcPr>
          <w:p>
            <w:r/>
            <w:r>
              <w:rPr>
                <w:rFonts w:ascii="Calibri" w:hAnsi="Calibri"/>
                <w:b w:val="0"/>
                <w:sz w:val="19"/>
              </w:rPr>
              <w:t>SPMI/PPM/MONEV/MBKM/2025</w:t>
            </w:r>
          </w:p>
        </w:tc>
        <w:tc>
          <w:tcPr>
            <w:tcW w:type="dxa" w:w="1984"/>
            <w:vAlign w:val="center"/>
          </w:tcPr>
          <w:p>
            <w:r/>
            <w:r>
              <w:rPr>
                <w:rFonts w:ascii="Calibri" w:hAnsi="Calibri"/>
                <w:b w:val="0"/>
                <w:sz w:val="19"/>
              </w:rPr>
              <w:t>TA 2024-2025</w:t>
            </w:r>
          </w:p>
        </w:tc>
      </w:tr>
      <w:tr>
        <w:tc>
          <w:tcPr>
            <w:tcW w:type="dxa" w:w="1984"/>
            <w:vAlign w:val="center"/>
          </w:tcPr>
          <w:p>
            <w:r/>
            <w:r>
              <w:rPr>
                <w:rFonts w:ascii="Calibri" w:hAnsi="Calibri"/>
                <w:b w:val="0"/>
                <w:sz w:val="19"/>
              </w:rPr>
              <w:t>14</w:t>
            </w:r>
          </w:p>
        </w:tc>
        <w:tc>
          <w:tcPr>
            <w:tcW w:type="dxa" w:w="1984"/>
            <w:vAlign w:val="center"/>
          </w:tcPr>
          <w:p>
            <w:r/>
            <w:r>
              <w:rPr>
                <w:rFonts w:ascii="Calibri" w:hAnsi="Calibri"/>
                <w:b w:val="0"/>
                <w:sz w:val="19"/>
              </w:rPr>
              <w:t>AMI Pelayanan Mahasiswa Ganjil 2024-2025</w:t>
            </w:r>
          </w:p>
        </w:tc>
        <w:tc>
          <w:tcPr>
            <w:tcW w:type="dxa" w:w="1984"/>
            <w:vAlign w:val="center"/>
          </w:tcPr>
          <w:p>
            <w:r/>
            <w:r>
              <w:rPr>
                <w:rFonts w:ascii="Calibri" w:hAnsi="Calibri"/>
                <w:b w:val="0"/>
                <w:sz w:val="19"/>
              </w:rPr>
              <w:t>SPMI/PPM/MONEV/PLYN-G/2025</w:t>
            </w:r>
          </w:p>
        </w:tc>
        <w:tc>
          <w:tcPr>
            <w:tcW w:type="dxa" w:w="1984"/>
            <w:vAlign w:val="center"/>
          </w:tcPr>
          <w:p>
            <w:r/>
            <w:r>
              <w:rPr>
                <w:rFonts w:ascii="Calibri" w:hAnsi="Calibri"/>
                <w:b w:val="0"/>
                <w:sz w:val="19"/>
              </w:rPr>
              <w:t>Ganjil 2024</w:t>
            </w:r>
          </w:p>
        </w:tc>
      </w:tr>
      <w:tr>
        <w:tc>
          <w:tcPr>
            <w:tcW w:type="dxa" w:w="1984"/>
            <w:vAlign w:val="center"/>
          </w:tcPr>
          <w:p>
            <w:r/>
            <w:r>
              <w:rPr>
                <w:rFonts w:ascii="Calibri" w:hAnsi="Calibri"/>
                <w:b w:val="0"/>
                <w:sz w:val="19"/>
              </w:rPr>
              <w:t>15</w:t>
            </w:r>
          </w:p>
        </w:tc>
        <w:tc>
          <w:tcPr>
            <w:tcW w:type="dxa" w:w="1984"/>
            <w:vAlign w:val="center"/>
          </w:tcPr>
          <w:p>
            <w:r/>
            <w:r>
              <w:rPr>
                <w:rFonts w:ascii="Calibri" w:hAnsi="Calibri"/>
                <w:b w:val="0"/>
                <w:sz w:val="19"/>
              </w:rPr>
              <w:t>AMI Pelayanan Mahasiswa Genap 2024-2025</w:t>
            </w:r>
          </w:p>
        </w:tc>
        <w:tc>
          <w:tcPr>
            <w:tcW w:type="dxa" w:w="1984"/>
            <w:vAlign w:val="center"/>
          </w:tcPr>
          <w:p>
            <w:r/>
            <w:r>
              <w:rPr>
                <w:rFonts w:ascii="Calibri" w:hAnsi="Calibri"/>
                <w:b w:val="0"/>
                <w:sz w:val="19"/>
              </w:rPr>
              <w:t>SPMI/PPM/MONEV/PLYN-GN/2025</w:t>
            </w:r>
          </w:p>
        </w:tc>
        <w:tc>
          <w:tcPr>
            <w:tcW w:type="dxa" w:w="1984"/>
            <w:vAlign w:val="center"/>
          </w:tcPr>
          <w:p>
            <w:r/>
            <w:r>
              <w:rPr>
                <w:rFonts w:ascii="Calibri" w:hAnsi="Calibri"/>
                <w:b w:val="0"/>
                <w:sz w:val="19"/>
              </w:rPr>
              <w:t>Genap 2025</w:t>
            </w:r>
          </w:p>
        </w:tc>
      </w:tr>
    </w:tbl>
    <w:p/>
    <w:p>
      <w:pPr>
        <w:spacing w:after="120" w:line="312" w:lineRule="auto"/>
        <w:jc w:val="both"/>
      </w:pPr>
      <w:r>
        <w:rPr>
          <w:rFonts w:ascii="Calibri" w:hAnsi="Calibri"/>
          <w:b/>
          <w:color w:val="1F2937"/>
          <w:sz w:val="22"/>
        </w:rPr>
        <w:t>Seluruh dokumen AMI tersebut tersimpan di Pusat Penjaminan Mutu Universitas Tulungagung dan dapat diakses melalui Dashboard SPMI UNITA di https://spmiunita.pages.dev</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