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0"/>
        <w:jc w:val="center"/>
      </w:pPr>
      <w:r>
        <w:rPr>
          <w:rFonts w:ascii="Space Grotesk" w:cs="Space Grotesk" w:eastAsia="Space Grotesk" w:hAnsi="Space Grotesk"/>
          <w:b/>
          <w:bCs/>
          <w:color w:val="6C5CE7"/>
          <w:sz w:val="80"/>
          <w:szCs w:val="80"/>
        </w:rPr>
        <w:t xml:space="preserve">JO-MOCK</w:t>
      </w:r>
    </w:p>
    <w:p>
      <w:pPr>
        <w:spacing w:after="0" w:before="100"/>
        <w:jc w:val="center"/>
      </w:pPr>
      <w:r>
        <w:rPr>
          <w:rFonts w:ascii="Space Grotesk" w:cs="Space Grotesk" w:eastAsia="Space Grotesk" w:hAnsi="Space Grotesk"/>
          <w:color w:val="5B5870"/>
          <w:sz w:val="28"/>
          <w:szCs w:val="28"/>
        </w:rPr>
        <w:t xml:space="preserve">Joint Operations Mock</w:t>
      </w:r>
    </w:p>
    <w:p>
      <w:pPr>
        <w:spacing w:after="0" w:before="700"/>
        <w:jc w:val="center"/>
      </w:pPr>
      <w:r>
        <w:rPr>
          <w:rFonts w:ascii="Space Mono" w:cs="Space Mono" w:eastAsia="Space Mono" w:hAnsi="Space Mono"/>
          <w:b/>
          <w:bCs/>
          <w:color w:val="6C5CE7"/>
          <w:spacing w:val="80"/>
          <w:sz w:val="28"/>
          <w:szCs w:val="28"/>
        </w:rPr>
        <w:t xml:space="preserve">BRAND GUIDELINES</w:t>
      </w:r>
    </w:p>
    <w:p>
      <w:pPr>
        <w:spacing w:after="0" w:before="120"/>
        <w:jc w:val="center"/>
      </w:pPr>
      <w:r>
        <w:rPr>
          <w:rFonts w:ascii="IBM Plex Sans" w:cs="IBM Plex Sans" w:eastAsia="IBM Plex Sans" w:hAnsi="IBM Plex Sans"/>
          <w:color w:val="5B5870"/>
          <w:sz w:val="22"/>
          <w:szCs w:val="22"/>
        </w:rPr>
        <w:t xml:space="preserve">Logo · Warna · Tipografi · Aturan Penggunaan</w:t>
      </w:r>
    </w:p>
    <w:p>
      <w:pPr>
        <w:spacing w:after="0" w:before="1200"/>
        <w:jc w:val="center"/>
      </w:pPr>
      <w:r>
        <w:rPr>
          <w:rFonts w:ascii="IBM Plex Sans" w:cs="IBM Plex Sans" w:eastAsia="IBM Plex Sans" w:hAnsi="IBM Plex Sans"/>
          <w:sz w:val="22"/>
          <w:szCs w:val="22"/>
        </w:rPr>
        <w:t xml:space="preserve">Disusun oleh: Muhammad Lutfi Apriamto</w:t>
      </w:r>
    </w:p>
    <w:p>
      <w:pPr>
        <w:spacing w:after="0" w:before="60"/>
        <w:jc w:val="center"/>
      </w:pPr>
      <w:r>
        <w:rPr>
          <w:rFonts w:ascii="IBM Plex Sans" w:cs="IBM Plex Sans" w:eastAsia="IBM Plex Sans" w:hAnsi="IBM Plex Sans"/>
          <w:color w:val="8B889C"/>
          <w:sz w:val="20"/>
          <w:szCs w:val="20"/>
        </w:rPr>
        <w:t xml:space="preserve">Versi 1.0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Pengantar</w:t>
      </w:r>
    </w:p>
    <w:p>
      <w:pPr>
        <w:spacing w:after="120" w:line="280"/>
      </w:pPr>
      <w:r>
        <w:t xml:space="preserve">Dokumen ini adalah pedoman identitas visual (brand guidelines) untuk JO-MOCK — singkatan dari Joint Operations Mock — sebuah platform API mocking berorientasi kontrak. Pedoman ini mengunci warna, tipografi, logo, dan aturan penggunaannya, agar identitas visual JO-MOCK konsisten di seluruh sentuhan produk: dari aplikasi web, favicon, dokumentasi, hingga material promosi.</w:t>
      </w:r>
    </w:p>
    <w:p>
      <w:pPr>
        <w:pStyle w:val="Heading2"/>
      </w:pPr>
      <w:r>
        <w:t xml:space="preserve">1.1 Jiwa Brand</w:t>
      </w:r>
    </w:p>
    <w:p>
      <w:pPr>
        <w:spacing w:after="120" w:line="280"/>
      </w:pPr>
      <w:r>
        <w:t xml:space="preserve">JO-MOCK adalah alat untuk kolaborasi pengembang. Identitas visualnya mencerminkan tiga karakter utama: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BM Plex Sans" w:cs="IBM Plex Sans" w:eastAsia="IBM Plex Sans" w:hAnsi="IBM Plex Sans"/>
          <w:b/>
          <w:bCs/>
        </w:rPr>
        <w:t xml:space="preserve">Teknis namun manusiawi — </w:t>
      </w:r>
      <w:r>
        <w:rPr>
          <w:rFonts w:ascii="IBM Plex Sans" w:cs="IBM Plex Sans" w:eastAsia="IBM Plex Sans" w:hAnsi="IBM Plex Sans"/>
        </w:rPr>
        <w:t xml:space="preserve">presisi seperti tool engineer, tetap ramah dibaca tim non-teknis.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BM Plex Sans" w:cs="IBM Plex Sans" w:eastAsia="IBM Plex Sans" w:hAnsi="IBM Plex Sans"/>
          <w:b/>
          <w:bCs/>
        </w:rPr>
        <w:t xml:space="preserve">Modern dan tenang — </w:t>
      </w:r>
      <w:r>
        <w:rPr>
          <w:rFonts w:ascii="IBM Plex Sans" w:cs="IBM Plex Sans" w:eastAsia="IBM Plex Sans" w:hAnsi="IBM Plex Sans"/>
        </w:rPr>
        <w:t xml:space="preserve">tidak ramai, tidak agresif; mengandalkan ruang kosong dan warna terkurasi.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IBM Plex Sans" w:cs="IBM Plex Sans" w:eastAsia="IBM Plex Sans" w:hAnsi="IBM Plex Sans"/>
          <w:b/>
          <w:bCs/>
        </w:rPr>
        <w:t xml:space="preserve">Kolaboratif — </w:t>
      </w:r>
      <w:r>
        <w:rPr>
          <w:rFonts w:ascii="IBM Plex Sans" w:cs="IBM Plex Sans" w:eastAsia="IBM Plex Sans" w:hAnsi="IBM Plex Sans"/>
        </w:rPr>
        <w:t xml:space="preserve">dirancang untuk mempertemukan frontend, backend, dan PM di satu kontrak.</w:t>
      </w:r>
    </w:p>
    <w:p>
      <w:r>
        <w:br w:type="page"/>
      </w:r>
    </w:p>
    <w:p>
      <w:pPr>
        <w:pStyle w:val="Heading1"/>
      </w:pPr>
      <w:r>
        <w:t xml:space="preserve">2. Logo</w:t>
      </w:r>
    </w:p>
    <w:p>
      <w:pPr>
        <w:spacing w:after="120" w:line="280"/>
      </w:pPr>
      <w:r>
        <w:t xml:space="preserve">Logo JO-MOCK berbentuk monogram "J di dalam O" — huruf J yang nyaman duduk di dalam lingkaran O. Lingkaran ini juga memiliki aksen busur ("ghost arc") di sudut kanan-bawah, memberi kesan gerak dan dimensi.</w:t>
      </w:r>
    </w:p>
    <w:p>
      <w:pPr>
        <w:pStyle w:val="Heading2"/>
      </w:pPr>
      <w:r>
        <w:t xml:space="preserve">2.1 Varian Logo</w:t>
      </w:r>
    </w:p>
    <w:p>
      <w:pPr>
        <w:spacing w:after="120" w:line="280"/>
      </w:pPr>
      <w:r>
        <w:t xml:space="preserve">Tersedia tiga varian resmi. Tiap varian punya konteks pemakaiannya sendiri.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FFFFF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26"/>
                <w:szCs w:val="26"/>
              </w:rPr>
              <w:t xml:space="preserve">Logo Light</w:t>
            </w:r>
          </w:p>
          <w:p>
            <w:pPr>
              <w:spacing w:after="80"/>
            </w:pPr>
            <w:r>
              <w:rPr>
                <w:rFonts w:ascii="IBM Plex Sans" w:cs="IBM Plex Sans" w:eastAsia="IBM Plex Sans" w:hAnsi="IBM Plex Sans"/>
                <w:color w:val="5B5870"/>
                <w:sz w:val="19"/>
                <w:szCs w:val="19"/>
              </w:rPr>
              <w:t xml:space="preserve">Tile indigo dengan monogram putih. Varian utama untuk light mode dan favicon.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color w:val="1A1726"/>
                <w:sz w:val="18"/>
                <w:szCs w:val="18"/>
              </w:rPr>
              <w:t xml:space="preserve">Konteks gelap: </w:t>
            </w:r>
            <w:r>
              <w:rPr>
                <w:rFonts w:ascii="IBM Plex Sans" w:cs="IBM Plex Sans" w:eastAsia="IBM Plex Sans" w:hAnsi="IBM Plex Sans"/>
                <w:color w:val="5B5870"/>
                <w:sz w:val="18"/>
                <w:szCs w:val="18"/>
              </w:rPr>
              <w:t xml:space="preserve">Default; tile indigo cukup kontras di atas warna gelap.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color w:val="1A1726"/>
                <w:sz w:val="18"/>
                <w:szCs w:val="18"/>
              </w:rPr>
              <w:t xml:space="preserve">Konteks terang: </w:t>
            </w:r>
            <w:r>
              <w:rPr>
                <w:rFonts w:ascii="IBM Plex Sans" w:cs="IBM Plex Sans" w:eastAsia="IBM Plex Sans" w:hAnsi="IBM Plex Sans"/>
                <w:color w:val="5B5870"/>
                <w:sz w:val="18"/>
                <w:szCs w:val="18"/>
              </w:rPr>
              <w:t xml:space="preserve">Default; cocok di mayoritas latar terang.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100E18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26"/>
                <w:szCs w:val="26"/>
              </w:rPr>
              <w:t xml:space="preserve">Logo Dark</w:t>
            </w:r>
          </w:p>
          <w:p>
            <w:pPr>
              <w:spacing w:after="80"/>
            </w:pPr>
            <w:r>
              <w:rPr>
                <w:rFonts w:ascii="IBM Plex Sans" w:cs="IBM Plex Sans" w:eastAsia="IBM Plex Sans" w:hAnsi="IBM Plex Sans"/>
                <w:color w:val="5B5870"/>
                <w:sz w:val="19"/>
                <w:szCs w:val="19"/>
              </w:rPr>
              <w:t xml:space="preserve">Tile gelap dengan monogram indigo. Varian utama untuk dark mode dan favicon dark.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color w:val="1A1726"/>
                <w:sz w:val="18"/>
                <w:szCs w:val="18"/>
              </w:rPr>
              <w:t xml:space="preserve">Konteks gelap: </w:t>
            </w:r>
            <w:r>
              <w:rPr>
                <w:rFonts w:ascii="IBM Plex Sans" w:cs="IBM Plex Sans" w:eastAsia="IBM Plex Sans" w:hAnsi="IBM Plex Sans"/>
                <w:color w:val="5B5870"/>
                <w:sz w:val="18"/>
                <w:szCs w:val="18"/>
              </w:rPr>
              <w:t xml:space="preserve">Default untuk dark mode; tile gelap menyatu dengan latar.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color w:val="1A1726"/>
                <w:sz w:val="18"/>
                <w:szCs w:val="18"/>
              </w:rPr>
              <w:t xml:space="preserve">Konteks terang: </w:t>
            </w:r>
            <w:r>
              <w:rPr>
                <w:rFonts w:ascii="IBM Plex Sans" w:cs="IBM Plex Sans" w:eastAsia="IBM Plex Sans" w:hAnsi="IBM Plex Sans"/>
                <w:color w:val="5B5870"/>
                <w:sz w:val="18"/>
                <w:szCs w:val="18"/>
              </w:rPr>
              <w:t xml:space="preserve">Hindari — terlalu gelap di latar terang.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1B1828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26"/>
                <w:szCs w:val="26"/>
              </w:rPr>
              <w:t xml:space="preserve">Logo Dark Transparan</w:t>
            </w:r>
          </w:p>
          <w:p>
            <w:pPr>
              <w:spacing w:after="80"/>
            </w:pPr>
            <w:r>
              <w:rPr>
                <w:rFonts w:ascii="IBM Plex Sans" w:cs="IBM Plex Sans" w:eastAsia="IBM Plex Sans" w:hAnsi="IBM Plex Sans"/>
                <w:color w:val="5B5870"/>
                <w:sz w:val="19"/>
                <w:szCs w:val="19"/>
              </w:rPr>
              <w:t xml:space="preserve">Monogram indigo tanpa background. Untuk diletakkan di atas surface gelap berwarna lain.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color w:val="1A1726"/>
                <w:sz w:val="18"/>
                <w:szCs w:val="18"/>
              </w:rPr>
              <w:t xml:space="preserve">Konteks gelap: </w:t>
            </w:r>
            <w:r>
              <w:rPr>
                <w:rFonts w:ascii="IBM Plex Sans" w:cs="IBM Plex Sans" w:eastAsia="IBM Plex Sans" w:hAnsi="IBM Plex Sans"/>
                <w:color w:val="5B5870"/>
                <w:sz w:val="18"/>
                <w:szCs w:val="18"/>
              </w:rPr>
              <w:t xml:space="preserve">Pakai untuk dipadukan dengan latar surface lain.</w:t>
            </w:r>
          </w:p>
          <w:p>
            <w:r>
              <w:rPr>
                <w:rFonts w:ascii="IBM Plex Sans" w:cs="IBM Plex Sans" w:eastAsia="IBM Plex Sans" w:hAnsi="IBM Plex Sans"/>
                <w:b/>
                <w:bCs/>
                <w:color w:val="1A1726"/>
                <w:sz w:val="18"/>
                <w:szCs w:val="18"/>
              </w:rPr>
              <w:t xml:space="preserve">Konteks terang: </w:t>
            </w:r>
            <w:r>
              <w:rPr>
                <w:rFonts w:ascii="IBM Plex Sans" w:cs="IBM Plex Sans" w:eastAsia="IBM Plex Sans" w:hAnsi="IBM Plex Sans"/>
                <w:color w:val="5B5870"/>
                <w:sz w:val="18"/>
                <w:szCs w:val="18"/>
              </w:rPr>
              <w:t xml:space="preserve">Hindari di latar terang — kontras kurang.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Ruang Aman (Clear Space)</w:t>
      </w:r>
    </w:p>
    <w:p>
      <w:pPr>
        <w:spacing w:after="120" w:line="280"/>
      </w:pPr>
      <w:r>
        <w:t xml:space="preserve">Selalu sediakan ruang kosong di sekitar logo sebesar minimal 25% dari sisi terpendek logo. Tidak boleh ada teks atau elemen visual lain yang masuk ke dalam ruang ini.</w:t>
      </w:r>
    </w:p>
    <w:p>
      <w:pPr>
        <w:spacing w:after="120" w:line="280"/>
      </w:pPr>
      <w:r>
        <w:t xml:space="preserve">Contoh: jika logo dipakai dalam ukuran 200×200 piksel, sediakan minimal 50 piksel ruang kosong di setiap sisinya.</w:t>
      </w:r>
    </w:p>
    <w:p>
      <w:pPr>
        <w:pStyle w:val="Heading2"/>
      </w:pPr>
      <w:r>
        <w:t xml:space="preserve">2.3 Ukuran Minimum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Ukuran Minimum</w:t>
            </w:r>
          </w:p>
        </w:tc>
      </w:tr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Favicon (tab browser)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16 × 16 piksel</w:t>
            </w:r>
          </w:p>
        </w:tc>
      </w:tr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Aplikasi (header dashboard)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32 × 32 piksel</w:t>
            </w:r>
          </w:p>
        </w:tc>
      </w:tr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Dokumen / presentasi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64 × 64 piksel</w:t>
            </w:r>
          </w:p>
        </w:tc>
      </w:tr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Material cetak (kartu nama, sticker)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20 × 20 milimeter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80"/>
      </w:pPr>
      <w:r>
        <w:t xml:space="preserve">Di bawah ukuran ini, bentuk J di dalam O mulai sulit dibedakan. Jika perlu lebih kecil, gunakan hanya warna solid tanpa aksen ghost.</w:t>
      </w:r>
    </w:p>
    <w:p>
      <w:pPr>
        <w:pStyle w:val="Heading2"/>
      </w:pPr>
      <w:r>
        <w:t xml:space="preserve">2.4 Aturan Penggunaan 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Gunakan logo dalam warna resmi (indigo #6C5CE7 atau monokrom).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Mewarnai logo dengan warna selain palet resmi.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Tampilkan logo dalam orientasi tegak, proporsi 1:1.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Memiringkan, memutar, atau memipihkan logo.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Letakkan logo dengan kontras cukup terhadap latar.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Menumpuk logo di atas foto ramai atau gradien kompleks.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Pakai varian yang sesuai dengan mode (light/dark).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Memakai logo light di latar gelap atau sebaliknya.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Sistem Warna</w:t>
      </w:r>
    </w:p>
    <w:p>
      <w:pPr>
        <w:spacing w:after="120" w:line="280"/>
      </w:pPr>
      <w:r>
        <w:t xml:space="preserve">Sistem warna JO-MOCK dirancang untuk dua mode: light mode dan dark mode. Warna brand utama (indigo) tetap konsisten di kedua mode untuk menjaga identitas; yang berubah adalah warna netral (background, surface, teks).</w:t>
      </w:r>
    </w:p>
    <w:p>
      <w:pPr>
        <w:pStyle w:val="Heading2"/>
      </w:pPr>
      <w:r>
        <w:t xml:space="preserve">3.1 Warna Brand</w:t>
      </w:r>
    </w:p>
    <w:p>
      <w:pPr>
        <w:spacing w:after="120" w:line="280"/>
      </w:pPr>
      <w:r>
        <w:t xml:space="preserve">Indigo adalah warna utama JO-MOCK. Gunakan untuk tombol primary, link aktif, fokus, dan elemen identitas. Indigo tidak digunakan untuk menandai status.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4B3FCC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Indigo 700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#4B3FCC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Hover / pressed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Indigo 500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#6C5CE7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PRIMARY · brand utama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A29B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Indigo 300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#A29BFF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Accent / dark mode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5E1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18"/>
                <w:szCs w:val="18"/>
              </w:rPr>
              <w:t xml:space="preserve">Indigo 100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1A1726"/>
                <w:sz w:val="16"/>
                <w:szCs w:val="16"/>
              </w:rPr>
              <w:t xml:space="preserve">#E5E1FF</w:t>
            </w:r>
          </w:p>
          <w:p>
            <w:r>
              <w:rPr>
                <w:rFonts w:ascii="IBM Plex Sans" w:cs="IBM Plex Sans" w:eastAsia="IBM Plex Sans" w:hAnsi="IBM Plex Sans"/>
                <w:color w:val="5B5870"/>
                <w:sz w:val="14"/>
                <w:szCs w:val="14"/>
              </w:rPr>
              <w:t xml:space="preserve">Highlight ringan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4F3FB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18"/>
                <w:szCs w:val="18"/>
              </w:rPr>
              <w:t xml:space="preserve">Indigo 50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1A1726"/>
                <w:sz w:val="16"/>
                <w:szCs w:val="16"/>
              </w:rPr>
              <w:t xml:space="preserve">#F4F3FB</w:t>
            </w:r>
          </w:p>
          <w:p>
            <w:r>
              <w:rPr>
                <w:rFonts w:ascii="IBM Plex Sans" w:cs="IBM Plex Sans" w:eastAsia="IBM Plex Sans" w:hAnsi="IBM Plex Sans"/>
                <w:color w:val="5B5870"/>
                <w:sz w:val="14"/>
                <w:szCs w:val="14"/>
              </w:rPr>
              <w:t xml:space="preserve">Surface tinted</w:t>
            </w:r>
          </w:p>
        </w:tc>
      </w:tr>
    </w:tbl>
    <w:p>
      <w:pPr>
        <w:pStyle w:val="Heading2"/>
      </w:pPr>
      <w:r>
        <w:t xml:space="preserve">3.2 Netral — Light Mode</w:t>
      </w:r>
    </w:p>
    <w:p>
      <w:pPr>
        <w:spacing w:after="120" w:line="280"/>
      </w:pPr>
      <w:r>
        <w:t xml:space="preserve">Untuk light mode, surface utama putih dengan sedikit semburat indigo agar tetap nyambung ke brand.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FFF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18"/>
                <w:szCs w:val="18"/>
              </w:rPr>
              <w:t xml:space="preserve">BG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1A1726"/>
                <w:sz w:val="16"/>
                <w:szCs w:val="16"/>
              </w:rPr>
              <w:t xml:space="preserve">#FFFFFF</w:t>
            </w:r>
          </w:p>
          <w:p>
            <w:r>
              <w:rPr>
                <w:rFonts w:ascii="IBM Plex Sans" w:cs="IBM Plex Sans" w:eastAsia="IBM Plex Sans" w:hAnsi="IBM Plex Sans"/>
                <w:color w:val="5B5870"/>
                <w:sz w:val="14"/>
                <w:szCs w:val="14"/>
              </w:rPr>
              <w:t xml:space="preserve">Background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7F7FB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18"/>
                <w:szCs w:val="18"/>
              </w:rPr>
              <w:t xml:space="preserve">Page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1A1726"/>
                <w:sz w:val="16"/>
                <w:szCs w:val="16"/>
              </w:rPr>
              <w:t xml:space="preserve">#F7F7FB</w:t>
            </w:r>
          </w:p>
          <w:p>
            <w:r>
              <w:rPr>
                <w:rFonts w:ascii="IBM Plex Sans" w:cs="IBM Plex Sans" w:eastAsia="IBM Plex Sans" w:hAnsi="IBM Plex Sans"/>
                <w:color w:val="5B5870"/>
                <w:sz w:val="14"/>
                <w:szCs w:val="14"/>
              </w:rPr>
              <w:t xml:space="preserve">Page bg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4F3FB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18"/>
                <w:szCs w:val="18"/>
              </w:rPr>
              <w:t xml:space="preserve">Surface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1A1726"/>
                <w:sz w:val="16"/>
                <w:szCs w:val="16"/>
              </w:rPr>
              <w:t xml:space="preserve">#F4F3FB</w:t>
            </w:r>
          </w:p>
          <w:p>
            <w:r>
              <w:rPr>
                <w:rFonts w:ascii="IBM Plex Sans" w:cs="IBM Plex Sans" w:eastAsia="IBM Plex Sans" w:hAnsi="IBM Plex Sans"/>
                <w:color w:val="5B5870"/>
                <w:sz w:val="14"/>
                <w:szCs w:val="14"/>
              </w:rPr>
              <w:t xml:space="preserve">Card / panel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5E1E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18"/>
                <w:szCs w:val="18"/>
              </w:rPr>
              <w:t xml:space="preserve">Border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1A1726"/>
                <w:sz w:val="16"/>
                <w:szCs w:val="16"/>
              </w:rPr>
              <w:t xml:space="preserve">#E5E1EF</w:t>
            </w:r>
          </w:p>
          <w:p>
            <w:r>
              <w:rPr>
                <w:rFonts w:ascii="IBM Plex Sans" w:cs="IBM Plex Sans" w:eastAsia="IBM Plex Sans" w:hAnsi="IBM Plex Sans"/>
                <w:color w:val="5B5870"/>
                <w:sz w:val="14"/>
                <w:szCs w:val="14"/>
              </w:rPr>
              <w:t xml:space="preserve">Garis pembatas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1A1726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#1A1726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Teks utama</w:t>
            </w:r>
          </w:p>
        </w:tc>
      </w:tr>
    </w:tbl>
    <w:p>
      <w:pPr>
        <w:pStyle w:val="Heading2"/>
      </w:pPr>
      <w:r>
        <w:t xml:space="preserve">3.3 Netral — Dark Mode</w:t>
      </w:r>
    </w:p>
    <w:p>
      <w:pPr>
        <w:spacing w:after="120" w:line="280"/>
      </w:pPr>
      <w:r>
        <w:t xml:space="preserve">Dark mode tidak hitam murni. Background memakai gelap-indigo agar terasa satu keluarga dengan brand dan tidak terasa "mati".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0A0810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#0A0810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Page bg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100E18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BG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#100E18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Background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1B1828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#1B1828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Card / panel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2E2A45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#2E2A45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Garis pembatas</w:t>
            </w:r>
          </w:p>
        </w:tc>
        <w:tc>
          <w:tcPr>
            <w:tcW w:type="dxa" w:w="1872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5F4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1A1726"/>
                <w:sz w:val="18"/>
                <w:szCs w:val="18"/>
              </w:rPr>
              <w:t xml:space="preserve">Text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1A1726"/>
                <w:sz w:val="16"/>
                <w:szCs w:val="16"/>
              </w:rPr>
              <w:t xml:space="preserve">#F5F4FA</w:t>
            </w:r>
          </w:p>
          <w:p>
            <w:r>
              <w:rPr>
                <w:rFonts w:ascii="IBM Plex Sans" w:cs="IBM Plex Sans" w:eastAsia="IBM Plex Sans" w:hAnsi="IBM Plex Sans"/>
                <w:color w:val="5B5870"/>
                <w:sz w:val="14"/>
                <w:szCs w:val="14"/>
              </w:rPr>
              <w:t xml:space="preserve">Teks utama</w:t>
            </w:r>
          </w:p>
        </w:tc>
      </w:tr>
    </w:tbl>
    <w:p>
      <w:pPr>
        <w:pStyle w:val="Heading2"/>
      </w:pPr>
      <w:r>
        <w:t xml:space="preserve">3.4 Warna Status</w:t>
      </w:r>
    </w:p>
    <w:p>
      <w:pPr>
        <w:spacing w:after="120" w:line="280"/>
      </w:pPr>
      <w:r>
        <w:t xml:space="preserve">Warna status hanya digunakan untuk menandai status HTTP response, validasi, dan notifikasi. Tidak boleh dicampur dengan elemen brand utama.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17B26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#17B26A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Status 2xx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79009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#F79009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Status 4xx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04438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Danger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#F04438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Status 5xx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  <w:p>
            <w:pPr>
              <w:spacing w:after="40"/>
            </w:pPr>
            <w:r>
              <w:rPr>
                <w:rFonts w:ascii="Space Mono" w:cs="Space Mono" w:eastAsia="Space Mono" w:hAnsi="Space Mono"/>
                <w:color w:val="FFFFFF"/>
                <w:sz w:val="16"/>
                <w:szCs w:val="16"/>
              </w:rPr>
              <w:t xml:space="preserve">#6C5CE7</w:t>
            </w:r>
          </w:p>
          <w:p>
            <w:r>
              <w:rPr>
                <w:rFonts w:ascii="IBM Plex Sans" w:cs="IBM Plex Sans" w:eastAsia="IBM Plex Sans" w:hAnsi="IBM Plex Sans"/>
                <w:color w:val="E5E1FF"/>
                <w:sz w:val="14"/>
                <w:szCs w:val="14"/>
              </w:rPr>
              <w:t xml:space="preserve">Notifikasi netral</w:t>
            </w:r>
          </w:p>
        </w:tc>
      </w:tr>
    </w:tbl>
    <w:p>
      <w:pPr>
        <w:pStyle w:val="Heading2"/>
      </w:pPr>
      <w:r>
        <w:t xml:space="preserve">3.5 Tabel Token Warna Lengkap</w:t>
      </w:r>
    </w:p>
    <w:p>
      <w:pPr>
        <w:spacing w:after="120" w:line="280"/>
      </w:pPr>
      <w:r>
        <w:t xml:space="preserve">Tabel berikut menyajikan seluruh token warna beserta nilai hex-nya untuk dipakai di kode (CSS variable, design tools, dll).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brand-primary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#6C5CE7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#6C5CE7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brand-primary-hover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#4B3FCC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#8B7CFF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brand-accent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#A29BFF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#A29BFF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bg-page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#F7F7FB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#0A0810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bg-default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#100E18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bg-surface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#F4F3FB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#1B1828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border-default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#E5E1EF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#2E2A45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#1A1726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#F5F4FA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text-secondary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#5B5870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#A29BC8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text-muted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#8B889C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#6B6880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status-success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#17B26A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#17B26A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status-warning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#F79009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#F79009</w:t>
            </w:r>
          </w:p>
        </w:tc>
      </w:tr>
      <w:tr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status-danger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#F04438</w:t>
            </w:r>
          </w:p>
        </w:tc>
        <w:tc>
          <w:tcPr>
            <w:tcW w:type="dxa" w:w="312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#F04438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Tipografi</w:t>
      </w:r>
    </w:p>
    <w:p>
      <w:pPr>
        <w:spacing w:after="120" w:line="280"/>
      </w:pPr>
      <w:r>
        <w:t xml:space="preserve">JO-MOCK menggunakan tiga keluarga huruf yang saling melengkapi: Space Grotesk untuk heading dan elemen identitas, IBM Plex Sans untuk body teks, dan Space Mono untuk URL, kode, dan JSON. Semuanya tersedia gratis melalui Google Fonts.</w:t>
      </w:r>
    </w:p>
    <w:p>
      <w:pPr>
        <w:pStyle w:val="Heading2"/>
      </w:pPr>
      <w:r>
        <w:t xml:space="preserve">4.1 Heading — Space Grotesk</w:t>
      </w:r>
    </w:p>
    <w:p>
      <w:pPr>
        <w:spacing w:after="60"/>
      </w:pPr>
      <w:r>
        <w:rPr>
          <w:rFonts w:ascii="Space Grotesk" w:cs="Space Grotesk" w:eastAsia="Space Grotesk" w:hAnsi="Space Grotesk"/>
          <w:b/>
          <w:bCs/>
          <w:color w:val="1A1726"/>
          <w:sz w:val="48"/>
          <w:szCs w:val="48"/>
        </w:rPr>
        <w:t xml:space="preserve">Space Grotesk</w:t>
      </w:r>
    </w:p>
    <w:p>
      <w:pPr>
        <w:spacing w:after="200"/>
      </w:pPr>
      <w:r>
        <w:rPr>
          <w:rFonts w:ascii="Space Grotesk" w:cs="Space Grotesk" w:eastAsia="Space Grotesk" w:hAnsi="Space Grotesk"/>
          <w:b/>
          <w:bCs/>
          <w:color w:val="6C5CE7"/>
          <w:sz w:val="36"/>
          <w:szCs w:val="36"/>
        </w:rPr>
        <w:t xml:space="preserve">Build without waiting</w:t>
      </w:r>
    </w:p>
    <w:p>
      <w:pPr>
        <w:spacing w:after="120" w:line="280"/>
      </w:pPr>
      <w:r>
        <w:t xml:space="preserve">Karakter teknis-geometris dengan sentuhan personal. Dipakai untuk semua heading (H1–H6), label besar, judul section, dan kata-kata brand.</w:t>
      </w:r>
    </w:p>
    <w:p>
      <w:pPr>
        <w:spacing w:after="120" w:line="280"/>
      </w:pPr>
      <w:r>
        <w:t xml:space="preserve">Weight yang dipakai: 500 (Medium) dan 700 (Bold). Hindari weight di luar dua ini agar konsisten.</w:t>
      </w:r>
    </w:p>
    <w:p>
      <w:pPr>
        <w:pStyle w:val="Heading2"/>
      </w:pPr>
      <w:r>
        <w:t xml:space="preserve">4.2 Body — IBM Plex Sans</w:t>
      </w:r>
    </w:p>
    <w:p>
      <w:pPr>
        <w:spacing w:after="60"/>
      </w:pPr>
      <w:r>
        <w:rPr>
          <w:rFonts w:ascii="IBM Plex Sans" w:cs="IBM Plex Sans" w:eastAsia="IBM Plex Sans" w:hAnsi="IBM Plex Sans"/>
          <w:b/>
          <w:bCs/>
          <w:color w:val="1A1726"/>
          <w:sz w:val="36"/>
          <w:szCs w:val="36"/>
        </w:rPr>
        <w:t xml:space="preserve">IBM Plex Sans</w:t>
      </w:r>
    </w:p>
    <w:p>
      <w:pPr>
        <w:spacing w:after="200"/>
      </w:pPr>
      <w:r>
        <w:rPr>
          <w:rFonts w:ascii="IBM Plex Sans" w:cs="IBM Plex Sans" w:eastAsia="IBM Plex Sans" w:hAnsi="IBM Plex Sans"/>
          <w:color w:val="5B5870"/>
          <w:sz w:val="22"/>
          <w:szCs w:val="22"/>
        </w:rPr>
        <w:t xml:space="preserve">Frontend cukup mengganti base URL — tanpa setup, tanpa refactor. Setiap perubahan kontrak melewati change request.</w:t>
      </w:r>
    </w:p>
    <w:p>
      <w:pPr>
        <w:spacing w:after="120" w:line="280"/>
      </w:pPr>
      <w:r>
        <w:t xml:space="preserve">Sangat enak dibaca di layar dan berkarakter "engineering". Dipakai untuk semua body teks, paragraf panjang, label form, deskripsi, dan tooltip.</w:t>
      </w:r>
    </w:p>
    <w:p>
      <w:pPr>
        <w:spacing w:after="120" w:line="280"/>
      </w:pPr>
      <w:r>
        <w:t xml:space="preserve">Weight yang dipakai: 400 (Regular) dan 500 (Medium). Italic dipakai sangat hemat — hanya untuk kutipan atau penekanan halus.</w:t>
      </w:r>
    </w:p>
    <w:p>
      <w:pPr>
        <w:pStyle w:val="Heading2"/>
      </w:pPr>
      <w:r>
        <w:t xml:space="preserve">4.3 Mono — Space Mono</w:t>
      </w:r>
    </w:p>
    <w:p>
      <w:pPr>
        <w:spacing w:after="60"/>
      </w:pPr>
      <w:r>
        <w:rPr>
          <w:rFonts w:ascii="Space Mono" w:cs="Space Mono" w:eastAsia="Space Mono" w:hAnsi="Space Mono"/>
          <w:b/>
          <w:bCs/>
          <w:color w:val="1A1726"/>
          <w:sz w:val="36"/>
          <w:szCs w:val="36"/>
        </w:rPr>
        <w:t xml:space="preserve">Space Mono</w:t>
      </w:r>
    </w:p>
    <w:p>
      <w:pPr>
        <w:spacing w:after="100"/>
      </w:pPr>
      <w:r>
        <w:rPr>
          <w:rFonts w:ascii="Space Mono" w:cs="Space Mono" w:eastAsia="Space Mono" w:hAnsi="Space Mono"/>
          <w:color w:val="6C5CE7"/>
          <w:sz w:val="22"/>
          <w:szCs w:val="22"/>
        </w:rPr>
        <w:t xml:space="preserve">GET /api/users → 200 OK</w:t>
      </w:r>
    </w:p>
    <w:p>
      <w:pPr>
        <w:spacing w:after="200"/>
      </w:pPr>
      <w:r>
        <w:rPr>
          <w:rFonts w:ascii="Space Mono" w:cs="Space Mono" w:eastAsia="Space Mono" w:hAnsi="Space Mono"/>
          <w:color w:val="5B5870"/>
          <w:sz w:val="20"/>
          <w:szCs w:val="20"/>
        </w:rPr>
        <w:t xml:space="preserve">https://jomock.app/mock/{project-id}/api/users</w:t>
      </w:r>
    </w:p>
    <w:p>
      <w:pPr>
        <w:spacing w:after="120" w:line="280"/>
      </w:pPr>
      <w:r>
        <w:t xml:space="preserve">Berkarakter dan punya "kepribadian" — sesuai jiwa brand. Dipakai untuk URL, kode, JSON, status HTTP, method API, dan nama variabel.</w:t>
      </w:r>
    </w:p>
    <w:p>
      <w:pPr>
        <w:spacing w:after="120" w:line="280"/>
      </w:pPr>
      <w:r>
        <w:t xml:space="preserve">Tidak dipakai untuk paragraf panjang karena melelahkan mata.</w:t>
      </w:r>
    </w:p>
    <w:p>
      <w:pPr>
        <w:pStyle w:val="Heading2"/>
      </w:pPr>
      <w:r>
        <w:t xml:space="preserve">4.4 Skala Tipografi</w:t>
      </w:r>
    </w:p>
    <w:p>
      <w:pPr>
        <w:spacing w:after="120" w:line="280"/>
      </w:pPr>
      <w:r>
        <w:t xml:space="preserve">Skala berikut diterapkan secara konsisten di aplikasi: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Ukuran (px)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Display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48–64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700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Heading 1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32–36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700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Heading 2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24–28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700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Heading 3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Heading 4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18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Body Large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IBM Plex Sans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16–18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Body Default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IBM Plex Sans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14–15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Body Small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IBM Plex Sans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Caption / Label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IBM Plex Sans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Code / URL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Mono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13–14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Code Inline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Mono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400</w:t>
            </w:r>
          </w:p>
        </w:tc>
      </w:tr>
    </w:tbl>
    <w:p>
      <w:pPr>
        <w:pStyle w:val="Heading2"/>
      </w:pPr>
      <w:r>
        <w:t xml:space="preserve">4.5 Aturan Penggunaan Tipografi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Pakai Space Grotesk untuk semua heading dan label besar.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Memakai font heading lain (Inter, Poppins, dll).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Pakai Space Mono untuk URL, kode, dan JSON.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Menulis URL dengan font sans-serif biasa.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Pertahankan line-height 1.6–1.7 untuk body teks.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Memadatkan body teks dengan line-height &lt; 1.4.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ECF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067647"/>
                <w:sz w:val="20"/>
                <w:szCs w:val="20"/>
              </w:rPr>
              <w:t xml:space="preserve">✓  LAKUKAN</w:t>
            </w:r>
          </w:p>
          <w:p>
            <w:r>
              <w:rPr>
                <w:rFonts w:ascii="IBM Plex Sans" w:cs="IBM Plex Sans" w:eastAsia="IBM Plex Sans" w:hAnsi="IBM Plex Sans"/>
                <w:color w:val="067647"/>
                <w:sz w:val="19"/>
                <w:szCs w:val="19"/>
              </w:rPr>
              <w:t xml:space="preserve">Gunakan sentence case di label, tombol, dan heading.</w:t>
            </w:r>
          </w:p>
        </w:tc>
        <w:tc>
          <w:tcPr>
            <w:tcW w:type="dxa" w:w="46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B42318"/>
                <w:sz w:val="20"/>
                <w:szCs w:val="20"/>
              </w:rPr>
              <w:t xml:space="preserve">✗  JANGAN</w:t>
            </w:r>
          </w:p>
          <w:p>
            <w:r>
              <w:rPr>
                <w:rFonts w:ascii="IBM Plex Sans" w:cs="IBM Plex Sans" w:eastAsia="IBM Plex Sans" w:hAnsi="IBM Plex Sans"/>
                <w:color w:val="B42318"/>
                <w:sz w:val="19"/>
                <w:szCs w:val="19"/>
              </w:rPr>
              <w:t xml:space="preserve">Memakai ALL CAPS panjang atau Title Case di setiap kata.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Aturan Penerapan</w:t>
      </w:r>
    </w:p>
    <w:p>
      <w:pPr>
        <w:pStyle w:val="Heading2"/>
      </w:pPr>
      <w:r>
        <w:t xml:space="preserve">5.1 Light Mode vs Dark Mode</w:t>
      </w:r>
    </w:p>
    <w:p>
      <w:pPr>
        <w:spacing w:after="120" w:line="280"/>
      </w:pPr>
      <w:r>
        <w:t xml:space="preserve">JO-MOCK mendukung dua mode tampilan. Pemilihan mode harus mengikuti preferensi sistem pengguna (`prefers-color-scheme`), dengan opsi override manual di pengaturan aplikasi.</w:t>
      </w:r>
    </w:p>
    <w:p>
      <w:pPr>
        <w:spacing w:after="120" w:line="280"/>
      </w:pPr>
      <w:r>
        <w:t xml:space="preserve">Berikut pratinjau bagaimana elemen UI utama tampil di kedua mode — header, tombol primary/secondary, URL box, dan badge status response:</w:t>
      </w:r>
    </w:p>
    <w:p>
      <w:pPr>
        <w:spacing w:after="80"/>
      </w:pPr>
      <w:r>
        <w:t xml:space="preserve"/>
      </w:r>
    </w:p>
    <w:p>
      <w:pPr>
        <w:spacing w:after="200" w:before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80"/>
      </w:pPr>
      <w:r>
        <w:t xml:space="preserve">Perhatikan bahwa warna brand indigo, tipografi, dan elemen aksen tetap konsisten di kedua mode — yang berubah hanya netralnya (background, surface, dan teks).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Logo aplikasi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jomock-light.svg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jomock-dark.svg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Background utama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#FFFFFF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#100E18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Background page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#F7F7FB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#0A0810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Surface (card/panel)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#F4F3FB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#1B1828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Teks utama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#1A1726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#F5F4FA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Tombol primary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Indigo #6C5CE7 + teks putih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Indigo #6C5CE7 + teks putih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Tombol secondary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Outline indigo + teks indigo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Outline indigo terang + teks indigo terang</w:t>
            </w:r>
          </w:p>
        </w:tc>
      </w:tr>
      <w:tr>
        <w:tc>
          <w:tcPr>
            <w:tcW w:type="dxa" w:w="2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URL / kode box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BG #F4F3FB + teks #4B3FCC</w:t>
            </w:r>
          </w:p>
        </w:tc>
        <w:tc>
          <w:tcPr>
            <w:tcW w:type="dxa" w:w="338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BG #1B1828 + teks #A29BFF</w:t>
            </w:r>
          </w:p>
        </w:tc>
      </w:tr>
    </w:tbl>
    <w:p>
      <w:pPr>
        <w:pStyle w:val="Heading2"/>
      </w:pPr>
      <w:r>
        <w:t xml:space="preserve">5.2 Pasang Favicon</w:t>
      </w:r>
    </w:p>
    <w:p>
      <w:pPr>
        <w:spacing w:after="120" w:line="280"/>
      </w:pPr>
      <w:r>
        <w:t xml:space="preserve">Untuk membuat favicon di tab browser otomatis mengikuti mode sistem pengguna, daftarkan dua link dengan media query di file index.html aplikasi:</w:t>
      </w:r>
    </w:p>
    <w:p>
      <w:pPr>
        <w:pBdr>
          <w:top w:val="single" w:color="2E2A45" w:sz="1" w:space="8"/>
          <w:left w:val="single" w:color="2E2A45" w:sz="1" w:space="8"/>
          <w:bottom w:val="single" w:color="2E2A45" w:sz="1" w:space="8"/>
          <w:right w:val="single" w:color="2E2A45" w:sz="1" w:space="8"/>
        </w:pBdr>
        <w:shd w:fill="100E18" w:val="clear"/>
        <w:spacing w:after="200" w:before="80"/>
      </w:pPr>
      <w:r>
        <w:rPr>
          <w:rFonts w:ascii="Space Mono" w:cs="Space Mono" w:eastAsia="Space Mono" w:hAnsi="Space Mono"/>
          <w:color w:val="A29BFF"/>
          <w:sz w:val="18"/>
          <w:szCs w:val="18"/>
        </w:rPr>
        <w:t xml:space="preserve">&lt;link rel="icon" type="image/svg+xml"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    href="/jomock-light.svg"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    media="(prefers-color-scheme: light)" /&gt;</w:t>
      </w:r>
      <w:r>
        <w:br/>
      </w:r>
      <w:r>
        <w:rPr>
          <w:rFonts w:ascii="Space Mono" w:cs="Space Mono" w:eastAsia="Space Mono" w:hAnsi="Space Mono"/>
          <w:color w:val="A29BFF"/>
          <w:sz w:val="18"/>
          <w:szCs w:val="18"/>
        </w:rPr>
        <w:t xml:space="preserve">&lt;link rel="icon" type="image/svg+xml"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    href="/jomock-dark.svg"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    media="(prefers-color-scheme: dark)" /&gt;</w:t>
      </w:r>
    </w:p>
    <w:p>
      <w:pPr>
        <w:pStyle w:val="Heading2"/>
      </w:pPr>
      <w:r>
        <w:t xml:space="preserve">5.3 CSS Variable (Direkomendasikan)</w:t>
      </w:r>
    </w:p>
    <w:p>
      <w:pPr>
        <w:spacing w:after="120" w:line="280"/>
      </w:pPr>
      <w:r>
        <w:t xml:space="preserve">Untuk implementasi di kode, simpan token warna dan tipografi sebagai CSS variable. Berikut potongan yang dapat dipakai sebagai titik awal:</w:t>
      </w:r>
    </w:p>
    <w:p>
      <w:pPr>
        <w:pBdr>
          <w:top w:val="single" w:color="2E2A45" w:sz="1" w:space="8"/>
          <w:left w:val="single" w:color="2E2A45" w:sz="1" w:space="8"/>
          <w:bottom w:val="single" w:color="2E2A45" w:sz="1" w:space="8"/>
          <w:right w:val="single" w:color="2E2A45" w:sz="1" w:space="8"/>
        </w:pBdr>
        <w:shd w:fill="100E18" w:val="clear"/>
        <w:spacing w:after="200" w:before="80"/>
      </w:pPr>
      <w:r>
        <w:rPr>
          <w:rFonts w:ascii="Space Mono" w:cs="Space Mono" w:eastAsia="Space Mono" w:hAnsi="Space Mono"/>
          <w:color w:val="A29BFF"/>
          <w:sz w:val="18"/>
          <w:szCs w:val="18"/>
        </w:rPr>
        <w:t xml:space="preserve">:root {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--brand-primary: #6C5CE7;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--brand-accent: #A29BFF;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--bg-page: #F7F7FB;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--bg-default: #FFFFFF;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--bg-surface: #F4F3FB;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--text-primary: #1A1726;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--text-secondary: #5B5870;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--border-default: #E5E1EF;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--font-heading: 'Space Grotesk', sans-serif;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--font-body: 'IBM Plex Sans', sans-serif;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--font-mono: 'Space Mono', monospace;</w:t>
      </w:r>
      <w:r>
        <w:br/>
      </w:r>
      <w:r>
        <w:rPr>
          <w:rFonts w:ascii="Space Mono" w:cs="Space Mono" w:eastAsia="Space Mono" w:hAnsi="Space Mono"/>
          <w:color w:val="A29BFF"/>
          <w:sz w:val="18"/>
          <w:szCs w:val="18"/>
        </w:rPr>
        <w:t xml:space="preserve">}</w:t>
      </w:r>
      <w:r>
        <w:br/>
        <w:br/>
      </w:r>
      <w:r>
        <w:rPr>
          <w:rFonts w:ascii="Space Mono" w:cs="Space Mono" w:eastAsia="Space Mono" w:hAnsi="Space Mono"/>
          <w:color w:val="A29BFF"/>
          <w:sz w:val="18"/>
          <w:szCs w:val="18"/>
        </w:rPr>
        <w:t xml:space="preserve">[data-theme="dark"] {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--bg-page: #0A0810;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--bg-default: #100E18;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--bg-surface: #1B1828;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--text-primary: #F5F4FA;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--text-secondary: #A29BC8;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--border-default: #2E2A45;</w:t>
      </w:r>
      <w:r>
        <w:br/>
      </w:r>
      <w:r>
        <w:rPr>
          <w:rFonts w:ascii="Space Mono" w:cs="Space Mono" w:eastAsia="Space Mono" w:hAnsi="Space Mono"/>
          <w:color w:val="A29BFF"/>
          <w:sz w:val="18"/>
          <w:szCs w:val="18"/>
        </w:rPr>
        <w:t xml:space="preserve">}</w:t>
      </w:r>
    </w:p>
    <w:p>
      <w:pPr>
        <w:pStyle w:val="Heading2"/>
      </w:pPr>
      <w:r>
        <w:t xml:space="preserve">5.4 Memuat Font dari Google Fonts</w:t>
      </w:r>
    </w:p>
    <w:p>
      <w:pPr>
        <w:spacing w:after="120" w:line="280"/>
      </w:pPr>
      <w:r>
        <w:t xml:space="preserve">Untuk memuat ketiga font dari Google Fonts, sisipkan tag berikut di &lt;head&gt;:</w:t>
      </w:r>
    </w:p>
    <w:p>
      <w:pPr>
        <w:pBdr>
          <w:top w:val="single" w:color="2E2A45" w:sz="1" w:space="8"/>
          <w:left w:val="single" w:color="2E2A45" w:sz="1" w:space="8"/>
          <w:bottom w:val="single" w:color="2E2A45" w:sz="1" w:space="8"/>
          <w:right w:val="single" w:color="2E2A45" w:sz="1" w:space="8"/>
        </w:pBdr>
        <w:shd w:fill="100E18" w:val="clear"/>
        <w:spacing w:after="200" w:before="80"/>
      </w:pP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&lt;link rel="preconnect" href="https://fonts.googleapis.com"&gt;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&lt;link rel="preconnect" href="https://fonts.gstatic.com" crossorigin&gt;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&lt;link href="https://fonts.googleapis.com/css2?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family=Space+Grotesk:wght@500;700&amp;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family=IBM+Plex+Sans:wght@400;500&amp;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family=Space+Mono:wght@400;700&amp;</w:t>
      </w:r>
      <w:r>
        <w:br/>
      </w:r>
      <w:r>
        <w:rPr>
          <w:rFonts w:ascii="Space Mono" w:cs="Space Mono" w:eastAsia="Space Mono" w:hAnsi="Space Mono"/>
          <w:color w:val="F5F4FA"/>
          <w:sz w:val="18"/>
          <w:szCs w:val="18"/>
        </w:rPr>
        <w:t xml:space="preserve">  display=swap" rel="stylesheet"&gt;</w:t>
      </w:r>
    </w:p>
    <w:p>
      <w:r>
        <w:br w:type="page"/>
      </w:r>
    </w:p>
    <w:p>
      <w:pPr>
        <w:pStyle w:val="Heading1"/>
      </w:pPr>
      <w:r>
        <w:t xml:space="preserve">6. Ringkasan &amp; Aset</w:t>
      </w:r>
    </w:p>
    <w:p>
      <w:pPr>
        <w:spacing w:after="120" w:line="280"/>
      </w:pPr>
      <w:r>
        <w:t xml:space="preserve">Berikut ringkasan cepat seluruh aset brand JO-MOCK dan kapan memakainya.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900"/>
        <w:gridCol w:w="4600"/>
      </w:tblGrid>
      <w:tr>
        <w:trPr>
          <w:tblHeader/>
        </w:trP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Aset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Kapan Dipakai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jomock-light.svg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SVG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Favicon &amp; logo light mode.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jomock-dark.svg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SVG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Favicon &amp; logo dark mode.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jomock-dark-transparent.svg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SVG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Logo di atas surface gelap berwarna lain.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Semua heading &amp; label besar.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IBM Plex Sans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Semua body teks, paragraf, tooltip.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Space Mono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URL, kode, JSON, status HTTP.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Indigo #6C5CE7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Hex / CSS var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Brand utama: tombol primary, link aktif.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Token netral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Hex / CSS var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Background, surface, teks (lihat 3.5).</w:t>
            </w:r>
          </w:p>
        </w:tc>
      </w:tr>
      <w:tr>
        <w:tc>
          <w:tcPr>
            <w:tcW w:type="dxa" w:w="286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Warna status</w:t>
            </w:r>
          </w:p>
        </w:tc>
        <w:tc>
          <w:tcPr>
            <w:tcW w:type="dxa" w:w="19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Hex / CSS var</w:t>
            </w:r>
          </w:p>
        </w:tc>
        <w:tc>
          <w:tcPr>
            <w:tcW w:type="dxa" w:w="4600"/>
            <w:tcBorders>
              <w:top w:val="single" w:color="E5E1EF" w:sz="1"/>
              <w:left w:val="single" w:color="E5E1EF" w:sz="1"/>
              <w:bottom w:val="single" w:color="E5E1EF" w:sz="1"/>
              <w:right w:val="single" w:color="E5E1E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A1726"/>
                <w:sz w:val="19"/>
                <w:szCs w:val="19"/>
              </w:rPr>
              <w:t xml:space="preserve">Hanya untuk status response &amp; validasi.</w:t>
            </w:r>
          </w:p>
        </w:tc>
      </w:tr>
    </w:tbl>
    <w:p>
      <w:pPr>
        <w:pBdr>
          <w:top w:val="single" w:color="6C5CE7" w:sz="6" w:space="6"/>
        </w:pBdr>
        <w:spacing w:before="360"/>
        <w:jc w:val="center"/>
      </w:pPr>
      <w:r>
        <w:rPr>
          <w:rFonts w:ascii="IBM Plex Sans" w:cs="IBM Plex Sans" w:eastAsia="IBM Plex Sans" w:hAnsi="IBM Plex Sans"/>
          <w:i/>
          <w:iCs/>
          <w:color w:val="8B889C"/>
          <w:sz w:val="18"/>
          <w:szCs w:val="18"/>
        </w:rPr>
        <w:t xml:space="preserve">JO-MOCK · Joint Operations Mock · Brand Guidelines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IBM Plex Sans" w:cs="IBM Plex Sans" w:eastAsia="IBM Plex Sans" w:hAnsi="IBM Plex Sans"/>
        <w:color w:val="8B889C"/>
        <w:sz w:val="16"/>
        <w:szCs w:val="16"/>
      </w:rPr>
      <w:t xml:space="preserve">Versi 1.0</w:t>
    </w:r>
    <w:r>
      <w:rPr>
        <w:sz w:val="16"/>
        <w:szCs w:val="16"/>
      </w:rPr>
      <w:t xml:space="preserve">	</w:t>
    </w:r>
    <w:r>
      <w:rPr>
        <w:rFonts w:ascii="IBM Plex Sans" w:cs="IBM Plex Sans" w:eastAsia="IBM Plex Sans" w:hAnsi="IBM Plex Sans"/>
        <w:color w:val="8B889C"/>
        <w:sz w:val="16"/>
        <w:szCs w:val="16"/>
      </w:rPr>
      <w:t xml:space="preserve">Hal.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5CE7" w:sz="4" w:space="4"/>
      </w:pBdr>
    </w:pPr>
    <w:r>
      <w:rPr>
        <w:rFonts w:ascii="Space Grotesk" w:cs="Space Grotesk" w:eastAsia="Space Grotesk" w:hAnsi="Space Grotesk"/>
        <w:b/>
        <w:bCs/>
        <w:color w:val="6C5CE7"/>
        <w:sz w:val="18"/>
        <w:szCs w:val="18"/>
      </w:rPr>
      <w:t xml:space="preserve">JO-MOCK</w:t>
    </w:r>
    <w:r>
      <w:rPr>
        <w:rFonts w:ascii="IBM Plex Sans" w:cs="IBM Plex Sans" w:eastAsia="IBM Plex Sans" w:hAnsi="IBM Plex Sans"/>
        <w:color w:val="8B889C"/>
        <w:sz w:val="16"/>
        <w:szCs w:val="16"/>
      </w:rPr>
      <w:t xml:space="preserve">  ·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Space Grotesk" w:cs="Space Grotesk" w:eastAsia="Space Grotesk" w:hAnsi="Space Grotesk"/>
      <w:b/>
      <w:bCs/>
      <w:color w:val="6C5CE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pace Grotesk" w:cs="Space Grotesk" w:eastAsia="Space Grotesk" w:hAnsi="Space Grotesk"/>
      <w:b/>
      <w:bCs/>
      <w:color w:val="1A17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pace Grotesk" w:cs="Space Grotesk" w:eastAsia="Space Grotesk" w:hAnsi="Space Grotesk"/>
      <w:b/>
      <w:bCs/>
      <w:color w:val="1A17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034127b988113f3462cfcd989c23f73b0090bf.png"/><Relationship Id="rId10" Type="http://schemas.openxmlformats.org/officeDocument/2006/relationships/image" Target="media/03b7e8644d5a43a60006f41c39dc7dd98a0ee40f.png"/><Relationship Id="rId11" Type="http://schemas.openxmlformats.org/officeDocument/2006/relationships/image" Target="media/7f3fed3f442566ce29778c4f64c3e86c583adc10.png"/><Relationship Id="rId12" Type="http://schemas.openxmlformats.org/officeDocument/2006/relationships/image" Target="media/7b08653ee8719173548f6192572b15cec858f94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JO-MOCK Brand Guidelines</dc:title>
  <dc:creator>Lutfi</dc:creator>
  <cp:lastModifiedBy>Un-named</cp:lastModifiedBy>
  <cp:revision>1</cp:revision>
  <dcterms:created xsi:type="dcterms:W3CDTF">2026-06-10T13:42:17.501Z</dcterms:created>
  <dcterms:modified xsi:type="dcterms:W3CDTF">2026-06-10T13:42:17.501Z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