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02">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1333500" cy="1285875"/>
            <wp:effectExtent b="0" l="0" r="0" t="0"/>
            <wp:docPr id="193607289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335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0" w:lineRule="auto"/>
        <w:ind w:left="-142" w:right="-14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KEMENTERIAN KOORDINATOR </w:t>
      </w:r>
    </w:p>
    <w:p w:rsidR="00000000" w:rsidDel="00000000" w:rsidP="00000000" w:rsidRDefault="00000000" w:rsidRPr="00000000" w14:paraId="00000005">
      <w:pPr>
        <w:spacing w:after="0" w:lineRule="auto"/>
        <w:ind w:left="-142" w:right="-14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BIDANG PEMBANGUNAN MANUSIA DAN KEBUDAYAAN</w:t>
      </w:r>
    </w:p>
    <w:p w:rsidR="00000000" w:rsidDel="00000000" w:rsidP="00000000" w:rsidRDefault="00000000" w:rsidRPr="00000000" w14:paraId="00000006">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REPUBLIK INDONESIA</w:t>
      </w:r>
    </w:p>
    <w:p w:rsidR="00000000" w:rsidDel="00000000" w:rsidP="00000000" w:rsidRDefault="00000000" w:rsidRPr="00000000" w14:paraId="00000007">
      <w:pPr>
        <w:spacing w:after="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KERANGKA ACUAN KEGIATAN (KAK)</w:t>
      </w:r>
    </w:p>
    <w:p w:rsidR="00000000" w:rsidDel="00000000" w:rsidP="00000000" w:rsidRDefault="00000000" w:rsidRPr="00000000" w14:paraId="0000000A">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ASISTEN DEPUTI PEMBERDAYAAN DISABILITAS DAN LANJUT USIA</w:t>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0B">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TAHUN 2026</w:t>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0C">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RINCIAN OUTPUT (RO):</w:t>
      </w:r>
    </w:p>
    <w:p w:rsidR="00000000" w:rsidDel="00000000" w:rsidP="00000000" w:rsidRDefault="00000000" w:rsidRPr="00000000" w14:paraId="0000000E">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REKOMENDASI ALTERNATIF KEBIJAKAN Peningkatan Kesejahteraan dan Perlindungan Lanjut Usia serta Disabilitas</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(001)</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10">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KLASIFIKASI RINCIAN OUTPUT (KRO):</w:t>
      </w:r>
    </w:p>
    <w:p w:rsidR="00000000" w:rsidDel="00000000" w:rsidP="00000000" w:rsidRDefault="00000000" w:rsidRPr="00000000" w14:paraId="00000012">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Kebijakan Bidang Kebijakan Perlindungan Sosial dan Penanggulangan Kemiskinan</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(036.CL.001)</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1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KEGIATAN:</w:t>
      </w:r>
    </w:p>
    <w:p w:rsidR="00000000" w:rsidDel="00000000" w:rsidP="00000000" w:rsidRDefault="00000000" w:rsidRPr="00000000" w14:paraId="00000016">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Kebijakan Koordinasi Pelaksanaan Kebijakan Kesejahteraan Sosial</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(1234)</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1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PROGRAM:</w:t>
      </w:r>
    </w:p>
    <w:p w:rsidR="00000000" w:rsidDel="00000000" w:rsidP="00000000" w:rsidRDefault="00000000" w:rsidRPr="00000000" w14:paraId="0000001A">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Program Koordinasi Pelaksanaan Kebijakan</w:t>
      </w:r>
    </w:p>
    <w:p w:rsidR="00000000" w:rsidDel="00000000" w:rsidP="00000000" w:rsidRDefault="00000000" w:rsidRPr="00000000" w14:paraId="000000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(036.CL)</w:t>
      </w:r>
    </w:p>
    <w:p w:rsidR="00000000" w:rsidDel="00000000" w:rsidP="00000000" w:rsidRDefault="00000000" w:rsidRPr="00000000" w14:paraId="0000001C">
      <w:pPr>
        <w:spacing w:after="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0" w:line="288"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0" w:line="288"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DEPUTI BIDANG KOORDINASI PENINGKATAN KESEJAHTERAAN SOSIAL</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1F">
      <w:pPr>
        <w:spacing w:after="0" w:line="288"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KEMENTERIAN KOORDINATOR BIDANG PEMBANGUNAN MANUSIA DAN KEBUDAYAAN</w:t>
      </w:r>
    </w:p>
    <w:p w:rsidR="00000000" w:rsidDel="00000000" w:rsidP="00000000" w:rsidRDefault="00000000" w:rsidRPr="00000000" w14:paraId="00000020">
      <w:pPr>
        <w:ind w:left="2020" w:right="202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TAHUN 2026</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21">
      <w:pPr>
        <w:spacing w:line="36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KERANGKA ACUAN KERJA (KAK)</w:t>
      </w:r>
    </w:p>
    <w:p w:rsidR="00000000" w:rsidDel="00000000" w:rsidP="00000000" w:rsidRDefault="00000000" w:rsidRPr="00000000" w14:paraId="00000026">
      <w:pPr>
        <w:spacing w:after="12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i w:val="1"/>
          <w:iCs w:val="1"/>
          <w:sz w:val="22"/>
          <w:szCs w:val="22"/>
          <w:rtl w:val="0"/>
        </w:rPr>
        <w:t xml:space="preserve">TERM OF REFERENCE (TOR)</w:t>
      </w:r>
      <w:r w:rsidDel="00000000" w:rsidR="00000000" w:rsidRPr="00000000">
        <w:rPr>
          <w:rFonts w:ascii="Arial" w:cs="Arial" w:eastAsia="Arial" w:hAnsi="Arial"/>
          <w:b w:val="1"/>
          <w:bCs w:val="1"/>
          <w:sz w:val="22"/>
          <w:szCs w:val="22"/>
          <w:rtl w:val="0"/>
        </w:rPr>
        <w:t xml:space="preserve">]</w:t>
      </w:r>
    </w:p>
    <w:tbl>
      <w:tblPr>
        <w:tblStyle w:val="Table1"/>
        <w:tblW w:w="9468.0" w:type="dxa"/>
        <w:jc w:val="left"/>
        <w:tblLayout w:type="fixed"/>
        <w:tblLook w:val="0400"/>
      </w:tblPr>
      <w:tblGrid>
        <w:gridCol w:w="2988"/>
        <w:gridCol w:w="360"/>
        <w:gridCol w:w="6120"/>
        <w:tblGridChange w:id="0">
          <w:tblGrid>
            <w:gridCol w:w="2988"/>
            <w:gridCol w:w="360"/>
            <w:gridCol w:w="6120"/>
          </w:tblGrid>
        </w:tblGridChange>
      </w:tblGrid>
      <w:tr>
        <w:trPr>
          <w:cantSplit w:val="0"/>
          <w:tblHeader w:val="0"/>
        </w:trPr>
        <w:tc>
          <w:tcPr/>
          <w:p w:rsidR="00000000" w:rsidDel="00000000" w:rsidP="00000000" w:rsidRDefault="00000000" w:rsidRPr="00000000" w14:paraId="00000027">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Kementerian / Lembaga </w:t>
            </w:r>
          </w:p>
        </w:tc>
        <w:tc>
          <w:tcPr/>
          <w:p w:rsidR="00000000" w:rsidDel="00000000" w:rsidP="00000000" w:rsidRDefault="00000000" w:rsidRPr="00000000" w14:paraId="00000028">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9">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Kementerian Koordinator Bidang Pembangunan Manusia dan Kebudayaan</w:t>
            </w:r>
          </w:p>
        </w:tc>
      </w:tr>
      <w:tr>
        <w:trPr>
          <w:cantSplit w:val="0"/>
          <w:tblHeader w:val="0"/>
        </w:trPr>
        <w:tc>
          <w:tcPr/>
          <w:p w:rsidR="00000000" w:rsidDel="00000000" w:rsidP="00000000" w:rsidRDefault="00000000" w:rsidRPr="00000000" w14:paraId="0000002A">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Unit Eselon II</w:t>
            </w:r>
          </w:p>
        </w:tc>
        <w:tc>
          <w:tcPr/>
          <w:p w:rsidR="00000000" w:rsidDel="00000000" w:rsidP="00000000" w:rsidRDefault="00000000" w:rsidRPr="00000000" w14:paraId="0000002B">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C">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PEMBERDAYAAN DISABILITAS DAN LANJUT USIA</w:t>
            </w:r>
            <w:r w:rsidDel="00000000" w:rsidR="00000000" w:rsidRPr="00000000">
              <w:rPr>
                <w:rFonts w:ascii="Arial" w:cs="Arial" w:eastAsia="Arial" w:hAnsi="Arial"/>
                <w:b w:val="1"/>
                <w:bCs w:val="1"/>
                <w:sz w:val="22"/>
                <w:szCs w:val="22"/>
                <w:rtl w:val="0"/>
              </w:rPr>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Program </w:t>
            </w:r>
          </w:p>
        </w:tc>
        <w:tc>
          <w:tcPr/>
          <w:p w:rsidR="00000000" w:rsidDel="00000000" w:rsidP="00000000" w:rsidRDefault="00000000" w:rsidRPr="00000000" w14:paraId="0000002E">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F">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Program Koordinasi Pelaksanaan Kebijakan (036.CL)</w:t>
            </w:r>
          </w:p>
        </w:tc>
      </w:tr>
      <w:tr>
        <w:trPr>
          <w:cantSplit w:val="0"/>
          <w:tblHeader w:val="0"/>
        </w:trPr>
        <w:tc>
          <w:tcPr/>
          <w:p w:rsidR="00000000" w:rsidDel="00000000" w:rsidP="00000000" w:rsidRDefault="00000000" w:rsidRPr="00000000" w14:paraId="00000030">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Sasaran Program</w:t>
            </w:r>
          </w:p>
        </w:tc>
        <w:tc>
          <w:tcPr/>
          <w:p w:rsidR="00000000" w:rsidDel="00000000" w:rsidP="00000000" w:rsidRDefault="00000000" w:rsidRPr="00000000" w14:paraId="00000031">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2">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Meningkatnya koordinasi dalam mengembangkan dan menyerasikan kebijakan Bidang Peningkatan Kesejahteraan Sosial dan Pemberdayaan Masyarakat</w:t>
            </w:r>
            <w:r w:rsidDel="00000000" w:rsidR="00000000" w:rsidRPr="00000000">
              <w:rPr>
                <w:rFonts w:ascii="Arial" w:cs="Arial" w:eastAsia="Arial" w:hAnsi="Arial"/>
                <w:b w:val="1"/>
                <w:bCs w:val="1"/>
                <w:sz w:val="22"/>
                <w:szCs w:val="22"/>
                <w:rtl w:val="0"/>
              </w:rPr>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Indikator Kinerja Program</w:t>
            </w:r>
          </w:p>
        </w:tc>
        <w:tc>
          <w:tcPr/>
          <w:p w:rsidR="00000000" w:rsidDel="00000000" w:rsidP="00000000" w:rsidRDefault="00000000" w:rsidRPr="00000000" w14:paraId="00000034">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5">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Rekomendasi Kebijakan di Bidang Perlindungan Sosial dan Pemberdayaan Disabilitas yang dihasilkan</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36">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Kegiatan </w:t>
            </w:r>
          </w:p>
        </w:tc>
        <w:tc>
          <w:tcPr/>
          <w:p w:rsidR="00000000" w:rsidDel="00000000" w:rsidP="00000000" w:rsidRDefault="00000000" w:rsidRPr="00000000" w14:paraId="00000037">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8">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Kebijakan Koordinasi Pelaksanaan Kebijakan Kesejahteraan Sosial (1234)</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39">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Sasaran Kegiatan</w:t>
            </w:r>
          </w:p>
        </w:tc>
        <w:tc>
          <w:tcPr/>
          <w:p w:rsidR="00000000" w:rsidDel="00000000" w:rsidP="00000000" w:rsidRDefault="00000000" w:rsidRPr="00000000" w14:paraId="0000003A">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B">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Tersusunnya Kebijakan Bidang Peningkatan Kesejahteraan Lanjut Usia dan Disabilitas (01)</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3C">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Klasifikasi Rincian Output</w:t>
            </w:r>
          </w:p>
        </w:tc>
        <w:tc>
          <w:tcPr/>
          <w:p w:rsidR="00000000" w:rsidDel="00000000" w:rsidP="00000000" w:rsidRDefault="00000000" w:rsidRPr="00000000" w14:paraId="0000003D">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E">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Kebijakan Bidang Kebijakan Perlindungan Sosial dan Penanggulangan Kemiskinan (036.CL.001)</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3F">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Rincian Output</w:t>
            </w:r>
          </w:p>
        </w:tc>
        <w:tc>
          <w:tcPr/>
          <w:p w:rsidR="00000000" w:rsidDel="00000000" w:rsidP="00000000" w:rsidRDefault="00000000" w:rsidRPr="00000000" w14:paraId="00000040">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1">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Alternatif Kebijakan Peningkatan Kesejahteraan dan Perlindungan Lanjut Usia serta Disabilitas (001)</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42">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Indikator Rincian Output</w:t>
            </w:r>
          </w:p>
        </w:tc>
        <w:tc>
          <w:tcPr/>
          <w:p w:rsidR="00000000" w:rsidDel="00000000" w:rsidP="00000000" w:rsidRDefault="00000000" w:rsidRPr="00000000" w14:paraId="00000043">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4">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Rekomendasi Alternatif Kebijakan Peningkatan Aksesibilitas dan Layanan Perlindungan Sosial Lanjut Usia</w:t>
            </w:r>
            <w:r w:rsidDel="00000000" w:rsidR="00000000" w:rsidRPr="00000000">
              <w:rPr>
                <w:rFonts w:ascii="Arial" w:cs="Arial" w:eastAsia="Arial" w:hAnsi="Arial"/>
                <w:b w:val="1"/>
                <w:bCs w:val="1"/>
                <w:sz w:val="22"/>
                <w:szCs w:val="22"/>
                <w:rtl w:val="0"/>
              </w:rPr>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Volume Rincian Output</w:t>
            </w:r>
          </w:p>
        </w:tc>
        <w:tc>
          <w:tcPr/>
          <w:p w:rsidR="00000000" w:rsidDel="00000000" w:rsidP="00000000" w:rsidRDefault="00000000" w:rsidRPr="00000000" w14:paraId="00000046">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7">
            <w:pPr>
              <w:spacing w:after="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Rekomendasi Alternatif Kebijakan</w:t>
            </w:r>
            <w:r w:rsidDel="00000000" w:rsidR="00000000" w:rsidRPr="00000000">
              <w:rPr>
                <w:rFonts w:ascii="Arial" w:cs="Arial" w:eastAsia="Arial" w:hAnsi="Arial"/>
                <w:sz w:val="22"/>
                <w:szCs w:val="22"/>
                <w:rtl w:val="0"/>
              </w:rPr>
            </w:r>
          </w:p>
        </w:tc>
      </w:tr>
      <w:tr>
        <w:trPr>
          <w:cantSplit w:val="0"/>
          <w:tblHeader w:val="0"/>
        </w:trPr>
        <w:tc>
          <w:tcPr/>
          <w:p w:rsidR="00000000" w:rsidDel="00000000" w:rsidP="00000000" w:rsidRDefault="00000000" w:rsidRPr="00000000" w14:paraId="00000048">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Satuan Rincian Output</w:t>
            </w:r>
          </w:p>
        </w:tc>
        <w:tc>
          <w:tcPr/>
          <w:p w:rsidR="00000000" w:rsidDel="00000000" w:rsidP="00000000" w:rsidRDefault="00000000" w:rsidRPr="00000000" w14:paraId="00000049">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A">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Kebijakan</w:t>
            </w:r>
          </w:p>
        </w:tc>
      </w:tr>
    </w:tbl>
    <w:p w:rsidR="00000000" w:rsidDel="00000000" w:rsidP="00000000" w:rsidRDefault="00000000" w:rsidRPr="00000000" w14:paraId="0000004B">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numPr>
          <w:ilvl w:val="0"/>
          <w:numId w:val="20"/>
        </w:numPr>
        <w:tabs>
          <w:tab w:val="left" w:leader="none" w:pos="399"/>
        </w:tabs>
        <w:spacing w:after="0" w:line="360" w:lineRule="auto"/>
        <w:ind w:left="403" w:hanging="403"/>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LATAR BELAKANG</w:t>
      </w:r>
    </w:p>
    <w:p w:rsidR="00000000" w:rsidDel="00000000" w:rsidP="00000000" w:rsidRDefault="00000000" w:rsidRPr="00000000" w14:paraId="0000004D">
      <w:pPr>
        <w:numPr>
          <w:ilvl w:val="1"/>
          <w:numId w:val="20"/>
        </w:numPr>
        <w:spacing w:after="0" w:line="360" w:lineRule="auto"/>
        <w:ind w:left="720" w:hanging="317"/>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Dasar Hukum</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Dasar hukum tugas fungsi dan/atau ketentuan yang terkait langsung dengan RO Peningkatan Perlindungan Sosial Disabilitas dan Lansia diantaranya yaitu:</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4F">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Undang-Undang Nomor 8 Tahun 2016 tentang Penyandang Disabilitas</w:t>
      </w:r>
      <w:r w:rsidDel="00000000" w:rsidR="00000000" w:rsidRPr="00000000">
        <w:rPr>
          <w:rtl w:val="0"/>
        </w:rPr>
      </w:r>
    </w:p>
    <w:p w:rsidR="00000000" w:rsidDel="00000000" w:rsidP="00000000" w:rsidRDefault="00000000" w:rsidRPr="00000000" w14:paraId="00000050">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Undang-Undang Nomor 13 Tahun 1998 tentang Kesejahteraan Lanjut Usia</w:t>
      </w:r>
      <w:r w:rsidDel="00000000" w:rsidR="00000000" w:rsidRPr="00000000">
        <w:rPr>
          <w:rtl w:val="0"/>
        </w:rPr>
      </w:r>
    </w:p>
    <w:p w:rsidR="00000000" w:rsidDel="00000000" w:rsidP="00000000" w:rsidRDefault="00000000" w:rsidRPr="00000000" w14:paraId="00000051">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Peraturan Pemerintah Nomor 39 Tahun 2020 tentang Akomodasi yang Layak untuk Penyandang Disabilitas</w:t>
      </w:r>
      <w:r w:rsidDel="00000000" w:rsidR="00000000" w:rsidRPr="00000000">
        <w:rPr>
          <w:rFonts w:ascii="Arial" w:cs="Arial" w:eastAsia="Arial" w:hAnsi="Arial"/>
          <w:sz w:val="22"/>
          <w:szCs w:val="22"/>
          <w:rtl w:val="0"/>
        </w:rPr>
      </w:r>
    </w:p>
    <w:p w:rsidR="00000000" w:rsidDel="00000000" w:rsidP="00000000" w:rsidRDefault="00000000" w:rsidRPr="00000000" w14:paraId="00000053">
      <w:pPr>
        <w:numPr>
          <w:ilvl w:val="1"/>
          <w:numId w:val="20"/>
        </w:numPr>
        <w:tabs>
          <w:tab w:val="left" w:leader="none" w:pos="709"/>
        </w:tabs>
        <w:spacing w:after="0" w:line="360" w:lineRule="auto"/>
        <w:ind w:left="706" w:hanging="283"/>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Gambaran Umum </w:t>
      </w:r>
    </w:p>
    <w:p w:rsidR="00000000" w:rsidDel="00000000" w:rsidP="00000000" w:rsidRDefault="00000000" w:rsidRPr="00000000" w14:paraId="00000054">
      <w:pPr>
        <w:tabs>
          <w:tab w:val="left" w:leader="none" w:pos="709"/>
        </w:tabs>
        <w:spacing w:after="0" w:line="360" w:lineRule="auto"/>
        <w:ind w:left="36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Program yang Terkait Tugas dan Fungsi Utama </w:t>
      </w:r>
    </w:p>
    <w:p w:rsidR="00000000" w:rsidDel="00000000" w:rsidP="00000000" w:rsidRDefault="00000000" w:rsidRPr="00000000" w14:paraId="00000055">
      <w:pPr>
        <w:widowControl w:val="0"/>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Berdasarkan Peraturan Presiden Nomor 72 Tahun 2024 tentang Kementerian Koordinator Bidang Pembangunan Manusia dan Kebudayaan antara lain mengatur bahwa Kementerian Koordinator Bidang Pembangunan Manusia dan Kebudayaan (Kemenko PMK) mempunyai tugas dan fungsi menyelenggarakan urusan pemerintahan di bidang Pembangunan Manusia dan Kebudayaan untuk membantu Presiden dalam menyelenggarakan pemerintahan negara. Dalam menjalankan tugas tersebut, Deputi Bidang Peningkatan Kesejahteraan Sosial menyelenggarakan fungsi Koordinasi dan Sinkronisasi kebijakan di bidang Peningkatan Kesejahteraan Sosial dan Perlindungan Disabilitas. Untuk mendukung pelaksanaan fungsi tersebut, Asisten Deputi Pemberdayaan Disabilitas dan Lanjut Usia juga menjalankan fungsi Sinkronisasi dan Pengendalian Kebijakan dengan seluruh Kementerian/Lembaga dibawah koordinasi Asisten Deputi Pemberdayaan Disabilitas dan Lanjut Usia antara lain Kementerian Sosial, Kementerian Kesehatan, Kementerian Ketenagakerjaan, Kemendagri, dan Bappenas.</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56">
      <w:pP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Program kerja Asisten Deputi Pemberdayaan Disabilitas dan Lanjut Usia berdasarkan Rencana Pembangunan Jangka Menengah Nasional (RPJMN) 2025 – 2029 menjadi bagian dari Prioritas Nasional (PN) 1 yaitu Memperkokoh Ketahanan Sosial, Budaya, dan Ekologi. Sasaran utama PN 03 yaitu Perluasan Perlindungan Sosial Adaptif dan Inklusif. Rencana Kerja Pemerintah (RKP) 2026 sebagai turunan dari RPJMN 2025-2029 menyebutkan bahwa arah kebijakan dalam rangka mewujudkan sasaran pembangunan PN 02 yaitu Penguatan Sistem Perlindungan Sosial Sepanjang Hayat. Intervensi kebijakan bidang Perlindungan Sosial dan Fasilitas Ramah Disabilitas yang menjadi fokus yaitu Penyediaan sarana publik inklusif dan jaminan perawatan lansia berbasis keluarga.</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57">
      <w:pPr>
        <w:spacing w:after="0" w:line="360" w:lineRule="auto"/>
        <w:ind w:left="425.19685039370086" w:firstLine="283.46456692913375"/>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Program dan indikator merujuk RPJMN yang dikawal di tahun 2026 ("Indikator berdasarkan Lampiran III RPJMN 2025-2029") diantaranya yaitu:</w:t>
        <w:br/>
        <w:t xml:space="preserve">1. Persentase penyandang disabilitas penerima bantuan sosial adaptif (target: 85%)</w:t>
      </w:r>
      <w:r>
        <w:br/>
      </w:r>
      <w:r>
        <w:rPr>
          <w:rFonts w:ascii="Arial" w:cs="Arial" w:eastAsia="Arial" w:hAnsi="Arial"/>
          <w:sz w:val="22"/>
          <w:szCs w:val="22"/>
          <w:rtl w:val="0"/>
        </w:rPr>
        <w:t xml:space="preserve">2. Cakupan perlindungan jaminan sosial lanjut usia terlantar (target: 90%)</w:t>
      </w:r>
      <w:r>
        <w:br/>
      </w:r>
      <w:r>
        <w:rPr>
          <w:rFonts w:ascii="Arial" w:cs="Arial" w:eastAsia="Arial" w:hAnsi="Arial"/>
          <w:sz w:val="22"/>
          <w:szCs w:val="22"/>
          <w:rtl w:val="0"/>
        </w:rPr>
        <w:t xml:space="preserve">3. Jumlah daerah yang menerapkan standar fasilitas ramah disabilitas (target: 120 Kab/Kota)</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58">
      <w:pPr>
        <w:spacing w:after="0" w:line="360" w:lineRule="auto"/>
        <w:ind w:left="425.19685039370086" w:firstLine="283.46456692913375"/>
        <w:jc w:val="both"/>
        <w:rPr>
          <w:rFonts w:ascii="Arial" w:cs="Arial" w:eastAsia="Arial" w:hAnsi="Arial"/>
          <w:sz w:val="22"/>
          <w:szCs w:val="22"/>
          <w:shd w:fill="fce5cd" w:val="clear"/>
        </w:rPr>
      </w:pPr>
      <w:r w:rsidDel="00000000" w:rsidR="00000000" w:rsidRPr="00000000">
        <w:rPr>
          <w:rFonts w:ascii="Arial" w:cs="Arial" w:eastAsia="Arial" w:hAnsi="Arial"/>
          <w:sz w:val="22"/>
          <w:szCs w:val="22"/>
          <w:shd w:fill="f4cccc" w:val="clear"/>
          <w:rtl w:val="0"/>
        </w:rPr>
        <w:t xml:space="preserve">Adapun program dan indikator lainnya merujuk renstra Kemenko PMK 2025-2029 yang telah ditetapkan penjelasan prioritas lainnya yang merupakan mandat peraturan ("Indikator yang diampu melalui RO xxx dan telah tercantum dalam Perjanjian Kinerja") yaitu Persentase Penurunan Kesenjangan Aksesibilitas dan Perlindungan Sosial Inklusif sebesar 85%</w:t>
      </w:r>
      <w:r w:rsidDel="00000000" w:rsidR="00000000" w:rsidRPr="00000000">
        <w:rPr>
          <w:rFonts w:ascii="Arial" w:cs="Arial" w:eastAsia="Arial" w:hAnsi="Arial"/>
          <w:sz w:val="22"/>
          <w:szCs w:val="22"/>
          <w:shd w:fill="fce5cd" w:val="clear"/>
          <w:rtl w:val="0"/>
        </w:rPr>
      </w:r>
      <w:r w:rsidDel="00000000" w:rsidR="00000000" w:rsidRPr="00000000">
        <w:rPr>
          <w:rFonts w:ascii="Arial" w:cs="Arial" w:eastAsia="Arial" w:hAnsi="Arial"/>
          <w:b w:val="1"/>
          <w:bCs w:val="1"/>
          <w:sz w:val="22"/>
          <w:szCs w:val="22"/>
          <w:shd w:fill="fce5cd" w:val="clear"/>
          <w:rtl w:val="0"/>
        </w:rPr>
      </w:r>
      <w:r w:rsidDel="00000000" w:rsidR="00000000" w:rsidRPr="00000000">
        <w:rPr>
          <w:rFonts w:ascii="Arial" w:cs="Arial" w:eastAsia="Arial" w:hAnsi="Arial"/>
          <w:b w:val="1"/>
          <w:bCs w:val="1"/>
          <w:color w:val="ff0000"/>
          <w:sz w:val="22"/>
          <w:szCs w:val="22"/>
          <w:shd w:fill="fce5cd" w:val="clear"/>
          <w:rtl w:val="0"/>
        </w:rPr>
      </w:r>
      <w:r w:rsidDel="00000000" w:rsidR="00000000" w:rsidRPr="00000000">
        <w:rPr>
          <w:rFonts w:ascii="Arial" w:cs="Arial" w:eastAsia="Arial" w:hAnsi="Arial"/>
          <w:b w:val="1"/>
          <w:bCs w:val="1"/>
          <w:sz w:val="22"/>
          <w:szCs w:val="22"/>
          <w:shd w:fill="fce5cd" w:val="clear"/>
          <w:rtl w:val="0"/>
        </w:rPr>
      </w:r>
      <w:r w:rsidDel="00000000" w:rsidR="00000000" w:rsidRPr="00000000">
        <w:rPr>
          <w:rtl w:val="0"/>
        </w:rPr>
      </w:r>
    </w:p>
    <w:p w:rsidR="00000000" w:rsidDel="00000000" w:rsidP="00000000" w:rsidRDefault="00000000" w:rsidRPr="00000000" w14:paraId="00000059">
      <w:pPr>
        <w:spacing w:after="0" w:line="360" w:lineRule="auto"/>
        <w:ind w:left="425.19685039370086" w:firstLine="283.46456692913375"/>
        <w:jc w:val="both"/>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Data terbaru terkait program Koordinasi Pelaksanaan Kebijakan Kesejahteraan Sosial menyatakan bahwa 1) Isu-isu strategis yang melatarbelakangi usulan rencana SKP mencakup keterbatasan fasilitas publik dan belum optimalnya jaminan perlindungan sosial adaptif bagi kelompok rentan, di mana kondisi eksisting menunjukkan capaian pemenuhan hak disabilitas baru mencapai 65% dari target nasional 85%; 2) Data indikator kewilayahan mencatat bahwa 62% fasilitas publik di tingkat kabupaten/kota belum memenuhi standar ramah disabilitas dan lansia; 3) Gap analysis mengindikasikan perlunya akselerasi integrasi data tunggal sosial ekonomi (Regsosek) guna mencapai target RKP 2026 dan RPJMN 2025-2029; 4) Konsentrasi kewilayahan difokuskan pada 120 kabupaten/kota prioritas di wilayah percontohan Jawa, Bali, dan Indonesia Timur.</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i w:val="1"/>
          <w:iCs w:val="1"/>
          <w:sz w:val="22"/>
          <w:szCs w:val="22"/>
          <w:rtl w:val="0"/>
        </w:rPr>
      </w:r>
    </w:p>
    <w:p w:rsidR="00000000" w:rsidDel="00000000" w:rsidP="00000000" w:rsidRDefault="00000000" w:rsidRPr="00000000" w14:paraId="0000005A">
      <w:pPr>
        <w:spacing w:after="0" w:line="360" w:lineRule="auto"/>
        <w:ind w:left="425.19685039370086" w:firstLine="283.46456692913375"/>
        <w:jc w:val="both"/>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Asisten Deputi Pemberdayaan Disabilitas dan Lanjut Usia memiliki program prioritas lainnya yang harus dikoordinasikan yaitu Strategi Nasional Kelanjutusiaan (Stranas Lansia) berdasarkan Perpres No. 88 Tahun 2021 dan Rencana Aksi Nasional Penyandang Disabilitas (RAN PD) 2025-2029 berdasarkan PP No. 70 Tahun 2019.</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i w:val="1"/>
          <w:iCs w:val="1"/>
          <w:sz w:val="22"/>
          <w:szCs w:val="22"/>
          <w:rtl w:val="0"/>
        </w:rPr>
      </w:r>
    </w:p>
    <w:p w:rsidR="00000000" w:rsidDel="00000000" w:rsidP="00000000" w:rsidRDefault="00000000" w:rsidRPr="00000000" w14:paraId="0000005B">
      <w:pP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Berdasarkan penjelasan di atas maka terkait dengan tugas dan fungsi Asisten Deputi Pemberdayaan Disabilitas dan Lanjut Usia , output yang akan dihasilkan pada rencana kerja tahun anggaran 2026 adalah:</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5C">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Rekomendasi Alternatif Kebijakan Penguatan Aksesibilitas dan Jaminan Sosial Inklusif Disabilitas dan Lanjut Usia.</w:t>
      </w:r>
      <w:r>
        <w:br/>
      </w:r>
      <w:r>
        <w:rPr>
          <w:rFonts w:ascii="Arial" w:cs="Arial" w:eastAsia="Arial" w:hAnsi="Arial"/>
          <w:b w:val="1"/>
          <w:bCs w:val="1"/>
          <w:sz w:val="22"/>
          <w:szCs w:val="22"/>
          <w:rtl w:val="0"/>
        </w:rPr>
        <w:t xml:space="preserve">Rekomendasi alternatif kebijakan ini bertujuan untuk menjamin perlindungan sosial adaptif dan fasilitas publik ramah disabilitas secara merata. Rekomendasi difokuskan pada standarisasi infrastruktur dasar dan bantuan sosial terintegrasi. Melalui kebijakan ini diharapkan terwujud kemandirian dan pemenuhan hak-hak dasar kelompok rentan.</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5E">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Rekomendasi Alternatif Kebijakan Skema Layanan Perawatan Jangka Panjang (Long-Term Care) Lansia Berbasis Komunitas.</w:t>
      </w:r>
      <w:r>
        <w:br/>
      </w:r>
      <w:r>
        <w:rPr>
          <w:rFonts w:ascii="Arial" w:cs="Arial" w:eastAsia="Arial" w:hAnsi="Arial"/>
          <w:b w:val="1"/>
          <w:bCs w:val="1"/>
          <w:sz w:val="22"/>
          <w:szCs w:val="22"/>
          <w:rtl w:val="0"/>
        </w:rPr>
        <w:t xml:space="preserve">Rekomendasi alternatif kebijakan ini bertujuan untuk memperkuat dukungan perawatan keluarga dan fasilitas pendamping lansia di tingkat komunitas. Rekomendasi difokuskan pada penguatan kapasitas tenaga pendamping dan posyandu lansia terpadu. Melalui kebijakan ini diharapkan kualitas hidup lansia dan kesejahteraan keluarga meningkat secara berkelanjutan.</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060">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Rekomendasi Alternatif Kebijakan Harmonisasi Tata Kelola Kelembagaan Komisi Disabilitas dan Komda Lansia.</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61">
      <w:pPr>
        <w:numPr>
          <w:ilvl w:val="0"/>
          <w:numId w:val="3"/>
        </w:numPr>
        <w:spacing w:after="0" w:line="360" w:lineRule="auto"/>
        <w:ind w:left="992.1259842519685" w:hanging="360"/>
        <w:jc w:val="both"/>
        <w:rPr>
          <w:rFonts w:ascii="Arial" w:cs="Arial" w:eastAsia="Arial" w:hAnsi="Arial"/>
          <w:sz w:val="22"/>
          <w:szCs w:val="22"/>
          <w:shd w:fill="f4cccc" w:val="clear"/>
        </w:rPr>
      </w:pPr>
      <w:r w:rsidDel="00000000" w:rsidR="00000000" w:rsidRPr="00000000">
        <w:rPr>
          <w:rFonts w:ascii="Arial" w:cs="Arial" w:eastAsia="Arial" w:hAnsi="Arial"/>
          <w:sz w:val="22"/>
          <w:szCs w:val="22"/>
          <w:shd w:fill="f4cccc" w:val="clear"/>
          <w:rtl w:val="0"/>
        </w:rPr>
        <w:t xml:space="preserve">Koordinasi Penanganan Kelompok Rentan dan Penyandang Masalah Kesejahteraan Sosial (PMKS) Lintas Sektor (Opsional)</w:t>
      </w:r>
      <w:r w:rsidDel="00000000" w:rsidR="00000000" w:rsidRPr="00000000">
        <w:rPr>
          <w:rFonts w:ascii="Arial" w:cs="Arial" w:eastAsia="Arial" w:hAnsi="Arial"/>
          <w:color w:val="ff0000"/>
          <w:sz w:val="22"/>
          <w:szCs w:val="22"/>
          <w:shd w:fill="f4cccc" w:val="clear"/>
          <w:rtl w:val="0"/>
        </w:rPr>
      </w:r>
      <w:r w:rsidDel="00000000" w:rsidR="00000000" w:rsidRPr="00000000">
        <w:rPr>
          <w:rFonts w:ascii="Arial" w:cs="Arial" w:eastAsia="Arial" w:hAnsi="Arial"/>
          <w:sz w:val="22"/>
          <w:szCs w:val="22"/>
          <w:shd w:fill="f4cccc" w:val="clear"/>
          <w:rtl w:val="0"/>
        </w:rPr>
      </w:r>
    </w:p>
    <w:p w:rsidR="00000000" w:rsidDel="00000000" w:rsidP="00000000" w:rsidRDefault="00000000" w:rsidRPr="00000000" w14:paraId="00000062">
      <w:pPr>
        <w:spacing w:after="0"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120" w:line="360"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2.2. Program yang Terkait Reformasi Birokrasi (RB)</w:t>
      </w:r>
    </w:p>
    <w:p w:rsidR="00000000" w:rsidDel="00000000" w:rsidP="00000000" w:rsidRDefault="00000000" w:rsidRPr="00000000" w14:paraId="00000064">
      <w:pPr>
        <w:spacing w:after="120" w:line="360" w:lineRule="auto"/>
        <w:ind w:left="425.19685039370086" w:firstLine="283.46456692913375"/>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Terhadap pelaksanaan Reformasi Birokrasi (RB), Asisten Deputi Pemberdayaan Disabilitas dan Lanjut Usia mendapatkan mandat pengawalan indikator RB yaitu:</w:t>
        <w:br/>
        <w:t xml:space="preserve">1. Indeks Reformasi Birokrasi Tematik Penanggulangan Kemiskinan dan Aksesibilitas Inklusif</w:t>
      </w:r>
      <w:r>
        <w:br/>
      </w:r>
      <w:r>
        <w:rPr>
          <w:rFonts w:ascii="Arial" w:cs="Arial" w:eastAsia="Arial" w:hAnsi="Arial"/>
          <w:sz w:val="22"/>
          <w:szCs w:val="22"/>
          <w:rtl w:val="0"/>
        </w:rPr>
        <w:t xml:space="preserve">2. Tingkat kepatuhan unit kerja terhadap standar pelayanan publik inklusif ramah kelompok rentan</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65">
      <w:pPr>
        <w:spacing w:after="120" w:line="240" w:lineRule="auto"/>
        <w:ind w:left="720" w:firstLine="0"/>
        <w:jc w:val="both"/>
        <w:rPr>
          <w:rFonts w:ascii="Arial" w:cs="Arial" w:eastAsia="Arial" w:hAnsi="Arial"/>
          <w:i w:val="1"/>
          <w:iCs w:val="1"/>
          <w:sz w:val="22"/>
          <w:szCs w:val="22"/>
        </w:rPr>
      </w:pPr>
      <w:sdt>
        <w:sdtPr>
          <w:id w:val="785773387"/>
          <w:tag w:val="goog_rdk_0"/>
        </w:sdtPr>
        <w:sdtContent>
          <w:p/>
        </w:sdtContent>
      </w:sdt>
      <w:r w:rsidDel="00000000" w:rsidR="00000000" w:rsidRPr="00000000">
        <w:rPr>
          <w:rFonts w:ascii="Arial" w:cs="Arial" w:eastAsia="Arial" w:hAnsi="Arial"/>
          <w:i w:val="1"/>
          <w:iCs w:val="1"/>
          <w:sz w:val="22"/>
          <w:szCs w:val="22"/>
          <w:rtl w:val="0"/>
        </w:rPr>
        <w:t xml:space="preserve">Catatan narasi terkait RB yang disusun pada penjelasan pelaksanaan tugas fungsi UKE harus memuat:</w:t>
      </w:r>
    </w:p>
    <w:p w:rsidR="00000000" w:rsidDel="00000000" w:rsidP="00000000" w:rsidRDefault="00000000" w:rsidRPr="00000000" w14:paraId="00000066">
      <w:pPr>
        <w:numPr>
          <w:ilvl w:val="0"/>
          <w:numId w:val="10"/>
        </w:numPr>
        <w:spacing w:after="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regulasi/peraturan perundangan yang mendasari, </w:t>
      </w:r>
    </w:p>
    <w:p w:rsidR="00000000" w:rsidDel="00000000" w:rsidP="00000000" w:rsidRDefault="00000000" w:rsidRPr="00000000" w14:paraId="00000067">
      <w:pPr>
        <w:numPr>
          <w:ilvl w:val="0"/>
          <w:numId w:val="10"/>
        </w:numPr>
        <w:spacing w:after="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kondisi capaian indikator terkini dan target yang diharapkan,</w:t>
      </w:r>
    </w:p>
    <w:p w:rsidR="00000000" w:rsidDel="00000000" w:rsidP="00000000" w:rsidRDefault="00000000" w:rsidRPr="00000000" w14:paraId="00000068">
      <w:pPr>
        <w:numPr>
          <w:ilvl w:val="0"/>
          <w:numId w:val="10"/>
        </w:numPr>
        <w:spacing w:after="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isu strategis yang harus dikawal, </w:t>
      </w:r>
    </w:p>
    <w:p w:rsidR="00000000" w:rsidDel="00000000" w:rsidP="00000000" w:rsidRDefault="00000000" w:rsidRPr="00000000" w14:paraId="00000069">
      <w:pPr>
        <w:numPr>
          <w:ilvl w:val="0"/>
          <w:numId w:val="10"/>
        </w:numPr>
        <w:spacing w:after="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faktor penghambat yang harus dientaskan dan faktor pendorong yang perlu diperkuat baik dari aspek regulasi-data-koordinasi-penguatan kebijakan fiskal-pelibatan multistakeholder-dan aspek lainnya </w:t>
      </w:r>
    </w:p>
    <w:p w:rsidR="00000000" w:rsidDel="00000000" w:rsidP="00000000" w:rsidRDefault="00000000" w:rsidRPr="00000000" w14:paraId="0000006A">
      <w:pPr>
        <w:numPr>
          <w:ilvl w:val="0"/>
          <w:numId w:val="10"/>
        </w:numPr>
        <w:spacing w:after="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keterhubungan dengan Reformasi birokrasi general/tematik</w:t>
      </w:r>
    </w:p>
    <w:p w:rsidR="00000000" w:rsidDel="00000000" w:rsidP="00000000" w:rsidRDefault="00000000" w:rsidRPr="00000000" w14:paraId="0000006B">
      <w:pPr>
        <w:numPr>
          <w:ilvl w:val="0"/>
          <w:numId w:val="10"/>
        </w:numPr>
        <w:spacing w:after="120" w:line="240"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pelibatan stakeholder disebutkan K/L dan pemerintah daerah, kelompok masyarakat, masyarakat, organisasi dalam/dan luar negeri yang terlibat dalam pelaksanaan tugas fungsi UKE </w:t>
      </w:r>
      <w:r w:rsidDel="00000000" w:rsidR="00000000" w:rsidRPr="00000000"/>
      <w:r w:rsidDel="00000000" w:rsidR="00000000" w:rsidRPr="00000000">
        <w:rPr>
          <w:rtl w:val="0"/>
        </w:rPr>
      </w:r>
    </w:p>
    <w:p w:rsidR="00000000" w:rsidDel="00000000" w:rsidP="00000000" w:rsidRDefault="00000000" w:rsidRPr="00000000" w14:paraId="0000006C">
      <w:pPr>
        <w:spacing w:after="120" w:before="200" w:line="240"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2.3 Pengarusutamaan Gender dalam Pelaksanaan Program</w:t>
      </w:r>
    </w:p>
    <w:p w:rsidR="00000000" w:rsidDel="00000000" w:rsidP="00000000" w:rsidRDefault="00000000" w:rsidRPr="00000000" w14:paraId="0000006D">
      <w:pPr>
        <w:spacing w:after="120" w:line="360" w:lineRule="auto"/>
        <w:ind w:left="425.19685039370086" w:firstLine="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Pemberdayaan Disabilitas dan Lanjut Usia telah mengintegrasikan perspektif gender dalam pelaksanaan program dan kegiatan melalui penerapan Anggaran Responsif Gender (ARG) dan penyusunan Gender Analysis Pathway (GAP). Berdasarkan hasil analisis gender, masih terdapat kesenjangan dalam pelaksanaan kebijakan bidang Perlindungan Disabilitas dan Lansia, antara lain Rendahnya akses perempuan disabilitas terhadap pelatihan kerja produktif dan layanan kesehatan reproduksi yang inklusif yang dipengaruhi oleh faktor Stereotipe gender ganda, keterbatasan transportasi publik ramah kursi roda, serta minimnya tenaga pendamping terlatih di tingkat desa. Untuk mengatasi kesenjangan tersebut, Kemenko PMK melalui Asisten Deputi Pemberdayaan Disabilitas dan Lanjut Usia melakukan intervensi melalui Penyusunan panduan fasilitasi kerja ramah perempuan disabilitas dan integrasi layanan kesehatan ramah lansia perempuan. Diharapkan program dan kegiatan yang dilaksanakan dapat mendukung terwujudnya pembangunan manusia dan kebudayaan yang inklusif dan tepat sasaran. GAP secara lebih rinci dituangkan dalam matriks sebagaimana dimuat dalam lampiran KAK ini.</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6E">
      <w:pPr>
        <w:spacing w:after="120" w:before="200" w:line="240" w:lineRule="auto"/>
        <w:ind w:left="425.19685039370086"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2.4 Manajemen Risiko</w:t>
      </w:r>
      <w:r w:rsidDel="00000000" w:rsidR="00000000" w:rsidRPr="00000000">
        <w:rPr>
          <w:rtl w:val="0"/>
        </w:rPr>
      </w:r>
    </w:p>
    <w:p w:rsidR="00000000" w:rsidDel="00000000" w:rsidP="00000000" w:rsidRDefault="00000000" w:rsidRPr="00000000" w14:paraId="0000006F">
      <w:pPr>
        <w:spacing w:after="120" w:line="360" w:lineRule="auto"/>
        <w:ind w:left="425.19685039370086" w:firstLine="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Dalam memastikan tercapainya output dan memaksimalkan dampak positif program, perlu dilakukan manajemen risiko untuk mencegah kegagalan, melindungi sumber daya, dan ketepatan waktu pencapaian target serta efektivitas anggaran. Risiko yang ada dalam pelaksanaan program pada Asisten Deputi Pemberdayaan Disabilitas dan Lanjut Usia yang perlu dikendalikan melalui penguatan koordinasi lintas sektor, monitoring dan evaluasi, serta penegasan peran dan tanggung jawab stakeholder.</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sdt>
        <w:sdtPr>
          <w:id w:val="-1208039808"/>
          <w:tag w:val="goog_rdk_1"/>
        </w:sdtPr>
        <w:sdtContent>
          <w:r w:rsidDel="00000000" w:rsidR="00000000" w:rsidRPr="00000000">
            <w:rPr>
              <w:rFonts w:ascii="Arial Unicode MS" w:cs="Arial Unicode MS" w:eastAsia="Arial Unicode MS" w:hAnsi="Arial Unicode MS"/>
              <w:i w:val="1"/>
              <w:iCs w:val="1"/>
              <w:sz w:val="22"/>
              <w:szCs w:val="22"/>
              <w:rtl w:val="0"/>
            </w:rPr>
            <w:t xml:space="preserve"> (prinsip penulisan isi risiko → hasil analisis → upaya mitigasi). Matriks profil risiko terlampir pada lampiran 2 KAK</w:t>
          </w:r>
        </w:sdtContent>
      </w:sdt>
      <w:r w:rsidDel="00000000" w:rsidR="00000000" w:rsidRPr="00000000">
        <w:rPr>
          <w:rtl w:val="0"/>
        </w:rPr>
      </w:r>
    </w:p>
    <w:p w:rsidR="00000000" w:rsidDel="00000000" w:rsidP="00000000" w:rsidRDefault="00000000" w:rsidRPr="00000000" w14:paraId="00000070">
      <w:pPr>
        <w:tabs>
          <w:tab w:val="left" w:leader="none" w:pos="399"/>
        </w:tabs>
        <w:spacing w:after="0" w:line="360" w:lineRule="auto"/>
        <w:ind w:left="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1">
      <w:pPr>
        <w:numPr>
          <w:ilvl w:val="0"/>
          <w:numId w:val="20"/>
        </w:numPr>
        <w:tabs>
          <w:tab w:val="left" w:leader="none" w:pos="399"/>
        </w:tabs>
        <w:spacing w:after="0" w:line="360" w:lineRule="auto"/>
        <w:ind w:left="403" w:hanging="403"/>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PENERIMA MANFAAT</w:t>
      </w:r>
    </w:p>
    <w:p w:rsidR="00000000" w:rsidDel="00000000" w:rsidP="00000000" w:rsidRDefault="00000000" w:rsidRPr="00000000" w14:paraId="00000072">
      <w:pPr>
        <w:tabs>
          <w:tab w:val="left" w:leader="none" w:pos="399"/>
        </w:tabs>
        <w:spacing w:after="0" w:line="360" w:lineRule="auto"/>
        <w:ind w:left="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1.1 </w:t>
      </w:r>
      <w:r w:rsidDel="00000000" w:rsidR="00000000" w:rsidRPr="00000000">
        <w:rPr>
          <w:rFonts w:ascii="Arial" w:cs="Arial" w:eastAsia="Arial" w:hAnsi="Arial"/>
          <w:b w:val="1"/>
          <w:bCs w:val="1"/>
          <w:color w:val="000000"/>
          <w:sz w:val="22"/>
          <w:szCs w:val="22"/>
          <w:rtl w:val="0"/>
        </w:rPr>
        <w:t xml:space="preserve">Lembaga eksternal yang akan menerima manfaat dari kegiatan ini meliputi:</w:t>
      </w:r>
    </w:p>
    <w:p w:rsidR="00000000" w:rsidDel="00000000" w:rsidP="00000000" w:rsidRDefault="00000000" w:rsidRPr="00000000" w14:paraId="00000073">
      <w:pPr>
        <w:numPr>
          <w:ilvl w:val="0"/>
          <w:numId w:val="4"/>
        </w:numPr>
        <w:spacing w:after="120" w:line="360" w:lineRule="auto"/>
        <w:ind w:left="759" w:hanging="357"/>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Kemenko PMK (Deputi Peningkatan Kesejahteraan Sosial dan unit terkait)</w:t>
      </w:r>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tabs>
          <w:tab w:val="left" w:leader="none" w:pos="426"/>
        </w:tabs>
        <w:spacing w:after="0" w:line="360" w:lineRule="auto"/>
        <w:ind w:left="759" w:hanging="359"/>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2) Kementerian Sosial, Kementerian Kesehatan, Pemerintah Daerah Provinsi/Kabupaten/Kota, Organisasi Disabilitas, dan Lansia</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tabs>
          <w:tab w:val="left" w:leader="none" w:pos="426"/>
        </w:tabs>
        <w:spacing w:after="0" w:line="360" w:lineRule="auto"/>
        <w:ind w:left="759" w:hanging="359"/>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3) Kelompok masyarakat peduli lansia dan keluarga pendamping</w:t>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77">
      <w:pPr>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Kelompok masyarakat yang menerima manfaat dari kegiatan ini meliputi:</w:t>
      </w:r>
    </w:p>
    <w:p w:rsidR="00000000" w:rsidDel="00000000" w:rsidP="00000000" w:rsidRDefault="00000000" w:rsidRPr="00000000" w14:paraId="00000078">
      <w:pPr>
        <w:numPr>
          <w:ilvl w:val="0"/>
          <w:numId w:val="15"/>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Kelompok masyarakat peduli lansia dan keluarga pendamping</w:t>
      </w:r>
      <w:r w:rsidDel="00000000" w:rsidR="00000000" w:rsidRPr="00000000">
        <w:rPr>
          <w:rtl w:val="0"/>
        </w:rPr>
      </w:r>
    </w:p>
    <w:p w:rsidR="00000000" w:rsidDel="00000000" w:rsidP="00000000" w:rsidRDefault="00000000" w:rsidRPr="00000000" w14:paraId="0000007A">
      <w:pPr>
        <w:numPr>
          <w:ilvl w:val="0"/>
          <w:numId w:val="20"/>
        </w:numPr>
        <w:tabs>
          <w:tab w:val="left" w:leader="none" w:pos="399"/>
        </w:tabs>
        <w:spacing w:after="0" w:line="360" w:lineRule="auto"/>
        <w:ind w:left="399" w:hanging="399"/>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STRATEGI PENCAPAIAN KELUARAN</w:t>
      </w:r>
    </w:p>
    <w:p w:rsidR="00000000" w:rsidDel="00000000" w:rsidP="00000000" w:rsidRDefault="00000000" w:rsidRPr="00000000" w14:paraId="0000007B">
      <w:pPr>
        <w:numPr>
          <w:ilvl w:val="1"/>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Metode Pelaksanaan</w:t>
      </w:r>
    </w:p>
    <w:p w:rsidR="00000000" w:rsidDel="00000000" w:rsidP="00000000" w:rsidRDefault="00000000" w:rsidRPr="00000000" w14:paraId="0000007C">
      <w:pPr>
        <w:tabs>
          <w:tab w:val="left" w:leader="none" w:pos="399"/>
          <w:tab w:val="left" w:leader="none" w:pos="720"/>
        </w:tabs>
        <w:spacing w:after="120" w:line="360" w:lineRule="auto"/>
        <w:ind w:left="403" w:firstLine="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Metode pelaksanaan yang digunakan dalam menghasilkan 1 output Rekomendasi Alternatif Kebijakan yaitu melalui:</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color w:val="000000"/>
          <w:sz w:val="22"/>
          <w:szCs w:val="22"/>
          <w:rtl w:val="0"/>
        </w:rPr>
      </w:r>
      <w:r w:rsidDel="00000000" w:rsidR="00000000" w:rsidRPr="00000000">
        <w:rPr>
          <w:rFonts w:ascii="Arial" w:cs="Arial" w:eastAsia="Arial" w:hAnsi="Arial"/>
          <w:i w:val="1"/>
          <w:iCs w:val="1"/>
          <w:color w:val="000000"/>
          <w:sz w:val="22"/>
          <w:szCs w:val="22"/>
          <w:rtl w:val="0"/>
        </w:rPr>
      </w:r>
      <w:r w:rsidDel="00000000" w:rsidR="00000000" w:rsidRPr="00000000">
        <w:rPr>
          <w:rFonts w:ascii="Arial" w:cs="Arial" w:eastAsia="Arial" w:hAnsi="Arial"/>
          <w:color w:val="000000"/>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7D">
      <w:pPr>
        <w:numPr>
          <w:ilvl w:val="4"/>
          <w:numId w:val="20"/>
        </w:numPr>
        <w:spacing w:after="0" w:line="360" w:lineRule="auto"/>
        <w:ind w:left="850.3937007874017" w:hanging="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SKP 1: Swakelola Tipe I</w:t>
      </w:r>
      <w:r w:rsidDel="00000000" w:rsidR="00000000" w:rsidRPr="00000000">
        <w:rPr>
          <w:rtl w:val="0"/>
        </w:rPr>
      </w:r>
    </w:p>
    <w:p w:rsidR="00000000" w:rsidDel="00000000" w:rsidP="00000000" w:rsidRDefault="00000000" w:rsidRPr="00000000" w14:paraId="0000007E">
      <w:pPr>
        <w:numPr>
          <w:ilvl w:val="4"/>
          <w:numId w:val="20"/>
        </w:numPr>
        <w:spacing w:after="0" w:line="360" w:lineRule="auto"/>
        <w:ind w:left="850.3937007874017" w:hanging="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SKP 2: Swakelola Tipe I</w:t>
      </w:r>
    </w:p>
    <w:p w:rsidR="00000000" w:rsidDel="00000000" w:rsidP="00000000" w:rsidRDefault="00000000" w:rsidRPr="00000000" w14:paraId="0000007F">
      <w:pPr>
        <w:numPr>
          <w:ilvl w:val="4"/>
          <w:numId w:val="20"/>
        </w:numPr>
        <w:spacing w:after="0" w:line="360" w:lineRule="auto"/>
        <w:ind w:left="850.3937007874017" w:hanging="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SKP 3: Swakelola</w:t>
      </w:r>
    </w:p>
    <w:p w:rsidR="00000000" w:rsidDel="00000000" w:rsidP="00000000" w:rsidRDefault="00000000" w:rsidRPr="00000000" w14:paraId="00000081">
      <w:pPr>
        <w:numPr>
          <w:ilvl w:val="1"/>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Tahapan dan Waktu Pelaksanaan</w:t>
      </w:r>
    </w:p>
    <w:p w:rsidR="00000000" w:rsidDel="00000000" w:rsidP="00000000" w:rsidRDefault="00000000" w:rsidRPr="00000000" w14:paraId="00000082">
      <w:pPr>
        <w:spacing w:after="40" w:line="276" w:lineRule="auto"/>
        <w:ind w:left="42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Tahapan pelaksanaan kegiatan yang akan dilakukan pada tahun 2026, diantaranya sebagai berikut:</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83">
      <w:pPr>
        <w:spacing w:after="40" w:line="276" w:lineRule="auto"/>
        <w:ind w:left="42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2.1. Sub Komponen 051 Sinkronisasi, Koordinasi dan Pengendalian Bidang Kebijakan Perlindungan Sosial dan Penanggulangan Kemiskinan</w:t>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84">
      <w:pPr>
        <w:numPr>
          <w:ilvl w:val="0"/>
          <w:numId w:val="11"/>
        </w:numPr>
        <w:spacing w:after="120" w:line="276" w:lineRule="auto"/>
        <w:ind w:left="850.3937007874017"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 </w:t>
      </w:r>
    </w:p>
    <w:p w:rsidR="00000000" w:rsidDel="00000000" w:rsidP="00000000" w:rsidRDefault="00000000" w:rsidRPr="00000000" w14:paraId="00000086">
      <w:pPr>
        <w:spacing w:after="120" w:line="276" w:lineRule="auto"/>
        <w:ind w:left="850.393700787401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Sebagai koordinator bidang pembangunan manusia dan kebudayaan, Kemenko PMK melalui Asisten Deputi Pemberdayaan Disabilitas dan Lanjut Usia berperan menghimpun informasi lintas sektor terkait isu perlindungan disabilitas dan lansia di daerah.</w:t>
      </w:r>
    </w:p>
    <w:p w:rsidR="00000000" w:rsidDel="00000000" w:rsidP="00000000" w:rsidRDefault="00000000" w:rsidRPr="00000000" w14:paraId="00000087">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89">
      <w:pPr>
        <w:numPr>
          <w:ilvl w:val="0"/>
          <w:numId w:val="14"/>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Rapat Koordinasi Identifikasi Permasalahan Aksesibilitas dan Jaminan Sosial Inklusif</w:t>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8A">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Provinsi Jawa Barat, Kota Bandung</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8B">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Maret Tahun 2026</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8C">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Kemensos, Kemenkes, Bappeda Jabar, Dinsos Jabar, Organisasi Penyandang Disabilitas</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8D">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45 orang</w:t>
      </w:r>
    </w:p>
    <w:p w:rsidR="00000000" w:rsidDel="00000000" w:rsidP="00000000" w:rsidRDefault="00000000" w:rsidRPr="00000000" w14:paraId="0000008E">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Ada (Direktur Rehabilitasi Sosial Kemensos &amp; Bappenas)</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8F">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Matriks pemetaan permasalahan pemenuhan hak disabilitas dan jaminan perlindungan lansia di daerah percontohan.</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90">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Kota Bandung merupakan salah satu kota dengan proporsi kelompok lanjut usia tinggi dan sedang mengembangkan program rintisan kota inklusif ramah disabilitas.</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93">
      <w:pPr>
        <w:spacing w:after="120" w:line="276" w:lineRule="auto"/>
        <w:ind w:left="425.19685039370086" w:firstLine="294.80314960629914"/>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*akun yang diperkenankan Belanja Bahan, Narasumber, Transport Lokal</w:t>
      </w:r>
    </w:p>
    <w:p w:rsidR="00000000" w:rsidDel="00000000" w:rsidP="00000000" w:rsidRDefault="00000000" w:rsidRPr="00000000" w14:paraId="00000094">
      <w:pPr>
        <w:spacing w:after="120" w:line="276" w:lineRule="auto"/>
        <w:ind w:left="425.19685039370086"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p w:rsidR="00000000" w:rsidDel="00000000" w:rsidP="00000000" w:rsidRDefault="00000000" w:rsidRPr="00000000" w14:paraId="00000097">
      <w:pPr>
        <w:spacing w:after="120" w:line="276" w:lineRule="auto"/>
        <w:ind w:left="850.393700787401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Tahap ini merupakan mandat utama Kemenko PMK dalam memastikan keterpaduan kebijakan lintas sektor. Sinkronisasi dilakukan dengan memastikan program kementerian/lembaga dan pemerintah daerah telah mengakomodasi kebutuhan perempuan dan laki-laki secara setara.</w:t>
      </w:r>
    </w:p>
    <w:p w:rsidR="00000000" w:rsidDel="00000000" w:rsidP="00000000" w:rsidRDefault="00000000" w:rsidRPr="00000000" w14:paraId="00000098">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9A">
      <w:pPr>
        <w:numPr>
          <w:ilvl w:val="0"/>
          <w:numId w:val="18"/>
        </w:numPr>
        <w:spacing w:after="0" w:line="276" w:lineRule="auto"/>
        <w:ind w:left="1140" w:hanging="360"/>
        <w:jc w:val="both"/>
        <w:rPr>
          <w:rFonts w:ascii="Arial" w:cs="Arial" w:eastAsia="Arial" w:hAnsi="Arial"/>
          <w:sz w:val="22"/>
          <w:szCs w:val="22"/>
        </w:rPr>
      </w:pPr>
      <w:r w:rsidDel="00000000" w:rsidR="00000000" w:rsidRPr="00000000">
        <w:rPr>
          <w:rFonts w:ascii="Arial" w:cs="Arial" w:eastAsia="Arial" w:hAnsi="Arial"/>
          <w:sz w:val="22"/>
          <w:szCs w:val="22"/>
          <w:rtl w:val="0"/>
        </w:rPr>
        <w:t>1. Forum koordinasi daerah</w:t>
      </w:r>
    </w:p>
    <w:p w:rsidR="00000000" w:rsidDel="00000000" w:rsidP="00000000" w:rsidRDefault="00000000" w:rsidRPr="00000000" w14:paraId="0000009B">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Provinsi D.I. Yogyakarta, Kota Yogyakarta</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9C">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Juni Tahun 2026</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9D">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Kemensos, Kemendikbudristek, Kemnaker, Kemendagri, Bappenas, dan Dinas Sosial</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9E">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60 orang</w:t>
      </w:r>
    </w:p>
    <w:p w:rsidR="00000000" w:rsidDel="00000000" w:rsidP="00000000" w:rsidRDefault="00000000" w:rsidRPr="00000000" w14:paraId="0000009F">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Ada (Pakar Kebijakan Publik UGM &amp; Asisten Deputi Kemenko PMK)</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A0">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Kesepakatan lintas sektor mengenai rencana aksi percepatan standarisasi sarana prasarana publik inklusif dan penganggaran responsif gender.</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A1">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D.I. Yogyakarta memiliki regulasi daerah teladan terkait komisi disabilitas daerah serta integrasi data sosial berbasis kalurahan.</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A4">
      <w:pPr>
        <w:spacing w:after="120" w:line="276" w:lineRule="auto"/>
        <w:ind w:left="708.661417322834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*akun yang diperkenankan Belanja Bahan, Narasumber, Transport Lokal, Perjalanan Dinas PAket Meeting, Perjalanan Dinas Biasa, Belanja Jasa Lainnya (PJP), Belanja Jasa Konsultan. </w:t>
      </w:r>
    </w:p>
    <w:p w:rsidR="00000000" w:rsidDel="00000000" w:rsidP="00000000" w:rsidRDefault="00000000" w:rsidRPr="00000000" w14:paraId="000000A5">
      <w:pPr>
        <w:spacing w:after="120" w:line="276" w:lineRule="auto"/>
        <w:ind w:left="425.19685039370086"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p w:rsidR="00000000" w:rsidDel="00000000" w:rsidP="00000000" w:rsidRDefault="00000000" w:rsidRPr="00000000" w14:paraId="000000A8">
      <w:pPr>
        <w:spacing w:after="120" w:line="276" w:lineRule="auto"/>
        <w:ind w:left="850.393700787401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Sebagai koordinator, Kemenko PMK melakukan monitoring dan evaluasi terhadap pelaksanaan kebijakan perlindungan sosial lansia dan disabilitas dengan menilai efektivitas koordinasi lintas sektor.</w:t>
      </w:r>
    </w:p>
    <w:p w:rsidR="00000000" w:rsidDel="00000000" w:rsidP="00000000" w:rsidRDefault="00000000" w:rsidRPr="00000000" w14:paraId="000000A9">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AB">
      <w:pPr>
        <w:numPr>
          <w:ilvl w:val="0"/>
          <w:numId w:val="9"/>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1. Kunjungan lapangan ke daerah untuk melakukan verifikasi langsung atas pelaksanaan program</w:t>
      </w:r>
    </w:p>
    <w:p w:rsidR="00000000" w:rsidDel="00000000" w:rsidP="00000000" w:rsidRDefault="00000000" w:rsidRPr="00000000" w14:paraId="000000AC">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Provinsi Jawa Timur, Kota Surabaya</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AD">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September Tahun 2026</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AE">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Dinas Sosial Provinsi Jatim, BPJS Kesehatan, Perwakilan Rumah Pelayanan Sosial Lansia</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AF">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35 orang</w:t>
      </w:r>
    </w:p>
    <w:p w:rsidR="00000000" w:rsidDel="00000000" w:rsidP="00000000" w:rsidRDefault="00000000" w:rsidRPr="00000000" w14:paraId="000000B0">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Ada (Tenaga Ahli Monitoring Kemenko PMK)</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B1">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Laporan hasil verifikasi lapangan evaluasi implementasi bantuan asistensi rehabilitasi sosial dan perlindungan hak kelompok rentan.</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B2">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Evaluasi langsung terhadap implementasi layanan terpadu lansia dan unit pelayanan disabilitas ketenagakerjaan di kawasan industri Jawa Timur.</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B5">
      <w:pPr>
        <w:spacing w:after="120" w:line="276" w:lineRule="auto"/>
        <w:ind w:left="708.661417322834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*akun yang diperkenankan Belanja Bahan, Narasumber, Transport Lokal, Perjalanan Dinas Paket Meeting, Perjalanan Dinas Biasa</w:t>
      </w:r>
    </w:p>
    <w:p w:rsidR="00000000" w:rsidDel="00000000" w:rsidP="00000000" w:rsidRDefault="00000000" w:rsidRPr="00000000" w14:paraId="000000B6">
      <w:pPr>
        <w:spacing w:after="120" w:line="276" w:lineRule="auto"/>
        <w:ind w:left="425.19685039370086"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p w:rsidR="00000000" w:rsidDel="00000000" w:rsidP="00000000" w:rsidRDefault="00000000" w:rsidRPr="00000000" w14:paraId="000000B9">
      <w:pPr>
        <w:spacing w:after="120" w:line="276" w:lineRule="auto"/>
        <w:ind w:left="850.393700787401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Tahap akhir berupa penyusunan rekomendasi kebijakan berdasarkan hasil identifikasi, koordinasi, serta monitoring dan evaluasi. Rekomendasi disusun dengan mempertimbangkan hasil analisis kesenjangan gender dan kebutuhan kelompok rentan agar kebijakan lebih inklusif.</w:t>
        <w:br/>
        <w:br/>
        <w:t xml:space="preserve">Rekomendasi mencakup penguatan penggunaan data terpilah, peningkatan kapasitas pemerintah daerah dalam penyediaan layanan ramah lansia, dan penyempurnaan indikator monitoring pemenuhan hak disabilitas.</w:t>
      </w:r>
    </w:p>
    <w:p w:rsidR="00000000" w:rsidDel="00000000" w:rsidP="00000000" w:rsidRDefault="00000000" w:rsidRPr="00000000" w14:paraId="000000BA">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BC">
      <w:pPr>
        <w:numPr>
          <w:ilvl w:val="0"/>
          <w:numId w:val="7"/>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1. Rapat penyusunan rekomendasi kebijakan dengan melibatkan kementerian/lembaga teknis, pemerintah daerah, akademisi, dan masyarakat sipil</w:t>
      </w:r>
    </w:p>
    <w:p w:rsidR="00000000" w:rsidDel="00000000" w:rsidP="00000000" w:rsidRDefault="00000000" w:rsidRPr="00000000" w14:paraId="000000BD">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DKI Jakarta</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tl w:val="0"/>
        </w:rPr>
      </w:r>
    </w:p>
    <w:p w:rsidR="00000000" w:rsidDel="00000000" w:rsidP="00000000" w:rsidRDefault="00000000" w:rsidRPr="00000000" w14:paraId="000000BE">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November Tahun 2026</w:t>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BF">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Seluruh K/L terkait, Pakar Akademisi, Organisasi Masyarakat Sipil, dan Mitra Pembangunan</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C0">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50 orang</w:t>
      </w:r>
    </w:p>
    <w:p w:rsidR="00000000" w:rsidDel="00000000" w:rsidP="00000000" w:rsidRDefault="00000000" w:rsidRPr="00000000" w14:paraId="000000C1">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Ada (Deputi Bidang Peningkatan Kesejahteraan Sosial)</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C2">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Dokumen Naskah Rekomendasi Kebijakan Penguatan Sistem Perlindungan dan Pemberdayaan Inklusif bagi Disabilitas dan Lanjut Usia.</w:t>
      </w:r>
      <w:r w:rsidDel="00000000" w:rsidR="00000000" w:rsidRPr="00000000">
        <w:rPr>
          <w:rFonts w:ascii="Arial" w:cs="Arial" w:eastAsia="Arial" w:hAnsi="Arial"/>
          <w:i w:val="1"/>
          <w:iCs w:val="1"/>
          <w:sz w:val="22"/>
          <w:szCs w:val="22"/>
          <w:rtl w:val="0"/>
        </w:rPr>
      </w:r>
      <w:r w:rsidDel="00000000" w:rsidR="00000000" w:rsidRPr="00000000">
        <w:rPr>
          <w:rtl w:val="0"/>
        </w:rPr>
      </w:r>
    </w:p>
    <w:p w:rsidR="00000000" w:rsidDel="00000000" w:rsidP="00000000" w:rsidRDefault="00000000" w:rsidRPr="00000000" w14:paraId="000000C3">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Dilaksanakan di DKI Jakarta untuk memudahkan kehadiran para pimpinan tinggi madya dan pratama dari seluruh kementerian/lembaga terkait.</w:t>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C6">
      <w:pPr>
        <w:spacing w:after="120" w:line="276" w:lineRule="auto"/>
        <w:ind w:left="850.393700787401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*akun yang diperkenankan Belanja Bahan, Narasumber, Transport Lokal, Perjalanan Dinas Paket Meeting, Perjalanan Dinas Biasa</w:t>
      </w:r>
    </w:p>
    <w:p w:rsidR="00000000" w:rsidDel="00000000" w:rsidP="00000000" w:rsidRDefault="00000000" w:rsidRPr="00000000" w14:paraId="000000C7">
      <w:pPr>
        <w:spacing w:after="120" w:line="276"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Anggaran yang dibutuhkan untuk menghasilkan output ini adalah sebesar Rp. Rp 185.000.000</w:t>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C8">
      <w:pPr>
        <w:spacing w:after="120" w:line="276" w:lineRule="auto"/>
        <w:ind w:left="425.19685039370086"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9">
      <w:pPr>
        <w:spacing w:after="40" w:line="276" w:lineRule="auto"/>
        <w:ind w:left="42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2.2. Sub Komponen 052 Sinkronisasi, Koordinasi dan Pengendalian Bidang Kebijakan Perlindungan Sosial dan Penanggulangan Kemiskinan</w:t>
      </w:r>
      <w:r w:rsidDel="00000000" w:rsidR="00000000" w:rsidRPr="00000000">
        <w:rPr>
          <w:rFonts w:ascii="Arial" w:cs="Arial" w:eastAsia="Arial" w:hAnsi="Arial"/>
          <w:b w:val="1"/>
          <w:bCs w:val="1"/>
          <w:sz w:val="22"/>
          <w:szCs w:val="22"/>
          <w:rtl w:val="0"/>
        </w:rPr>
      </w:r>
    </w:p>
    <w:p w:rsidR="00000000" w:rsidDel="00000000" w:rsidP="00000000" w:rsidRDefault="00000000" w:rsidRPr="00000000" w14:paraId="000000CB">
      <w:pPr>
        <w:spacing w:after="120" w:line="276" w:lineRule="auto"/>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tabs>
          <w:tab w:val="left" w:leader="none" w:pos="360"/>
        </w:tabs>
        <w:spacing w:after="120" w:line="360" w:lineRule="auto"/>
        <w:ind w:left="36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WAKTU PENCAPAIAN KELUARAN</w:t>
      </w:r>
    </w:p>
    <w:p w:rsidR="00000000" w:rsidDel="00000000" w:rsidP="00000000" w:rsidRDefault="00000000" w:rsidRPr="00000000" w14:paraId="000000CD">
      <w:pPr>
        <w:spacing w:after="120" w:line="360" w:lineRule="auto"/>
        <w:ind w:firstLine="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Kurun waktu pencapaian </w:t>
      </w:r>
      <w:r w:rsidDel="00000000" w:rsidR="00000000" w:rsidRPr="00000000">
        <w:rPr>
          <w:rFonts w:ascii="Arial" w:cs="Arial" w:eastAsia="Arial" w:hAnsi="Arial"/>
          <w:i w:val="1"/>
          <w:iCs w:val="1"/>
          <w:sz w:val="22"/>
          <w:szCs w:val="22"/>
          <w:rtl w:val="0"/>
        </w:rPr>
        <w:t xml:space="preserve">output</w:t>
      </w:r>
      <w:r w:rsidDel="00000000" w:rsidR="00000000" w:rsidRPr="00000000">
        <w:rPr>
          <w:rFonts w:ascii="Arial" w:cs="Arial" w:eastAsia="Arial" w:hAnsi="Arial"/>
          <w:sz w:val="22"/>
          <w:szCs w:val="22"/>
          <w:rtl w:val="0"/>
        </w:rPr>
        <w:t xml:space="preserve"> adalah sebagai berikut:</w:t>
      </w:r>
    </w:p>
    <w:tbl>
      <w:tblPr>
        <w:tblStyle w:val="Table2"/>
        <w:tblW w:w="907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982"/>
        <w:gridCol w:w="425"/>
        <w:gridCol w:w="425"/>
        <w:gridCol w:w="426"/>
        <w:gridCol w:w="425"/>
        <w:gridCol w:w="425"/>
        <w:gridCol w:w="425"/>
        <w:gridCol w:w="426"/>
        <w:gridCol w:w="425"/>
        <w:gridCol w:w="425"/>
        <w:gridCol w:w="567"/>
        <w:gridCol w:w="567"/>
        <w:gridCol w:w="567"/>
        <w:tblGridChange w:id="0">
          <w:tblGrid>
            <w:gridCol w:w="562"/>
            <w:gridCol w:w="2982"/>
            <w:gridCol w:w="425"/>
            <w:gridCol w:w="425"/>
            <w:gridCol w:w="426"/>
            <w:gridCol w:w="425"/>
            <w:gridCol w:w="425"/>
            <w:gridCol w:w="425"/>
            <w:gridCol w:w="426"/>
            <w:gridCol w:w="425"/>
            <w:gridCol w:w="425"/>
            <w:gridCol w:w="567"/>
            <w:gridCol w:w="567"/>
            <w:gridCol w:w="567"/>
          </w:tblGrid>
        </w:tblGridChange>
      </w:tblGrid>
      <w:tr>
        <w:trPr>
          <w:cantSplit w:val="0"/>
          <w:tblHeader w:val="1"/>
        </w:trPr>
        <w:tc>
          <w:tcPr>
            <w:vMerge w:val="restart"/>
            <w:shd w:fill="d9d9d9" w:val="clear"/>
            <w:vAlign w:val="center"/>
          </w:tcPr>
          <w:p w:rsidR="00000000" w:rsidDel="00000000" w:rsidP="00000000" w:rsidRDefault="00000000" w:rsidRPr="00000000" w14:paraId="000000CE">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vMerge w:val="restart"/>
            <w:shd w:fill="d9d9d9" w:val="clear"/>
            <w:vAlign w:val="center"/>
          </w:tcPr>
          <w:p w:rsidR="00000000" w:rsidDel="00000000" w:rsidP="00000000" w:rsidRDefault="00000000" w:rsidRPr="00000000" w14:paraId="000000CF">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Kegiatan</w:t>
            </w:r>
          </w:p>
        </w:tc>
        <w:tc>
          <w:tcPr>
            <w:gridSpan w:val="12"/>
            <w:shd w:fill="d9d9d9" w:val="clear"/>
          </w:tcPr>
          <w:p w:rsidR="00000000" w:rsidDel="00000000" w:rsidP="00000000" w:rsidRDefault="00000000" w:rsidRPr="00000000" w14:paraId="000000D0">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Bulan</w:t>
            </w:r>
          </w:p>
        </w:tc>
      </w:tr>
      <w:tr>
        <w:trPr>
          <w:cantSplit w:val="0"/>
          <w:tblHeader w:val="1"/>
        </w:trPr>
        <w:tc>
          <w:tcPr>
            <w:vMerge w:val="continue"/>
            <w:shd w:fill="d9d9d9" w:val="cle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bottom w:color="000000" w:space="0" w:sz="4" w:val="single"/>
            </w:tcBorders>
            <w:shd w:fill="d9d9d9" w:val="clear"/>
            <w:vAlign w:val="center"/>
          </w:tcPr>
          <w:p w:rsidR="00000000" w:rsidDel="00000000" w:rsidP="00000000" w:rsidRDefault="00000000" w:rsidRPr="00000000" w14:paraId="000000DE">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bottom w:color="000000" w:space="0" w:sz="4" w:val="single"/>
            </w:tcBorders>
            <w:shd w:fill="d9d9d9" w:val="clear"/>
            <w:vAlign w:val="center"/>
          </w:tcPr>
          <w:p w:rsidR="00000000" w:rsidDel="00000000" w:rsidP="00000000" w:rsidRDefault="00000000" w:rsidRPr="00000000" w14:paraId="000000DF">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bottom w:color="000000" w:space="0" w:sz="4" w:val="single"/>
            </w:tcBorders>
            <w:shd w:fill="d9d9d9" w:val="clear"/>
            <w:vAlign w:val="center"/>
          </w:tcPr>
          <w:p w:rsidR="00000000" w:rsidDel="00000000" w:rsidP="00000000" w:rsidRDefault="00000000" w:rsidRPr="00000000" w14:paraId="000000E0">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bottom w:color="000000" w:space="0" w:sz="4" w:val="single"/>
            </w:tcBorders>
            <w:shd w:fill="d9d9d9" w:val="clear"/>
            <w:vAlign w:val="center"/>
          </w:tcPr>
          <w:p w:rsidR="00000000" w:rsidDel="00000000" w:rsidP="00000000" w:rsidRDefault="00000000" w:rsidRPr="00000000" w14:paraId="000000E1">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bottom w:color="000000" w:space="0" w:sz="4" w:val="single"/>
            </w:tcBorders>
            <w:shd w:fill="d9d9d9" w:val="clear"/>
            <w:vAlign w:val="center"/>
          </w:tcPr>
          <w:p w:rsidR="00000000" w:rsidDel="00000000" w:rsidP="00000000" w:rsidRDefault="00000000" w:rsidRPr="00000000" w14:paraId="000000E2">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bottom w:color="000000" w:space="0" w:sz="4" w:val="single"/>
            </w:tcBorders>
            <w:shd w:fill="d9d9d9" w:val="clear"/>
            <w:vAlign w:val="center"/>
          </w:tcPr>
          <w:p w:rsidR="00000000" w:rsidDel="00000000" w:rsidP="00000000" w:rsidRDefault="00000000" w:rsidRPr="00000000" w14:paraId="000000E3">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d9d9d9" w:val="clear"/>
            <w:vAlign w:val="center"/>
          </w:tcPr>
          <w:p w:rsidR="00000000" w:rsidDel="00000000" w:rsidP="00000000" w:rsidRDefault="00000000" w:rsidRPr="00000000" w14:paraId="000000E4">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d9d9d9" w:val="clear"/>
            <w:vAlign w:val="center"/>
          </w:tcPr>
          <w:p w:rsidR="00000000" w:rsidDel="00000000" w:rsidP="00000000" w:rsidRDefault="00000000" w:rsidRPr="00000000" w14:paraId="000000E5">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bottom w:color="000000" w:space="0" w:sz="4" w:val="single"/>
            </w:tcBorders>
            <w:shd w:fill="d9d9d9" w:val="clear"/>
            <w:vAlign w:val="center"/>
          </w:tcPr>
          <w:p w:rsidR="00000000" w:rsidDel="00000000" w:rsidP="00000000" w:rsidRDefault="00000000" w:rsidRPr="00000000" w14:paraId="000000E6">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bottom w:color="000000" w:space="0" w:sz="4" w:val="single"/>
            </w:tcBorders>
            <w:shd w:fill="d9d9d9" w:val="clear"/>
            <w:vAlign w:val="center"/>
          </w:tcPr>
          <w:p w:rsidR="00000000" w:rsidDel="00000000" w:rsidP="00000000" w:rsidRDefault="00000000" w:rsidRPr="00000000" w14:paraId="000000E7">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bottom w:color="000000" w:space="0" w:sz="4" w:val="single"/>
            </w:tcBorders>
            <w:shd w:fill="d9d9d9" w:val="clear"/>
            <w:vAlign w:val="center"/>
          </w:tcPr>
          <w:p w:rsidR="00000000" w:rsidDel="00000000" w:rsidP="00000000" w:rsidRDefault="00000000" w:rsidRPr="00000000" w14:paraId="000000E8">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Borders>
              <w:bottom w:color="000000" w:space="0" w:sz="4" w:val="single"/>
            </w:tcBorders>
            <w:shd w:fill="d9d9d9" w:val="clear"/>
            <w:vAlign w:val="center"/>
          </w:tcPr>
          <w:p w:rsidR="00000000" w:rsidDel="00000000" w:rsidP="00000000" w:rsidRDefault="00000000" w:rsidRPr="00000000" w14:paraId="000000E9">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r>
      <w:tr>
        <w:trPr>
          <w:cantSplit w:val="0"/>
          <w:trHeight w:val="692" w:hRule="atLeast"/>
          <w:tblHeader w:val="0"/>
        </w:trPr>
        <w:tc>
          <w:tcPr/>
          <w:p w:rsidR="00000000" w:rsidDel="00000000" w:rsidP="00000000" w:rsidRDefault="00000000" w:rsidRPr="00000000" w14:paraId="000000EA">
            <w:pPr>
              <w:spacing w:after="0" w:before="0" w:line="276"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EB">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RAK 1</w:t>
            </w:r>
          </w:p>
        </w:tc>
        <w:tc>
          <w:tcPr>
            <w:tcBorders>
              <w:bottom w:color="000000" w:space="0" w:sz="4" w:val="single"/>
            </w:tcBorders>
          </w:tcPr>
          <w:p w:rsidR="00000000" w:rsidDel="00000000" w:rsidP="00000000" w:rsidRDefault="00000000" w:rsidRPr="00000000" w14:paraId="000000EC">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D">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E">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F">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0">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1">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3">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4">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5">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6">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7">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0F8">
            <w:pPr>
              <w:spacing w:after="0" w:before="0" w:line="276"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F9">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Subkomponen 051</w:t>
            </w:r>
          </w:p>
        </w:tc>
        <w:tc>
          <w:tcPr>
            <w:tcBorders>
              <w:bottom w:color="000000" w:space="0" w:sz="4" w:val="single"/>
            </w:tcBorders>
          </w:tcPr>
          <w:p w:rsidR="00000000" w:rsidDel="00000000" w:rsidP="00000000" w:rsidRDefault="00000000" w:rsidRPr="00000000" w14:paraId="000000FA">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B">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C">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D">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E">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F">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0">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1">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3">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4">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5">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106">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0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w:t>
            </w:r>
          </w:p>
        </w:tc>
        <w:tc>
          <w:tcPr>
            <w:shd w:fill="93c47d" w:val="clear"/>
            <w:tcBorders>
              <w:bottom w:color="000000" w:space="0" w:sz="4" w:val="single"/>
            </w:tcBorders>
          </w:tcPr>
          <w:p w:rsidR="00000000" w:rsidDel="00000000" w:rsidP="00000000" w:rsidRDefault="00000000" w:rsidRPr="00000000" w14:paraId="00000108">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Borders>
              <w:bottom w:color="000000" w:space="0" w:sz="4" w:val="single"/>
            </w:tcBorders>
          </w:tcPr>
          <w:p w:rsidR="00000000" w:rsidDel="00000000" w:rsidP="00000000" w:rsidRDefault="00000000" w:rsidRPr="00000000" w14:paraId="00000109">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Borders>
              <w:bottom w:color="000000" w:space="0" w:sz="4" w:val="single"/>
            </w:tcBorders>
          </w:tcPr>
          <w:p w:rsidR="00000000" w:rsidDel="00000000" w:rsidP="00000000" w:rsidRDefault="00000000" w:rsidRPr="00000000" w14:paraId="0000010A">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B">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C">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D">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E">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F">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0">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1">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3">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4">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1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tc>
        <w:tc>
          <w:tcPr/>
          <w:p w:rsidR="00000000" w:rsidDel="00000000" w:rsidP="00000000" w:rsidRDefault="00000000" w:rsidRPr="00000000" w14:paraId="00000116">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7">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8">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9">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A">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B">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C">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D">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E">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F">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0">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1">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23">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tc>
        <w:tc>
          <w:tcPr/>
          <w:p w:rsidR="00000000" w:rsidDel="00000000" w:rsidP="00000000" w:rsidRDefault="00000000" w:rsidRPr="00000000" w14:paraId="00000124">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5">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tcPr/>
          <w:p w:rsidR="00000000" w:rsidDel="00000000" w:rsidP="00000000" w:rsidRDefault="00000000" w:rsidRPr="00000000" w14:paraId="00000126">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7">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tcPr/>
          <w:p w:rsidR="00000000" w:rsidDel="00000000" w:rsidP="00000000" w:rsidRDefault="00000000" w:rsidRPr="00000000" w14:paraId="00000128">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9">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A">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B">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tcPr/>
          <w:p w:rsidR="00000000" w:rsidDel="00000000" w:rsidP="00000000" w:rsidRDefault="00000000" w:rsidRPr="00000000" w14:paraId="0000012C">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D">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E">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F">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0">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31">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tc>
        <w:tc>
          <w:tcPr>
            <w:tcBorders>
              <w:bottom w:color="000000" w:space="0" w:sz="4" w:val="single"/>
            </w:tcBorders>
          </w:tcPr>
          <w:p w:rsidR="00000000" w:rsidDel="00000000" w:rsidP="00000000" w:rsidRDefault="00000000" w:rsidRPr="00000000" w14:paraId="0000013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3">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4">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5">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6">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7">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8">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9">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A">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Borders>
              <w:bottom w:color="000000" w:space="0" w:sz="4" w:val="single"/>
            </w:tcBorders>
          </w:tcPr>
          <w:p w:rsidR="00000000" w:rsidDel="00000000" w:rsidP="00000000" w:rsidRDefault="00000000" w:rsidRPr="00000000" w14:paraId="0000013B">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Borders>
              <w:bottom w:color="000000" w:space="0" w:sz="4" w:val="single"/>
            </w:tcBorders>
          </w:tcPr>
          <w:p w:rsidR="00000000" w:rsidDel="00000000" w:rsidP="00000000" w:rsidRDefault="00000000" w:rsidRPr="00000000" w14:paraId="0000013C">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Borders>
              <w:bottom w:color="000000" w:space="0" w:sz="4" w:val="single"/>
            </w:tcBorders>
          </w:tcPr>
          <w:p w:rsidR="00000000" w:rsidDel="00000000" w:rsidP="00000000" w:rsidRDefault="00000000" w:rsidRPr="00000000" w14:paraId="0000013D">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E">
            <w:pPr>
              <w:spacing w:after="0" w:before="0" w:line="276"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3F">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Subkomponen 052</w:t>
            </w:r>
          </w:p>
        </w:tc>
        <w:tc>
          <w:tcPr>
            <w:tcBorders>
              <w:bottom w:color="000000" w:space="0" w:sz="4" w:val="single"/>
            </w:tcBorders>
          </w:tcPr>
          <w:p w:rsidR="00000000" w:rsidDel="00000000" w:rsidP="00000000" w:rsidRDefault="00000000" w:rsidRPr="00000000" w14:paraId="00000140">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1">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3">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4">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5">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6">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7">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8">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9">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A">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B">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C">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4D">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w:t>
            </w:r>
          </w:p>
        </w:tc>
        <w:tc>
          <w:tcPr>
            <w:shd w:fill="93c47d" w:val="clear"/>
            <w:tcBorders>
              <w:bottom w:color="000000" w:space="0" w:sz="4" w:val="single"/>
            </w:tcBorders>
          </w:tcPr>
          <w:p w:rsidR="00000000" w:rsidDel="00000000" w:rsidP="00000000" w:rsidRDefault="00000000" w:rsidRPr="00000000" w14:paraId="0000014E">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Borders>
              <w:bottom w:color="000000" w:space="0" w:sz="4" w:val="single"/>
            </w:tcBorders>
          </w:tcPr>
          <w:p w:rsidR="00000000" w:rsidDel="00000000" w:rsidP="00000000" w:rsidRDefault="00000000" w:rsidRPr="00000000" w14:paraId="0000014F">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Borders>
              <w:bottom w:color="000000" w:space="0" w:sz="4" w:val="single"/>
            </w:tcBorders>
          </w:tcPr>
          <w:p w:rsidR="00000000" w:rsidDel="00000000" w:rsidP="00000000" w:rsidRDefault="00000000" w:rsidRPr="00000000" w14:paraId="00000150">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1">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2">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3">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4">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5">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6">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7">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8">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9">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A">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5B">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tc>
        <w:tc>
          <w:tcPr/>
          <w:p w:rsidR="00000000" w:rsidDel="00000000" w:rsidP="00000000" w:rsidRDefault="00000000" w:rsidRPr="00000000" w14:paraId="0000015C">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5D">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5E">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5F">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0">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1">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2">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3">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4">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5">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6">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7">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69">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tc>
        <w:tc>
          <w:tcPr/>
          <w:p w:rsidR="00000000" w:rsidDel="00000000" w:rsidP="00000000" w:rsidRDefault="00000000" w:rsidRPr="00000000" w14:paraId="0000016A">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B">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tcPr/>
          <w:p w:rsidR="00000000" w:rsidDel="00000000" w:rsidP="00000000" w:rsidRDefault="00000000" w:rsidRPr="00000000" w14:paraId="0000016C">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D">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tcPr/>
          <w:p w:rsidR="00000000" w:rsidDel="00000000" w:rsidP="00000000" w:rsidRDefault="00000000" w:rsidRPr="00000000" w14:paraId="0000016E">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F">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70">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1">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Pr>
          <w:tcPr/>
          <w:p w:rsidR="00000000" w:rsidDel="00000000" w:rsidP="00000000" w:rsidRDefault="00000000" w:rsidRPr="00000000" w14:paraId="00000172">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3">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4">
            <w:pPr>
              <w:spacing w:after="0" w:before="0" w:line="276"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5">
            <w:pPr>
              <w:spacing w:after="0" w:before="0" w:line="276"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6">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7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tc>
        <w:tc>
          <w:tcPr>
            <w:tcBorders>
              <w:bottom w:color="000000" w:space="0" w:sz="4" w:val="single"/>
            </w:tcBorders>
          </w:tcPr>
          <w:p w:rsidR="00000000" w:rsidDel="00000000" w:rsidP="00000000" w:rsidRDefault="00000000" w:rsidRPr="00000000" w14:paraId="00000178">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9">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A">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B">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C">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D">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E">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F">
            <w:pPr>
              <w:spacing w:after="0" w:before="0" w:line="276"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0">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Borders>
              <w:bottom w:color="000000" w:space="0" w:sz="4" w:val="single"/>
            </w:tcBorders>
          </w:tcPr>
          <w:p w:rsidR="00000000" w:rsidDel="00000000" w:rsidP="00000000" w:rsidRDefault="00000000" w:rsidRPr="00000000" w14:paraId="00000181">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Borders>
              <w:bottom w:color="000000" w:space="0" w:sz="4" w:val="single"/>
            </w:tcBorders>
          </w:tcPr>
          <w:p w:rsidR="00000000" w:rsidDel="00000000" w:rsidP="00000000" w:rsidRDefault="00000000" w:rsidRPr="00000000" w14:paraId="00000182">
            <w:pPr>
              <w:spacing w:after="0" w:before="0" w:line="276" w:lineRule="auto"/>
              <w:ind w:right="-19"/>
              <w:jc w:val="both"/>
              <w:rPr>
                <w:rFonts w:ascii="Arial" w:cs="Arial" w:eastAsia="Arial" w:hAnsi="Arial"/>
                <w:sz w:val="22"/>
                <w:szCs w:val="22"/>
              </w:rPr>
            </w:pPr>
            <w:r w:rsidDel="00000000" w:rsidR="00000000" w:rsidRPr="00000000">
              <w:rPr>
                <w:rtl w:val="0"/>
              </w:rPr>
            </w:r>
          </w:p>
        </w:tc>
        <w:tc>
          <w:tcPr>
            <w:shd w:fill="93c47d" w:val="clear"/>
            <w:tcBorders>
              <w:bottom w:color="000000" w:space="0" w:sz="4" w:val="single"/>
            </w:tcBorders>
          </w:tcPr>
          <w:p w:rsidR="00000000" w:rsidDel="00000000" w:rsidP="00000000" w:rsidRDefault="00000000" w:rsidRPr="00000000" w14:paraId="00000183">
            <w:pPr>
              <w:spacing w:after="0" w:before="0" w:line="276" w:lineRule="auto"/>
              <w:ind w:right="-19"/>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8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360"/>
        </w:tabs>
        <w:spacing w:after="40" w:before="0" w:line="360" w:lineRule="auto"/>
        <w:ind w:left="360" w:right="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BIAYA YANG DIBUTUHKAN: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Asisten Deputi Pemberdayaan Disabilitas dan Lanjut Usia pada Tahun Anggaran 2026 untuk menghasilkan 1 output memerlukan anggaran sebesar Rp 185.000.000,- (Seratus Delapan Puluh Lima Juta Rupiah).</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i w:val="1"/>
          <w:iCs w:val="1"/>
          <w:sz w:val="22"/>
          <w:szCs w:val="22"/>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p>
    <w:p w:rsidR="00000000" w:rsidDel="00000000" w:rsidP="00000000" w:rsidRDefault="00000000" w:rsidRPr="00000000" w14:paraId="00000187">
      <w:pPr>
        <w:spacing w:after="40" w:line="276" w:lineRule="auto" w:before="0"/>
        <w:ind w:left="439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Jakarta, 15 Januari 2026</w:t>
      </w:r>
      <w:r w:rsidDel="00000000" w:rsidR="00000000" w:rsidRPr="00000000">
        <w:rPr>
          <w:rFonts w:ascii="Arial" w:cs="Arial" w:eastAsia="Arial" w:hAnsi="Arial"/>
          <w:b w:val="1"/>
          <w:bCs w:val="1"/>
          <w:sz w:val="22"/>
          <w:szCs w:val="22"/>
          <w:rtl w:val="0"/>
        </w:rPr>
      </w:r>
      <w:r w:rsidDel="00000000" w:rsidR="00000000" w:rsidRPr="00000000">
        <w:rPr>
          <w:rtl w:val="0"/>
        </w:rPr>
      </w:r>
    </w:p>
    <w:p w:rsidR="00000000" w:rsidDel="00000000" w:rsidP="00000000" w:rsidRDefault="00000000" w:rsidRPr="00000000" w14:paraId="00000188">
      <w:pPr>
        <w:spacing w:after="40" w:line="276" w:lineRule="auto" w:before="0"/>
        <w:ind w:left="439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Pemberdayaan Disabilitas dan Lanjut Usia,</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r w:rsidDel="00000000" w:rsidR="00000000" w:rsidRPr="00000000"/>
    </w:p>
    <w:p w:rsidR="00000000" w:rsidDel="00000000" w:rsidP="00000000" w:rsidRDefault="00000000" w:rsidRPr="00000000" w14:paraId="00000189">
      <w:pPr>
        <w:spacing w:after="40" w:line="360" w:lineRule="auto" w:before="0"/>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spacing w:after="40" w:line="360" w:lineRule="auto" w:before="0"/>
        <w:ind w:left="5799" w:firstLine="681.0000000000002"/>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Dr. H. Ahmad Sudrajat, M.Si.</w:t>
      </w:r>
    </w:p>
    <w:p w:rsidR="00000000" w:rsidDel="00000000" w:rsidP="00000000" w:rsidRDefault="00000000" w:rsidRPr="00000000" w14:paraId="0000018D">
      <w:pPr>
        <w:spacing w:after="40" w:line="360" w:lineRule="auto" w:before="0"/>
        <w:ind w:left="5799" w:firstLine="681.0000000000002"/>
        <w:jc w:val="both"/>
        <w:rPr>
          <w:rFonts w:ascii="Arial" w:cs="Arial" w:eastAsia="Arial" w:hAnsi="Arial"/>
          <w:b w:val="1"/>
          <w:bCs w:val="1"/>
          <w:sz w:val="22"/>
          <w:szCs w:val="22"/>
        </w:rPr>
        <w:sectPr>
          <w:pgSz w:h="16839" w:w="11907" w:orient="portrait"/>
          <w:pgMar w:bottom="1440" w:top="1440" w:left="1440" w:right="1440" w:header="706" w:footer="706"/>
          <w:pgNumType w:start="1"/>
        </w:sectPr>
      </w:pPr>
      <w:r w:rsidDel="00000000" w:rsidR="00000000" w:rsidRPr="00000000">
        <w:rPr>
          <w:rFonts w:ascii="Arial" w:cs="Arial" w:eastAsia="Arial" w:hAnsi="Arial"/>
          <w:b w:val="1"/>
          <w:bCs w:val="1"/>
          <w:sz w:val="22"/>
          <w:szCs w:val="22"/>
          <w:rtl w:val="0"/>
        </w:rPr>
        <w:t xml:space="preserve">NIP. 19750812 200112 1 002</w:t>
      </w:r>
    </w:p>
    <w:p w:rsidR="00000000" w:rsidDel="00000000" w:rsidP="00000000" w:rsidRDefault="00000000" w:rsidRPr="00000000" w14:paraId="0000018E">
      <w:pPr>
        <w:spacing w:after="120"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Lampiran I. </w:t>
      </w:r>
      <w:r w:rsidDel="00000000" w:rsidR="00000000" w:rsidRPr="00000000">
        <w:rPr>
          <w:rFonts w:ascii="Arial" w:cs="Arial" w:eastAsia="Arial" w:hAnsi="Arial"/>
          <w:b w:val="1"/>
          <w:bCs w:val="1"/>
          <w:i w:val="1"/>
          <w:iCs w:val="1"/>
          <w:sz w:val="20"/>
          <w:szCs w:val="20"/>
          <w:rtl w:val="0"/>
        </w:rPr>
        <w:t xml:space="preserve">Gender Analysis Pathway</w:t>
      </w:r>
    </w:p>
    <w:p w:rsidR="00000000" w:rsidDel="00000000" w:rsidP="00000000" w:rsidRDefault="00000000" w:rsidRPr="00000000" w14:paraId="0000018F">
      <w:pPr>
        <w:spacing w:after="120" w:line="240" w:lineRule="auto"/>
        <w:jc w:val="center"/>
        <w:rPr>
          <w:rFonts w:ascii="Arial" w:cs="Arial" w:eastAsia="Arial" w:hAnsi="Arial"/>
          <w:b w:val="1"/>
          <w:bCs w:val="1"/>
          <w:i w:val="1"/>
          <w:iCs w:val="1"/>
          <w:sz w:val="20"/>
          <w:szCs w:val="20"/>
        </w:rPr>
      </w:pPr>
      <w:r w:rsidDel="00000000" w:rsidR="00000000" w:rsidRPr="00000000">
        <w:rPr>
          <w:rtl w:val="0"/>
        </w:rPr>
      </w:r>
    </w:p>
    <w:tbl>
      <w:tblPr>
        <w:tblStyle w:val="Table3"/>
        <w:tblW w:w="9690.0" w:type="dxa"/>
        <w:jc w:val="left"/>
        <w:tblInd w:w="-28.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2505"/>
        <w:gridCol w:w="2625"/>
        <w:gridCol w:w="2265"/>
        <w:tblGridChange w:id="0">
          <w:tblGrid>
            <w:gridCol w:w="2295"/>
            <w:gridCol w:w="2505"/>
            <w:gridCol w:w="2625"/>
            <w:gridCol w:w="2265"/>
          </w:tblGrid>
        </w:tblGridChange>
      </w:tblGrid>
      <w:tr>
        <w:trPr>
          <w:cantSplit w:val="0"/>
          <w:trHeight w:val="414.4775390625" w:hRule="atLeast"/>
          <w:tblHeader w:val="1"/>
        </w:trPr>
        <w:tc>
          <w:tcPr>
            <w:shd w:fill="cfe2f3" w:val="clear"/>
            <w:vAlign w:val="center"/>
          </w:tcPr>
          <w:p w:rsidR="00000000" w:rsidDel="00000000" w:rsidP="00000000" w:rsidRDefault="00000000" w:rsidRPr="00000000" w14:paraId="00000190">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1</w:t>
            </w:r>
            <w:r w:rsidDel="00000000" w:rsidR="00000000" w:rsidRPr="00000000">
              <w:rPr>
                <w:rtl w:val="0"/>
              </w:rPr>
            </w:r>
          </w:p>
        </w:tc>
        <w:tc>
          <w:tcPr>
            <w:shd w:fill="cfe2f3" w:val="clear"/>
            <w:vAlign w:val="center"/>
          </w:tcPr>
          <w:p w:rsidR="00000000" w:rsidDel="00000000" w:rsidP="00000000" w:rsidRDefault="00000000" w:rsidRPr="00000000" w14:paraId="00000191">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2</w:t>
            </w:r>
            <w:r w:rsidDel="00000000" w:rsidR="00000000" w:rsidRPr="00000000">
              <w:rPr>
                <w:rtl w:val="0"/>
              </w:rPr>
            </w:r>
          </w:p>
        </w:tc>
        <w:tc>
          <w:tcPr>
            <w:shd w:fill="cfe2f3" w:val="clear"/>
            <w:vAlign w:val="center"/>
          </w:tcPr>
          <w:p w:rsidR="00000000" w:rsidDel="00000000" w:rsidP="00000000" w:rsidRDefault="00000000" w:rsidRPr="00000000" w14:paraId="00000192">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3</w:t>
            </w:r>
            <w:r w:rsidDel="00000000" w:rsidR="00000000" w:rsidRPr="00000000">
              <w:rPr>
                <w:rtl w:val="0"/>
              </w:rPr>
            </w:r>
          </w:p>
        </w:tc>
        <w:tc>
          <w:tcPr>
            <w:shd w:fill="cfe2f3" w:val="clear"/>
            <w:vAlign w:val="center"/>
          </w:tcPr>
          <w:p w:rsidR="00000000" w:rsidDel="00000000" w:rsidP="00000000" w:rsidRDefault="00000000" w:rsidRPr="00000000" w14:paraId="00000193">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4</w:t>
            </w:r>
            <w:r w:rsidDel="00000000" w:rsidR="00000000" w:rsidRPr="00000000">
              <w:rPr>
                <w:rtl w:val="0"/>
              </w:rPr>
            </w:r>
          </w:p>
        </w:tc>
      </w:tr>
      <w:tr>
        <w:trPr>
          <w:cantSplit w:val="0"/>
          <w:trHeight w:val="414.4775390625" w:hRule="atLeast"/>
          <w:tblHeader w:val="1"/>
        </w:trPr>
        <w:tc>
          <w:tcPr>
            <w:shd w:fill="cfe2f3" w:val="clear"/>
            <w:vAlign w:val="center"/>
          </w:tcPr>
          <w:p w:rsidR="00000000" w:rsidDel="00000000" w:rsidP="00000000" w:rsidRDefault="00000000" w:rsidRPr="00000000" w14:paraId="00000194">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Isu dan Masalah Gender )*</w:t>
            </w:r>
          </w:p>
        </w:tc>
        <w:tc>
          <w:tcPr>
            <w:shd w:fill="cfe2f3" w:val="clear"/>
            <w:vAlign w:val="center"/>
          </w:tcPr>
          <w:p w:rsidR="00000000" w:rsidDel="00000000" w:rsidP="00000000" w:rsidRDefault="00000000" w:rsidRPr="00000000" w14:paraId="00000195">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Faktor Penyebab)*</w:t>
            </w:r>
          </w:p>
        </w:tc>
        <w:tc>
          <w:tcPr>
            <w:shd w:fill="cfe2f3" w:val="clear"/>
            <w:vAlign w:val="center"/>
          </w:tcPr>
          <w:p w:rsidR="00000000" w:rsidDel="00000000" w:rsidP="00000000" w:rsidRDefault="00000000" w:rsidRPr="00000000" w14:paraId="00000196">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(Penyusunan Rencana Aksi Responsif Gender)*</w:t>
            </w:r>
          </w:p>
        </w:tc>
        <w:tc>
          <w:tcPr>
            <w:shd w:fill="cfe2f3" w:val="clear"/>
            <w:vAlign w:val="center"/>
          </w:tcPr>
          <w:p w:rsidR="00000000" w:rsidDel="00000000" w:rsidP="00000000" w:rsidRDefault="00000000" w:rsidRPr="00000000" w14:paraId="00000197">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Pemangku Kepentingan (K/L/PD)*</w:t>
            </w:r>
          </w:p>
        </w:tc>
      </w:tr>
      <w:tr>
        <w:trPr>
          <w:cantSplit w:val="0"/>
          <w:trHeight w:val="938" w:hRule="atLeast"/>
          <w:tblHeader w:val="0"/>
        </w:trPr>
        <w:tc>
          <w:tcPr/>
          <w:p w:rsidR="00000000" w:rsidDel="00000000" w:rsidP="00000000" w:rsidRDefault="00000000" w:rsidRPr="00000000" w14:paraId="00000198">
            <w:pPr>
              <w:spacing w:after="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Isu dan Masalah Gender:</w:t>
            </w:r>
            <w:r>
              <w:br/>
            </w:r>
            <w:r>
              <w:rPr>
                <w:rFonts w:ascii="Arial" w:cs="Arial" w:eastAsia="Arial" w:hAnsi="Arial"/>
                <w:i w:val="1"/>
                <w:iCs w:val="1"/>
                <w:sz w:val="18"/>
                <w:szCs w:val="18"/>
                <w:rtl w:val="0"/>
              </w:rPr>
              <w:t xml:space="preserve">- Kesenjangan partisipasi perempuan disabilitas dalam pelatihan vokasional dan pasar kerja formal (hanya 18,2% dibanding laki-laki 38,5%).</w:t>
            </w:r>
            <w:r>
              <w:br/>
            </w:r>
            <w:r>
              <w:rPr>
                <w:rFonts w:ascii="Arial" w:cs="Arial" w:eastAsia="Arial" w:hAnsi="Arial"/>
                <w:i w:val="1"/>
                <w:iCs w:val="1"/>
                <w:sz w:val="18"/>
                <w:szCs w:val="18"/>
                <w:rtl w:val="0"/>
              </w:rPr>
              <w:t xml:space="preserve">- Akses layanan kesehatan reproduksi yang masih minim sarana pendukung bagi perempuan disabilitas daksa dan netra.</w:t>
            </w:r>
          </w:p>
        </w:tc>
        <w:tc>
          <w:tcPr/>
          <w:p w:rsidR="00000000" w:rsidDel="00000000" w:rsidP="00000000" w:rsidRDefault="00000000" w:rsidRPr="00000000" w14:paraId="000001A3">
            <w:pPr>
              <w:spacing w:after="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Faktor Penyebab:</w:t>
            </w:r>
            <w:r>
              <w:br/>
            </w:r>
            <w:r>
              <w:rPr>
                <w:rFonts w:ascii="Arial" w:cs="Arial" w:eastAsia="Arial" w:hAnsi="Arial"/>
                <w:i w:val="1"/>
                <w:iCs w:val="1"/>
                <w:sz w:val="18"/>
                <w:szCs w:val="18"/>
                <w:rtl w:val="0"/>
              </w:rPr>
              <w:t xml:space="preserve">- Ranah Pemerintah: Standar fasilitas BLK dan faskes belum seluruhnya mengadopsi prinsip universal design.</w:t>
            </w:r>
            <w:r>
              <w:br/>
            </w:r>
            <w:r>
              <w:rPr>
                <w:rFonts w:ascii="Arial" w:cs="Arial" w:eastAsia="Arial" w:hAnsi="Arial"/>
                <w:i w:val="1"/>
                <w:iCs w:val="1"/>
                <w:sz w:val="18"/>
                <w:szCs w:val="18"/>
                <w:rtl w:val="0"/>
              </w:rPr>
              <w:t xml:space="preserve">- Ranah Masyarakat: Stigma sosial bahwa perempuan disabilitas cukup tinggal di rumah dan menjadi tanggungan keluarga.</w:t>
            </w:r>
            <w:r>
              <w:br/>
            </w:r>
            <w:r>
              <w:rPr>
                <w:rFonts w:ascii="Arial" w:cs="Arial" w:eastAsia="Arial" w:hAnsi="Arial"/>
                <w:i w:val="1"/>
                <w:iCs w:val="1"/>
                <w:sz w:val="18"/>
                <w:szCs w:val="18"/>
                <w:rtl w:val="0"/>
              </w:rPr>
              <w:t xml:space="preserve">- Ranah Ekonomi: Beban ganda pengasuh keluarga lansia yang mayoritas diemban oleh perempuan tanpa kompensasi.</w:t>
            </w:r>
          </w:p>
        </w:tc>
        <w:tc>
          <w:tcPr/>
          <w:p w:rsidR="00000000" w:rsidDel="00000000" w:rsidP="00000000" w:rsidRDefault="00000000" w:rsidRPr="00000000" w14:paraId="000001B3">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Penyusunan Rencana Aksi Responsif Gender:</w:t>
            </w:r>
            <w:r>
              <w:br/>
            </w:r>
            <w:r>
              <w:rPr>
                <w:rFonts w:ascii="Arial" w:cs="Arial" w:eastAsia="Arial" w:hAnsi="Arial"/>
                <w:i w:val="1"/>
                <w:iCs w:val="1"/>
                <w:sz w:val="18"/>
                <w:szCs w:val="18"/>
                <w:rtl w:val="0"/>
              </w:rPr>
              <w:t xml:space="preserve">- SKP lintas K/L untuk penyusunan Modul Pelatihan Kerja Inklusif Ramah Perempuan Disabilitas bersama Kemnaker dan Kemensos.</w:t>
            </w:r>
            <w:r>
              <w:br/>
            </w:r>
            <w:r>
              <w:rPr>
                <w:rFonts w:ascii="Arial" w:cs="Arial" w:eastAsia="Arial" w:hAnsi="Arial"/>
                <w:i w:val="1"/>
                <w:iCs w:val="1"/>
                <w:sz w:val="18"/>
                <w:szCs w:val="18"/>
                <w:rtl w:val="0"/>
              </w:rPr>
              <w:t xml:space="preserve">- Mendorong alokasi anggaran responsif gender (ARG) pada dinas sosial daerah untuk penyediaan alat bantu sensorik dan mobilitas bagi perempuan lansia dan anak disabilitas.</w:t>
            </w:r>
          </w:p>
        </w:tc>
        <w:tc>
          <w:tcPr/>
          <w:p w:rsidR="00000000" w:rsidDel="00000000" w:rsidP="00000000" w:rsidRDefault="00000000" w:rsidRPr="00000000" w14:paraId="000001BE">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Pemangku Kepentingan:</w:t>
            </w:r>
            <w:r>
              <w:br/>
            </w:r>
            <w:r>
              <w:rPr>
                <w:rFonts w:ascii="Arial" w:cs="Arial" w:eastAsia="Arial" w:hAnsi="Arial"/>
                <w:i w:val="1"/>
                <w:iCs w:val="1"/>
                <w:sz w:val="18"/>
                <w:szCs w:val="18"/>
                <w:rtl w:val="0"/>
              </w:rPr>
              <w:t xml:space="preserve">- Internal: Asdep Pemberdayaan Disabilitas dan Lanjut Usia, Asdep Kesetaraan Gender Kemenko PMK.</w:t>
            </w:r>
            <w:r>
              <w:br/>
            </w:r>
            <w:r>
              <w:rPr>
                <w:rFonts w:ascii="Arial" w:cs="Arial" w:eastAsia="Arial" w:hAnsi="Arial"/>
                <w:i w:val="1"/>
                <w:iCs w:val="1"/>
                <w:sz w:val="18"/>
                <w:szCs w:val="18"/>
                <w:rtl w:val="0"/>
              </w:rPr>
              <w:t xml:space="preserve">- Eksternal: Kementerian Pemberdayaan Perempuan dan Perlindungan Anak (KPPPA), Kementerian Sosial, Kementerian Ketenagakerjaan, Bappenas, Komisi Nasional Disabilitas (KND), HWDI, dan GERKATIN.</w:t>
            </w:r>
          </w:p>
        </w:tc>
      </w:tr>
    </w:tbl>
    <w:p w:rsidR="00000000" w:rsidDel="00000000" w:rsidP="00000000" w:rsidRDefault="00000000" w:rsidRPr="00000000" w14:paraId="000001CD">
      <w:pPr>
        <w:spacing w:after="100" w:line="240" w:lineRule="auto"/>
        <w:jc w:val="both"/>
        <w:rPr>
          <w:rFonts w:ascii="Arial" w:cs="Arial" w:eastAsia="Arial" w:hAnsi="Arial"/>
          <w:b w:val="1"/>
          <w:bCs w:val="1"/>
          <w:sz w:val="22"/>
          <w:szCs w:val="22"/>
        </w:rPr>
        <w:sectPr>
          <w:type w:val="nextPage"/>
          <w:pgSz w:h="16839" w:w="11907" w:orient="portrait"/>
          <w:pgMar w:bottom="1440" w:top="1440" w:left="1440" w:right="1440" w:header="706" w:footer="706"/>
        </w:sectPr>
      </w:pPr>
      <w:r w:rsidDel="00000000" w:rsidR="00000000" w:rsidRPr="00000000">
        <w:rPr>
          <w:rtl w:val="0"/>
        </w:rPr>
      </w:r>
    </w:p>
    <w:p w:rsidR="00000000" w:rsidDel="00000000" w:rsidP="00000000" w:rsidRDefault="00000000" w:rsidRPr="00000000" w14:paraId="000001CE">
      <w:pPr>
        <w:spacing w:after="1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Lampiran II. Manajemen Risiko</w:t>
      </w:r>
    </w:p>
    <w:p w:rsidR="00000000" w:rsidDel="00000000" w:rsidP="00000000" w:rsidRDefault="00000000" w:rsidRPr="00000000" w14:paraId="000001CF">
      <w:pPr>
        <w:spacing w:after="120" w:line="360" w:lineRule="auto"/>
        <w:ind w:left="-1133.8582677165355" w:hanging="283.4645669291339"/>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7397466" cy="2649550"/>
            <wp:effectExtent b="0" l="0" r="0" t="0"/>
            <wp:docPr id="193607289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397466" cy="26495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120" w:line="360" w:lineRule="auto"/>
        <w:ind w:left="709" w:hanging="0.33858267716539103"/>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Detai ada pada link https://bit.ly/PedomanBersamaKPMK </w:t>
      </w:r>
    </w:p>
    <w:p w:rsidR="00000000" w:rsidDel="00000000" w:rsidP="00000000" w:rsidRDefault="00000000" w:rsidRPr="00000000" w14:paraId="000001D1">
      <w:pPr>
        <w:spacing w:line="278.00000000000006" w:lineRule="auto"/>
        <w:rPr>
          <w:rFonts w:ascii="Aptos" w:cs="Aptos" w:eastAsia="Aptos" w:hAnsi="Aptos"/>
          <w:b w:val="1"/>
          <w:bCs w:val="1"/>
        </w:rPr>
      </w:pPr>
      <w:r w:rsidDel="00000000" w:rsidR="00000000" w:rsidRPr="00000000">
        <w:rPr>
          <w:rFonts w:ascii="Aptos" w:cs="Aptos" w:eastAsia="Aptos" w:hAnsi="Aptos"/>
          <w:b w:val="1"/>
          <w:bCs w:val="1"/>
          <w:rtl w:val="0"/>
        </w:rPr>
        <w:t xml:space="preserve">Keterangan:</w:t>
      </w:r>
    </w:p>
    <w:p w:rsidR="00000000" w:rsidDel="00000000" w:rsidP="00000000" w:rsidRDefault="00000000" w:rsidRPr="00000000" w14:paraId="000001D2">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Kategori Risiko: pengelompokan atau klasifikasi risiko berdasarkan sumber, sifat, atau area dampaknya.</w:t>
      </w:r>
      <w:r w:rsidDel="00000000" w:rsidR="00000000" w:rsidRPr="00000000">
        <w:rPr>
          <w:rtl w:val="0"/>
        </w:rPr>
      </w:r>
    </w:p>
    <w:tbl>
      <w:tblPr>
        <w:tblStyle w:val="Table4"/>
        <w:tblW w:w="11340.0" w:type="dxa"/>
        <w:jc w:val="left"/>
        <w:tblInd w:w="-1129.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770"/>
        <w:gridCol w:w="1125"/>
        <w:gridCol w:w="7590"/>
        <w:tblGridChange w:id="0">
          <w:tblGrid>
            <w:gridCol w:w="855"/>
            <w:gridCol w:w="1770"/>
            <w:gridCol w:w="1125"/>
            <w:gridCol w:w="7590"/>
          </w:tblGrid>
        </w:tblGridChange>
      </w:tblGrid>
      <w:tr>
        <w:trPr>
          <w:cantSplit w:val="0"/>
          <w:tblHeader w:val="1"/>
        </w:trPr>
        <w:tc>
          <w:tcPr>
            <w:shd w:fill="fff2cc" w:val="clear"/>
          </w:tcPr>
          <w:p w:rsidR="00000000" w:rsidDel="00000000" w:rsidP="00000000" w:rsidRDefault="00000000" w:rsidRPr="00000000" w14:paraId="000001D3">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shd w:fill="fff2cc" w:val="clear"/>
          </w:tcPr>
          <w:p w:rsidR="00000000" w:rsidDel="00000000" w:rsidP="00000000" w:rsidRDefault="00000000" w:rsidRPr="00000000" w14:paraId="000001D4">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Kategori Risiko</w:t>
            </w:r>
          </w:p>
        </w:tc>
        <w:tc>
          <w:tcPr>
            <w:shd w:fill="fff2cc" w:val="clear"/>
          </w:tcPr>
          <w:p w:rsidR="00000000" w:rsidDel="00000000" w:rsidP="00000000" w:rsidRDefault="00000000" w:rsidRPr="00000000" w14:paraId="000001D5">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Kode Risiko</w:t>
            </w:r>
          </w:p>
        </w:tc>
        <w:tc>
          <w:tcPr>
            <w:shd w:fill="fff2cc" w:val="clear"/>
          </w:tcPr>
          <w:p w:rsidR="00000000" w:rsidDel="00000000" w:rsidP="00000000" w:rsidRDefault="00000000" w:rsidRPr="00000000" w14:paraId="000001D6">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Definisi</w:t>
            </w:r>
          </w:p>
        </w:tc>
      </w:tr>
      <w:tr>
        <w:trPr>
          <w:cantSplit w:val="0"/>
          <w:tblHeader w:val="0"/>
        </w:trPr>
        <w:tc>
          <w:tcPr/>
          <w:p w:rsidR="00000000" w:rsidDel="00000000" w:rsidP="00000000" w:rsidRDefault="00000000" w:rsidRPr="00000000" w14:paraId="000001D7">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Kebijakan</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9">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RK</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bersumber dari adanya penetapan kebijakan organisasi dilakukan 1 (satu) kali dalam setahun dari internal maupun eksternal organisasi yang berdampak langsung terhadap organisasi.</w:t>
            </w:r>
          </w:p>
        </w:tc>
      </w:tr>
      <w:tr>
        <w:trPr>
          <w:cantSplit w:val="0"/>
          <w:tblHeader w:val="0"/>
        </w:trPr>
        <w:tc>
          <w:tcPr/>
          <w:p w:rsidR="00000000" w:rsidDel="00000000" w:rsidP="00000000" w:rsidRDefault="00000000" w:rsidRPr="00000000" w14:paraId="000001DB">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Regulasi dan Legalitas</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D">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RRL</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timbul akibat ketidaksinkronan, kelemahan, atau ketidakjelasan regulasi serta aspek legalitas yang mendasari kebijakan dan program organisasi. Risiko ini mencakup kepatuhan terhadap peraturan perundang-undangan, potensi sengketa hukum, serta lemahnya implementasi regulasi di lapangan.</w:t>
            </w:r>
          </w:p>
        </w:tc>
      </w:tr>
      <w:tr>
        <w:trPr>
          <w:cantSplit w:val="0"/>
          <w:tblHeader w:val="0"/>
        </w:trPr>
        <w:tc>
          <w:tcPr/>
          <w:p w:rsidR="00000000" w:rsidDel="00000000" w:rsidP="00000000" w:rsidRDefault="00000000" w:rsidRPr="00000000" w14:paraId="000001DF">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Keuangan</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1">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RKeu</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terkait dengan kerugian finansial,penyalahgunaan anggaran, ketidakakuratan pelaporan keuangan, atau kerugian aset negara (termasuk fraud)</w:t>
            </w:r>
          </w:p>
        </w:tc>
      </w:tr>
      <w:tr>
        <w:trPr>
          <w:cantSplit w:val="0"/>
          <w:tblHeader w:val="0"/>
        </w:trPr>
        <w:tc>
          <w:tcPr/>
          <w:p w:rsidR="00000000" w:rsidDel="00000000" w:rsidP="00000000" w:rsidRDefault="00000000" w:rsidRPr="00000000" w14:paraId="000001E3">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Reputasi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5">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berdampak pada menurunnya tingkat kepercayaan pemangku kepentingan yang bersumber dari persepsi negatif terhadap organisasi.</w:t>
            </w:r>
          </w:p>
        </w:tc>
      </w:tr>
      <w:tr>
        <w:trPr>
          <w:cantSplit w:val="0"/>
          <w:tblHeader w:val="0"/>
        </w:trPr>
        <w:tc>
          <w:tcPr/>
          <w:p w:rsidR="00000000" w:rsidDel="00000000" w:rsidP="00000000" w:rsidRDefault="00000000" w:rsidRPr="00000000" w14:paraId="000001E7">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Operasional dan Sumber Daya Manusia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9">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ROSDM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muncul dari kelemahan dalam proses operasional internal, sistem kerja, serta kapasitas dan kompetensi sumber daya manusia. Risiko ini mencakup kegagalan prosedur, keterbatasan SDM, dan rendahnya efektivitas pelaksanaan tugas.</w:t>
            </w:r>
          </w:p>
        </w:tc>
      </w:tr>
      <w:tr>
        <w:trPr>
          <w:cantSplit w:val="0"/>
          <w:tblHeader w:val="0"/>
        </w:trPr>
        <w:tc>
          <w:tcPr/>
          <w:p w:rsidR="00000000" w:rsidDel="00000000" w:rsidP="00000000" w:rsidRDefault="00000000" w:rsidRPr="00000000" w14:paraId="000001EB">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Stakeholder</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D">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RS</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Kepentingan Risiko yang berkaitan dengan pola hubungan antara organisasi dengan pemangku kepentingan dan/atau antar unit kerja di organisasi.</w:t>
            </w:r>
          </w:p>
        </w:tc>
      </w:tr>
      <w:tr>
        <w:trPr>
          <w:cantSplit w:val="0"/>
          <w:tblHeader w:val="0"/>
        </w:trPr>
        <w:tc>
          <w:tcPr/>
          <w:p w:rsidR="00000000" w:rsidDel="00000000" w:rsidP="00000000" w:rsidRDefault="00000000" w:rsidRPr="00000000" w14:paraId="000001EF">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Bencana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1">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berkaitan dengan potensi terjadinya peristiwa atau rangkaian peristiwa yang mengancam dan mengganggu kehidupan dan penghidupan masyarakat yang disebabkan, baik</w:t>
            </w:r>
          </w:p>
          <w:p w:rsidR="00000000" w:rsidDel="00000000" w:rsidP="00000000" w:rsidRDefault="00000000" w:rsidRPr="00000000" w14:paraId="000001F3">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dari faktor alam dan/atau faktor non alam maupun faktor manusia</w:t>
            </w:r>
          </w:p>
        </w:tc>
      </w:tr>
      <w:tr>
        <w:trPr>
          <w:cantSplit w:val="0"/>
          <w:tblHeader w:val="0"/>
        </w:trPr>
        <w:tc>
          <w:tcPr/>
          <w:p w:rsidR="00000000" w:rsidDel="00000000" w:rsidP="00000000" w:rsidRDefault="00000000" w:rsidRPr="00000000" w14:paraId="000001F4">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Teknologi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6">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7">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berkaitan dengan kejahatan siber, ketidaktepatan implementasi teknologi, kecelakaan industri, kegagalan infrastruktur vital, dan disrupsi teknologi.</w:t>
            </w:r>
          </w:p>
        </w:tc>
      </w:tr>
      <w:tr>
        <w:trPr>
          <w:cantSplit w:val="0"/>
          <w:tblHeader w:val="0"/>
        </w:trPr>
        <w:tc>
          <w:tcPr/>
          <w:p w:rsidR="00000000" w:rsidDel="00000000" w:rsidP="00000000" w:rsidRDefault="00000000" w:rsidRPr="00000000" w14:paraId="000001F8">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Tata Kelola dan Integritas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A">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RTKI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timbul akibat kelemahan dalam sistem tata kelola organisasi, mekanisme pengendalian internal, serta perilaku tidak etis yang mengganggu independensi, objektivitas, dan kepercayaan publik terhadap organisasi. Risiko ini mencakup aspek transparansi, akuntabilitas, integritas pegawai, serta kepatuhan terhadap prinsip-prinsip good governance.</w:t>
            </w:r>
          </w:p>
        </w:tc>
      </w:tr>
    </w:tbl>
    <w:p w:rsidR="00000000" w:rsidDel="00000000" w:rsidP="00000000" w:rsidRDefault="00000000" w:rsidRPr="00000000" w14:paraId="000001FC">
      <w:pPr>
        <w:spacing w:after="0" w:line="240" w:lineRule="auto"/>
        <w:ind w:left="1559.0551181102362" w:right="907.2047244094489"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D">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Peristiwa Risiko: kejadian atau situasi spesifik yang berpotensi terjadi dan dapat mengganggu pencapaian tujuan.</w:t>
      </w:r>
      <w:r w:rsidDel="00000000" w:rsidR="00000000" w:rsidRPr="00000000">
        <w:rPr>
          <w:rtl w:val="0"/>
        </w:rPr>
      </w:r>
    </w:p>
    <w:p w:rsidR="00000000" w:rsidDel="00000000" w:rsidP="00000000" w:rsidRDefault="00000000" w:rsidRPr="00000000" w14:paraId="000001FE">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Perlakuan Risiko: tindakan, strategi, atau langkah-langkah yang dipilih dan diterapkan untuk merespons risiko yang telah dianalisis.</w:t>
      </w:r>
      <w:r w:rsidDel="00000000" w:rsidR="00000000" w:rsidRPr="00000000">
        <w:rPr>
          <w:rtl w:val="0"/>
        </w:rPr>
      </w:r>
    </w:p>
    <w:p w:rsidR="00000000" w:rsidDel="00000000" w:rsidP="00000000" w:rsidRDefault="00000000" w:rsidRPr="00000000" w14:paraId="000001FF">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Dampak: Dampak kejadian yang menimbulkan kerugian baik materil maupun non materil</w:t>
      </w:r>
      <w:r w:rsidDel="00000000" w:rsidR="00000000" w:rsidRPr="00000000">
        <w:rPr>
          <w:rtl w:val="0"/>
        </w:rPr>
      </w:r>
    </w:p>
    <w:p w:rsidR="00000000" w:rsidDel="00000000" w:rsidP="00000000" w:rsidRDefault="00000000" w:rsidRPr="00000000" w14:paraId="00000200">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Analisis dan Evaluasi Risiko: adalah angka atau predikat nominal yang menunjukkan tingkat keparahan total dari suatu risiko</w:t>
      </w:r>
      <w:r w:rsidDel="00000000" w:rsidR="00000000" w:rsidRPr="00000000">
        <w:rPr>
          <w:rFonts w:ascii="Arial" w:cs="Arial" w:eastAsia="Arial" w:hAnsi="Arial"/>
          <w:sz w:val="22"/>
          <w:szCs w:val="22"/>
        </w:rPr>
        <w:drawing>
          <wp:inline distB="114300" distT="114300" distL="114300" distR="114300">
            <wp:extent cx="5731200" cy="749300"/>
            <wp:effectExtent b="0" l="0" r="0" t="0"/>
            <wp:docPr id="193607289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511300"/>
            <wp:effectExtent b="0" l="0" r="0" t="0"/>
            <wp:docPr id="1936072895" name="image1.png"/>
            <a:graphic>
              <a:graphicData uri="http://schemas.openxmlformats.org/drawingml/2006/picture">
                <pic:pic>
                  <pic:nvPicPr>
                    <pic:cNvPr id="0" name="image1.png"/>
                    <pic:cNvPicPr preferRelativeResize="0"/>
                  </pic:nvPicPr>
                  <pic:blipFill>
                    <a:blip r:embed="rId13"/>
                    <a:srcRect b="25124" l="7519" r="3437" t="38843"/>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Pemilik Risiko: individu atau unit kerja yang ditunjuk secara spesifik untuk melaksanakan, mengeksekusi, dan memantau tindakan mitigasi atau rencana aksi yang telah disepakati untuk mengatasi suatu risiko.</w:t>
      </w:r>
      <w:r w:rsidDel="00000000" w:rsidR="00000000" w:rsidRPr="00000000">
        <w:rPr>
          <w:rtl w:val="0"/>
        </w:rPr>
      </w:r>
    </w:p>
    <w:p w:rsidR="00000000" w:rsidDel="00000000" w:rsidP="00000000" w:rsidRDefault="00000000" w:rsidRPr="00000000" w14:paraId="00000203">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Penyebab: faktor, kondisi, kelemahan, atau keadaan yang menjadi sumber atau pemicu terjadinya suatu peristiwa risiko.</w:t>
      </w:r>
    </w:p>
    <w:p w:rsidR="00000000" w:rsidDel="00000000" w:rsidP="00000000" w:rsidRDefault="00000000" w:rsidRPr="00000000" w14:paraId="00000204">
      <w:pPr>
        <w:numPr>
          <w:ilvl w:val="0"/>
          <w:numId w:val="17"/>
        </w:numPr>
        <w:spacing w:line="278.00000000000006"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Lingkup/Sasaran: batasan tingkatan, objek, atau area pencapaian kinerja yang dianalisis risikonya (yang terdiri dari 3 yaitu: Administrasi/Tata Kelola Internal UKE, Substansi Program/IKU/PK, serta MRPN/PKPN) untuk memastikan identifikasi risiko sesuai dengan konteks dan kewenangannya.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5">
      <w:pPr>
        <w:numPr>
          <w:ilvl w:val="0"/>
          <w:numId w:val="17"/>
        </w:numPr>
        <w:spacing w:line="278.00000000000006"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Mitra Pemilik Risiko: Kementerian/Lembaga (K/L), instansi eksternal, atau unit kerja terkait yang diajak bekerja sama, berkolaborasi, atau terlibat aktif mendampingi Pemilik Risiko dalam melaksanakan tindakan mitigasi/perlakuan risiko.</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6">
      <w:pPr>
        <w:spacing w:after="120" w:line="360" w:lineRule="auto"/>
        <w:ind w:left="709" w:hanging="0.33858267716539103"/>
        <w:jc w:val="both"/>
        <w:rPr>
          <w:rFonts w:ascii="Arial" w:cs="Arial" w:eastAsia="Arial" w:hAnsi="Arial"/>
          <w:sz w:val="22"/>
          <w:szCs w:val="22"/>
        </w:rPr>
      </w:pPr>
      <w:r w:rsidDel="00000000" w:rsidR="00000000" w:rsidRPr="00000000">
        <w:rPr>
          <w:rtl w:val="0"/>
        </w:rPr>
      </w:r>
    </w:p>
    <w:sectPr>
      <w:type w:val="nextPage"/>
      <w:pgSz w:h="16839" w:w="11907" w:orient="portrait"/>
      <w:pgMar w:bottom="1440" w:top="1440" w:left="1440" w:right="1440" w:header="706" w:footer="706"/>
    </w:sectPr>
  </w:body>
</w:document>
</file>

<file path=word/comments.xml><?xml version="1.0" encoding="utf-8"?>
<w:comments xmlns:w="http://schemas.openxmlformats.org/wordprocessingml/2006/main"/>
</file>

<file path=word/commentsExtended.xml><?xml version="1.0" encoding="utf-8"?>
<w15:commentsEx xmlns:w15="http://schemas.microsoft.com/office/word/2012/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decimal"/>
      <w:lvlText w:val="%1)"/>
      <w:lvlJc w:val="left"/>
      <w:pPr>
        <w:ind w:left="1778" w:hanging="360"/>
      </w:pPr>
      <w:rPr/>
    </w:lvl>
    <w:lvl w:ilvl="1">
      <w:start w:val="1"/>
      <w:numFmt w:val="lowerLetter"/>
      <w:lvlText w:val="%2."/>
      <w:lvlJc w:val="left"/>
      <w:pPr>
        <w:ind w:left="2498" w:hanging="360"/>
      </w:pPr>
      <w:rPr/>
    </w:lvl>
    <w:lvl w:ilvl="2">
      <w:start w:val="1"/>
      <w:numFmt w:val="lowerRoman"/>
      <w:lvlText w:val="%3."/>
      <w:lvlJc w:val="right"/>
      <w:pPr>
        <w:ind w:left="3218" w:hanging="180"/>
      </w:pPr>
      <w:rPr/>
    </w:lvl>
    <w:lvl w:ilvl="3">
      <w:start w:val="1"/>
      <w:numFmt w:val="decimal"/>
      <w:lvlText w:val="%4."/>
      <w:lvlJc w:val="left"/>
      <w:pPr>
        <w:ind w:left="3938" w:hanging="360"/>
      </w:pPr>
      <w:rPr/>
    </w:lvl>
    <w:lvl w:ilvl="4">
      <w:start w:val="1"/>
      <w:numFmt w:val="lowerLetter"/>
      <w:lvlText w:val="%5."/>
      <w:lvlJc w:val="left"/>
      <w:pPr>
        <w:ind w:left="4658" w:hanging="360"/>
      </w:pPr>
      <w:rPr/>
    </w:lvl>
    <w:lvl w:ilvl="5">
      <w:start w:val="1"/>
      <w:numFmt w:val="lowerRoman"/>
      <w:lvlText w:val="%6."/>
      <w:lvlJc w:val="right"/>
      <w:pPr>
        <w:ind w:left="5378" w:hanging="180"/>
      </w:pPr>
      <w:rPr/>
    </w:lvl>
    <w:lvl w:ilvl="6">
      <w:start w:val="1"/>
      <w:numFmt w:val="decimal"/>
      <w:lvlText w:val="%7."/>
      <w:lvlJc w:val="left"/>
      <w:pPr>
        <w:ind w:left="6098" w:hanging="360"/>
      </w:pPr>
      <w:rPr/>
    </w:lvl>
    <w:lvl w:ilvl="7">
      <w:start w:val="1"/>
      <w:numFmt w:val="lowerLetter"/>
      <w:lvlText w:val="%8."/>
      <w:lvlJc w:val="left"/>
      <w:pPr>
        <w:ind w:left="6818" w:hanging="360"/>
      </w:pPr>
      <w:rPr/>
    </w:lvl>
    <w:lvl w:ilvl="8">
      <w:start w:val="1"/>
      <w:numFmt w:val="lowerRoman"/>
      <w:lvlText w:val="%9."/>
      <w:lvlJc w:val="right"/>
      <w:pPr>
        <w:ind w:left="7538" w:hanging="180"/>
      </w:pPr>
      <w:rPr/>
    </w:lvl>
  </w:abstractNum>
  <w:abstractNum w:abstractNumId="4">
    <w:lvl w:ilvl="0">
      <w:start w:val="1"/>
      <w:numFmt w:val="decimal"/>
      <w:lvlText w:val="%1."/>
      <w:lvlJc w:val="left"/>
      <w:pPr>
        <w:ind w:left="759" w:hanging="357"/>
      </w:pPr>
      <w:rPr>
        <w:b w:val="0"/>
        <w:bCs w:val="0"/>
      </w:rPr>
    </w:lvl>
    <w:lvl w:ilvl="1">
      <w:start w:val="1"/>
      <w:numFmt w:val="lowerLetter"/>
      <w:lvlText w:val="%2."/>
      <w:lvlJc w:val="left"/>
      <w:pPr>
        <w:ind w:left="1479" w:hanging="360"/>
      </w:pPr>
      <w:rPr/>
    </w:lvl>
    <w:lvl w:ilvl="2">
      <w:start w:val="1"/>
      <w:numFmt w:val="lowerRoman"/>
      <w:lvlText w:val="%3."/>
      <w:lvlJc w:val="right"/>
      <w:pPr>
        <w:ind w:left="2199" w:hanging="180"/>
      </w:pPr>
      <w:rPr/>
    </w:lvl>
    <w:lvl w:ilvl="3">
      <w:start w:val="1"/>
      <w:numFmt w:val="decimal"/>
      <w:lvlText w:val="%4."/>
      <w:lvlJc w:val="left"/>
      <w:pPr>
        <w:ind w:left="2919" w:hanging="360"/>
      </w:pPr>
      <w:rPr/>
    </w:lvl>
    <w:lvl w:ilvl="4">
      <w:start w:val="1"/>
      <w:numFmt w:val="lowerLetter"/>
      <w:lvlText w:val="%5."/>
      <w:lvlJc w:val="left"/>
      <w:pPr>
        <w:ind w:left="3639" w:hanging="360"/>
      </w:pPr>
      <w:rPr/>
    </w:lvl>
    <w:lvl w:ilvl="5">
      <w:start w:val="1"/>
      <w:numFmt w:val="lowerRoman"/>
      <w:lvlText w:val="%6."/>
      <w:lvlJc w:val="right"/>
      <w:pPr>
        <w:ind w:left="4359" w:hanging="180"/>
      </w:pPr>
      <w:rPr/>
    </w:lvl>
    <w:lvl w:ilvl="6">
      <w:start w:val="1"/>
      <w:numFmt w:val="decimal"/>
      <w:lvlText w:val="%7."/>
      <w:lvlJc w:val="left"/>
      <w:pPr>
        <w:ind w:left="5079" w:hanging="360"/>
      </w:pPr>
      <w:rPr/>
    </w:lvl>
    <w:lvl w:ilvl="7">
      <w:start w:val="1"/>
      <w:numFmt w:val="lowerLetter"/>
      <w:lvlText w:val="%8."/>
      <w:lvlJc w:val="left"/>
      <w:pPr>
        <w:ind w:left="5799" w:hanging="360"/>
      </w:pPr>
      <w:rPr/>
    </w:lvl>
    <w:lvl w:ilvl="8">
      <w:start w:val="1"/>
      <w:numFmt w:val="lowerRoman"/>
      <w:lvlText w:val="%9."/>
      <w:lvlJc w:val="right"/>
      <w:pPr>
        <w:ind w:left="6519"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upperLetter"/>
      <w:lvlText w:val="%1."/>
      <w:lvlJc w:val="left"/>
      <w:pPr>
        <w:ind w:left="720" w:hanging="720"/>
      </w:pPr>
      <w:rPr/>
    </w:lvl>
    <w:lvl w:ilvl="1">
      <w:start w:val="1"/>
      <w:numFmt w:val="decimal"/>
      <w:lvlText w:val="%2."/>
      <w:lvlJc w:val="left"/>
      <w:pPr>
        <w:ind w:left="360" w:hanging="360"/>
      </w:pPr>
      <w:rPr/>
    </w:lvl>
    <w:lvl w:ilvl="2">
      <w:start w:val="1"/>
      <w:numFmt w:val="bullet"/>
      <w:lvlText w:val="-"/>
      <w:lvlJc w:val="left"/>
      <w:pPr>
        <w:ind w:left="2340" w:hanging="360"/>
      </w:pPr>
      <w:rPr>
        <w:rFonts w:ascii="Helvetica Neue" w:cs="Helvetica Neue" w:eastAsia="Helvetica Neue" w:hAnsi="Helvetica Neue"/>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spacing w:line="288" w:lineRule="auto"/>
      <w:ind w:left="630" w:hanging="630"/>
      <w:jc w:val="both"/>
    </w:pPr>
    <w:rPr>
      <w:rFonts w:ascii="Arial" w:cs="Arial" w:eastAsia="Arial" w:hAnsi="Arial"/>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TableGrid">
    <w:name w:val="Table Grid"/>
    <w:basedOn w:val="TableNormal"/>
    <w:rsid w:val="00B12C73"/>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548B2"/>
    <w:pPr>
      <w:ind w:left="720"/>
      <w:contextualSpacing w:val="1"/>
    </w:pPr>
  </w:style>
  <w:style w:type="paragraph" w:styleId="pdq2pgselectionanchorcontainer" w:customStyle="1">
    <w:name w:val="pdq2pg_selectionanchorcontainer"/>
    <w:basedOn w:val="Normal"/>
    <w:rsid w:val="00FE6A63"/>
    <w:pPr>
      <w:spacing w:after="100" w:afterAutospacing="1" w:before="100" w:beforeAutospacing="1" w:line="240" w:lineRule="auto"/>
    </w:pPr>
    <w:rPr>
      <w:lang w:eastAsia="en-US" w:val="en-ID"/>
    </w:rPr>
  </w:style>
  <w:style w:type="character" w:styleId="Strong">
    <w:name w:val="Strong"/>
    <w:basedOn w:val="DefaultParagraphFont"/>
    <w:uiPriority w:val="22"/>
    <w:qFormat w:val="1"/>
    <w:rsid w:val="00FE6A63"/>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VCQb3Cxl4tmuanLZKLdCEre9HA==">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2026-08-26T02:20:00Z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1033-11.2.0.9232</vt:lpwstr>
  </property>
  <property fmtid="{D5CDD505-2E9C-101B-9397-08002B2CF9AE}" pid="3" name="GrammarlyDocumentId">
    <vt:lpwstr>f25fdac4ba005e6dd34691efea1c7233f06e5c39141666f837be9a7c507d8260</vt:lpwstr>
  </property>
  <property fmtid="{D5CDD505-2E9C-101B-9397-08002B2CF9AE}" pid="4" name="ICV">
    <vt:lpwstr>f750bfc11a2b4effa5d63922c1e6057a</vt:lpwstr>
  </property>
</Properties>
</file>