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595959"/>
          <w:sz w:val="26"/>
          <w:szCs w:val="26"/>
        </w:rPr>
        <w:t xml:space="preserve">GAMBARAN UMUM PROYEK</w:t>
      </w:r>
    </w:p>
    <w:p>
      <w:pPr>
        <w:spacing w:after="200" w:before="200"/>
        <w:jc w:val="center"/>
      </w:pPr>
      <w:r>
        <w:rPr>
          <w:b/>
          <w:bCs/>
          <w:color w:val="1F3864"/>
          <w:sz w:val="48"/>
          <w:szCs w:val="48"/>
        </w:rPr>
        <w:t xml:space="preserve">AI HS Classification Intelligence</w:t>
      </w:r>
    </w:p>
    <w:p>
      <w:pPr>
        <w:spacing w:after="400"/>
        <w:jc w:val="center"/>
      </w:pPr>
      <w:r>
        <w:rPr>
          <w:i/>
          <w:iCs/>
          <w:color w:val="2E5FA3"/>
          <w:sz w:val="28"/>
          <w:szCs w:val="28"/>
        </w:rPr>
        <w:t xml:space="preserve">Upgrade dari Versi 1 (V1) ke Versi 2 (V2)</w:t>
      </w:r>
    </w:p>
    <w:p>
      <w:pPr>
        <w:pBdr>
          <w:top w:val="single" w:color="BFBFBF" w:sz="4" w:space="8"/>
        </w:pBdr>
        <w:spacing w:before="800"/>
        <w:jc w:val="center"/>
      </w:pPr>
      <w:r>
        <w:rPr>
          <w:color w:val="595959"/>
          <w:sz w:val="20"/>
          <w:szCs w:val="20"/>
        </w:rPr>
        <w:t xml:space="preserve">Dokumen Presentasi — Ringkasan untuk Klien</w:t>
      </w:r>
    </w:p>
    <w:p>
      <w:pPr>
        <w:pageBreakBefore/>
      </w:pPr>
      <w:r>
        <w:br/>
        <w:t xml:space="preserve"/>
      </w:r>
    </w:p>
    <w:p>
      <w:pPr>
        <w:pStyle w:val="Heading1"/>
        <w:pBdr>
          <w:bottom w:val="single" w:color="1F3864" w:sz="6" w:space="4"/>
        </w:pBdr>
        <w:spacing w:after="160" w:before="320"/>
      </w:pPr>
      <w:r>
        <w:rPr>
          <w:b/>
          <w:bCs/>
          <w:color w:val="1F3864"/>
          <w:sz w:val="30"/>
          <w:szCs w:val="30"/>
        </w:rPr>
        <w:t xml:space="preserve">1. Ringkasan Singkat</w:t>
      </w:r>
    </w:p>
    <w:p>
      <w:pPr>
        <w:spacing w:after="140" w:line="300"/>
      </w:pPr>
      <w:r>
        <w:rPr>
          <w:color w:val="262626"/>
          <w:sz w:val="22"/>
          <w:szCs w:val="22"/>
        </w:rPr>
        <w:t xml:space="preserve">Proyek ini adalah upgrade menyeluruh dari sistem AI HS Classification Intelligence yang sedang berjalan (V1) menjadi sistem versi baru (V2) yang lebih akurat, lebih dapat dipertanggungjawabkan, dan sesuai dengan aturan resmi klasifikasi kepabeanan Indonesia.</w:t>
      </w:r>
    </w:p>
    <w:p>
      <w:pPr>
        <w:spacing w:after="140" w:line="300"/>
      </w:pPr>
      <w:r>
        <w:rPr>
          <w:color w:val="262626"/>
          <w:sz w:val="22"/>
          <w:szCs w:val="22"/>
        </w:rPr>
        <w:t xml:space="preserve">Perubahan paling mendasar: pada sistem lama, AI langsung “menebak” kode HS. Pada sistem baru, AI hanya membantu menggali informasi dan menerapkan aturan — sedangkan kode HS dan deskripsinya selalu diambil langsung dari database resmi (BTKI 2022), bukan hasil karangan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33"/>
        <w:gridCol w:w="3033"/>
        <w:gridCol w:w="3034"/>
      </w:tblGrid>
      <w:tr>
        <w:tc>
          <w:tcPr>
            <w:tcW w:type="pct" w:w="33%"/>
            <w:tcBorders>
              <w:top w:val="single" w:color="D9D9D9" w:sz="2"/>
              <w:left w:val="single" w:color="D9D9D9" w:sz="2"/>
              <w:bottom w:val="single" w:color="D9D9D9" w:sz="2"/>
              <w:right w:val="single" w:color="D9D9D9" w:sz="2"/>
            </w:tcBorders>
            <w:shd w:fill="DCE6F1" w:val="clear"/>
            <w:tcMar>
              <w:top w:type="dxa" w:w="160"/>
              <w:left w:type="dxa" w:w="120"/>
              <w:bottom w:type="dxa" w:w="160"/>
              <w:right w:type="dxa" w:w="120"/>
            </w:tcMar>
            <w:vAlign w:val="center"/>
          </w:tcPr>
          <w:p>
            <w:pPr>
              <w:spacing w:after="40"/>
              <w:jc w:val="center"/>
            </w:pPr>
            <w:r>
              <w:rPr>
                <w:b/>
                <w:bCs/>
                <w:color w:val="1F3864"/>
                <w:sz w:val="32"/>
                <w:szCs w:val="32"/>
              </w:rPr>
              <w:t xml:space="preserve">14.273</w:t>
            </w:r>
          </w:p>
          <w:p>
            <w:pPr>
              <w:jc w:val="center"/>
            </w:pPr>
            <w:r>
              <w:rPr>
                <w:color w:val="595959"/>
                <w:sz w:val="18"/>
                <w:szCs w:val="18"/>
              </w:rPr>
              <w:t xml:space="preserve">Data BTKI 2022</w:t>
            </w:r>
          </w:p>
        </w:tc>
        <w:tc>
          <w:tcPr>
            <w:tcW w:type="pct" w:w="33%"/>
            <w:tcBorders>
              <w:top w:val="single" w:color="D9D9D9" w:sz="2"/>
              <w:left w:val="single" w:color="D9D9D9" w:sz="2"/>
              <w:bottom w:val="single" w:color="D9D9D9" w:sz="2"/>
              <w:right w:val="single" w:color="D9D9D9" w:sz="2"/>
            </w:tcBorders>
            <w:shd w:fill="DCE6F1" w:val="clear"/>
            <w:tcMar>
              <w:top w:type="dxa" w:w="160"/>
              <w:left w:type="dxa" w:w="120"/>
              <w:bottom w:type="dxa" w:w="160"/>
              <w:right w:type="dxa" w:w="120"/>
            </w:tcMar>
            <w:vAlign w:val="center"/>
          </w:tcPr>
          <w:p>
            <w:pPr>
              <w:spacing w:after="40"/>
              <w:jc w:val="center"/>
            </w:pPr>
            <w:r>
              <w:rPr>
                <w:b/>
                <w:bCs/>
                <w:color w:val="1F3864"/>
                <w:sz w:val="32"/>
                <w:szCs w:val="32"/>
              </w:rPr>
              <w:t xml:space="preserve">65.833</w:t>
            </w:r>
          </w:p>
          <w:p>
            <w:pPr>
              <w:jc w:val="center"/>
            </w:pPr>
            <w:r>
              <w:rPr>
                <w:color w:val="595959"/>
                <w:sz w:val="18"/>
                <w:szCs w:val="18"/>
              </w:rPr>
              <w:t xml:space="preserve">Paragraf Explanatory Notes</w:t>
            </w:r>
          </w:p>
        </w:tc>
        <w:tc>
          <w:tcPr>
            <w:tcW w:type="pct" w:w="33%"/>
            <w:tcBorders>
              <w:top w:val="single" w:color="D9D9D9" w:sz="2"/>
              <w:left w:val="single" w:color="D9D9D9" w:sz="2"/>
              <w:bottom w:val="single" w:color="D9D9D9" w:sz="2"/>
              <w:right w:val="single" w:color="D9D9D9" w:sz="2"/>
            </w:tcBorders>
            <w:shd w:fill="DCE6F1" w:val="clear"/>
            <w:tcMar>
              <w:top w:type="dxa" w:w="160"/>
              <w:left w:type="dxa" w:w="120"/>
              <w:bottom w:type="dxa" w:w="160"/>
              <w:right w:type="dxa" w:w="120"/>
            </w:tcMar>
            <w:vAlign w:val="center"/>
          </w:tcPr>
          <w:p>
            <w:pPr>
              <w:spacing w:after="40"/>
              <w:jc w:val="center"/>
            </w:pPr>
            <w:r>
              <w:rPr>
                <w:b/>
                <w:bCs/>
                <w:color w:val="1F3864"/>
                <w:sz w:val="32"/>
                <w:szCs w:val="32"/>
              </w:rPr>
              <w:t xml:space="preserve">24 Minggu</w:t>
            </w:r>
          </w:p>
          <w:p>
            <w:pPr>
              <w:jc w:val="center"/>
            </w:pPr>
            <w:r>
              <w:rPr>
                <w:color w:val="595959"/>
                <w:sz w:val="18"/>
                <w:szCs w:val="18"/>
              </w:rPr>
              <w:t xml:space="preserve">Estimasi durasi proyek</w:t>
            </w:r>
          </w:p>
        </w:tc>
      </w:tr>
    </w:tbl>
    <w:p>
      <w:pPr>
        <w:pStyle w:val="Heading1"/>
        <w:pBdr>
          <w:bottom w:val="single" w:color="1F3864" w:sz="6" w:space="4"/>
        </w:pBdr>
        <w:spacing w:after="160" w:before="320"/>
      </w:pPr>
      <w:r>
        <w:rPr>
          <w:b/>
          <w:bCs/>
          <w:color w:val="1F3864"/>
          <w:sz w:val="30"/>
          <w:szCs w:val="30"/>
        </w:rPr>
        <w:t xml:space="preserve">2. Masalah pada Sistem Saat Ini (V1)</w:t>
      </w:r>
    </w:p>
    <w:p>
      <w:pPr>
        <w:pStyle w:val="ListParagraph"/>
        <w:numPr>
          <w:ilvl w:val="0"/>
          <w:numId w:val="1"/>
        </w:numPr>
        <w:spacing w:after="80" w:line="280"/>
      </w:pPr>
      <w:r>
        <w:rPr>
          <w:color w:val="262626"/>
          <w:sz w:val="22"/>
          <w:szCs w:val="22"/>
        </w:rPr>
        <w:t xml:space="preserve">Kode HS ditebak langsung oleh AI dari 14 isian formulir, tanpa mengecek ke database resmi — berisiko menghasilkan kode yang salah atau tidak valid (halusinasi AI).</w:t>
      </w:r>
    </w:p>
    <w:p>
      <w:pPr>
        <w:pStyle w:val="ListParagraph"/>
        <w:numPr>
          <w:ilvl w:val="0"/>
          <w:numId w:val="1"/>
        </w:numPr>
        <w:spacing w:after="80" w:line="280"/>
      </w:pPr>
      <w:r>
        <w:rPr>
          <w:color w:val="262626"/>
          <w:sz w:val="22"/>
          <w:szCs w:val="22"/>
        </w:rPr>
        <w:t xml:space="preserve">Hanya menggunakan 105 data BTKI yang di-hardcode, jauh dari lengkap (BTKI resmi berisi 14.273 entri).</w:t>
      </w:r>
    </w:p>
    <w:p>
      <w:pPr>
        <w:pStyle w:val="ListParagraph"/>
        <w:numPr>
          <w:ilvl w:val="0"/>
          <w:numId w:val="1"/>
        </w:numPr>
        <w:spacing w:after="80" w:line="280"/>
      </w:pPr>
      <w:r>
        <w:rPr>
          <w:color w:val="262626"/>
          <w:sz w:val="22"/>
          <w:szCs w:val="22"/>
        </w:rPr>
        <w:t xml:space="preserve">Tidak ada Explanatory Notes maupun catatan hukum (Section/Chapter/Subheading Notes) yang menjadi dasar interpretasi resmi.</w:t>
      </w:r>
    </w:p>
    <w:p>
      <w:pPr>
        <w:pStyle w:val="ListParagraph"/>
        <w:numPr>
          <w:ilvl w:val="0"/>
          <w:numId w:val="1"/>
        </w:numPr>
        <w:spacing w:after="80" w:line="280"/>
      </w:pPr>
      <w:r>
        <w:rPr>
          <w:color w:val="262626"/>
          <w:sz w:val="22"/>
          <w:szCs w:val="22"/>
        </w:rPr>
        <w:t xml:space="preserve">Tidak ada jejak audit — sulit menjelaskan atau mempertanggungjawabkan mengapa suatu kode dipilih.</w:t>
      </w:r>
    </w:p>
    <w:p>
      <w:pPr>
        <w:pStyle w:val="ListParagraph"/>
        <w:numPr>
          <w:ilvl w:val="0"/>
          <w:numId w:val="1"/>
        </w:numPr>
        <w:spacing w:after="80" w:line="280"/>
      </w:pPr>
      <w:r>
        <w:rPr>
          <w:color w:val="262626"/>
          <w:sz w:val="22"/>
          <w:szCs w:val="22"/>
        </w:rPr>
        <w:t xml:space="preserve">Tidak ada validasi hasil akhir maupun informasi tarif (Bea Masuk, FTA, PPN, PPh 22).</w:t>
      </w:r>
    </w:p>
    <w:p>
      <w:pPr>
        <w:pStyle w:val="Heading1"/>
        <w:pBdr>
          <w:bottom w:val="single" w:color="1F3864" w:sz="6" w:space="4"/>
        </w:pBdr>
        <w:spacing w:after="160" w:before="320"/>
      </w:pPr>
      <w:r>
        <w:rPr>
          <w:b/>
          <w:bCs/>
          <w:color w:val="1F3864"/>
          <w:sz w:val="30"/>
          <w:szCs w:val="30"/>
        </w:rPr>
        <w:t xml:space="preserve">3. Solusi yang Diusulkan (V2)</w:t>
      </w:r>
    </w:p>
    <w:p>
      <w:pPr>
        <w:spacing w:after="140" w:line="300"/>
      </w:pPr>
      <w:r>
        <w:rPr>
          <w:color w:val="262626"/>
          <w:sz w:val="22"/>
          <w:szCs w:val="22"/>
        </w:rPr>
        <w:t xml:space="preserve">Sistem baru dirancang dengan prinsip: “AI membantu berpikir, tetapi database yang menjadi sumber kebenaran.” Empat prinsip utama:</w:t>
      </w:r>
    </w:p>
    <w:p>
      <w:pPr>
        <w:pStyle w:val="ListParagraph"/>
        <w:numPr>
          <w:ilvl w:val="0"/>
          <w:numId w:val="1"/>
        </w:numPr>
        <w:spacing w:after="80" w:line="280"/>
      </w:pPr>
      <w:r>
        <w:rPr>
          <w:color w:val="262626"/>
          <w:sz w:val="22"/>
          <w:szCs w:val="22"/>
        </w:rPr>
        <w:t xml:space="preserve">Database sebagai satu-satunya sumber kebenaran — semua kode HS dan deskripsi resmi diambil dari database, bukan dari ingatan/karangan AI.</w:t>
      </w:r>
    </w:p>
    <w:p>
      <w:pPr>
        <w:pStyle w:val="ListParagraph"/>
        <w:numPr>
          <w:ilvl w:val="0"/>
          <w:numId w:val="1"/>
        </w:numPr>
        <w:spacing w:after="80" w:line="280"/>
      </w:pPr>
      <w:r>
        <w:rPr>
          <w:color w:val="262626"/>
          <w:sz w:val="22"/>
          <w:szCs w:val="22"/>
        </w:rPr>
        <w:t xml:space="preserve">Kepatuhan hukum — klasifikasi mengikuti KUM HS 1–6 (6 aturan resmi WCO) secara berurutan, sesuai standar internasional.</w:t>
      </w:r>
    </w:p>
    <w:p>
      <w:pPr>
        <w:pStyle w:val="ListParagraph"/>
        <w:numPr>
          <w:ilvl w:val="0"/>
          <w:numId w:val="1"/>
        </w:numPr>
        <w:spacing w:after="80" w:line="280"/>
      </w:pPr>
      <w:r>
        <w:rPr>
          <w:color w:val="262626"/>
          <w:sz w:val="22"/>
          <w:szCs w:val="22"/>
        </w:rPr>
        <w:t xml:space="preserve">Dapat diaudit — setiap keputusan klasifikasi bisa ditelusuri kembali ke lokasi persis di dokumen sumber (file, halaman, paragraf).</w:t>
      </w:r>
    </w:p>
    <w:p>
      <w:pPr>
        <w:pStyle w:val="ListParagraph"/>
        <w:numPr>
          <w:ilvl w:val="0"/>
          <w:numId w:val="1"/>
        </w:numPr>
        <w:spacing w:after="80" w:line="280"/>
      </w:pPr>
      <w:r>
        <w:rPr>
          <w:color w:val="262626"/>
          <w:sz w:val="22"/>
          <w:szCs w:val="22"/>
        </w:rPr>
        <w:t xml:space="preserve">Bertanya, bukan menebak — jika ada informasi penting yang kurang, sistem akan bertanya ke user, bukan mengasumsikan/menebak jawabannya.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shd w:fill="1F3864" w:val="clear"/>
            <w:tcMar>
              <w:top w:type="dxa" w:w="120"/>
              <w:left w:type="dxa" w:w="140"/>
              <w:bottom w:type="dxa" w:w="120"/>
              <w:right w:type="dxa" w:w="140"/>
            </w:tcMar>
            <w:vAlign w:val="center"/>
          </w:tcPr>
          <w:p>
            <w:pPr>
              <w:jc w:val="center"/>
            </w:pPr>
            <w:r>
              <w:rPr>
                <w:b/>
                <w:bCs/>
                <w:color w:val="FFFFFF"/>
                <w:sz w:val="22"/>
                <w:szCs w:val="22"/>
              </w:rPr>
              <w:t xml:space="preserve">Aspek</w:t>
            </w:r>
          </w:p>
        </w:tc>
        <w:tc>
          <w:tcPr>
            <w:shd w:fill="C0392B" w:val="clear"/>
            <w:tcMar>
              <w:top w:type="dxa" w:w="120"/>
              <w:left w:type="dxa" w:w="140"/>
              <w:bottom w:type="dxa" w:w="120"/>
              <w:right w:type="dxa" w:w="140"/>
            </w:tcMar>
            <w:vAlign w:val="center"/>
          </w:tcPr>
          <w:p>
            <w:pPr>
              <w:jc w:val="center"/>
            </w:pPr>
            <w:r>
              <w:rPr>
                <w:b/>
                <w:bCs/>
                <w:color w:val="FFFFFF"/>
                <w:sz w:val="22"/>
                <w:szCs w:val="22"/>
              </w:rPr>
              <w:t xml:space="preserve">Sistem Lama (V1)</w:t>
            </w:r>
          </w:p>
        </w:tc>
        <w:tc>
          <w:tcPr>
            <w:shd w:fill="1E8449" w:val="clear"/>
            <w:tcMar>
              <w:top w:type="dxa" w:w="120"/>
              <w:left w:type="dxa" w:w="140"/>
              <w:bottom w:type="dxa" w:w="120"/>
              <w:right w:type="dxa" w:w="140"/>
            </w:tcMar>
            <w:vAlign w:val="center"/>
          </w:tcPr>
          <w:p>
            <w:pPr>
              <w:jc w:val="center"/>
            </w:pPr>
            <w:r>
              <w:rPr>
                <w:b/>
                <w:bCs/>
                <w:color w:val="FFFFFF"/>
                <w:sz w:val="22"/>
                <w:szCs w:val="22"/>
              </w:rPr>
              <w:t xml:space="preserve">Sistem Baru (V2)</w:t>
            </w:r>
          </w:p>
        </w:tc>
      </w:tr>
      <w:tr>
        <w:tc>
          <w:tcPr>
            <w:shd w:fill="F2F2F2" w:val="clear"/>
            <w:tcMar>
              <w:top w:type="dxa" w:w="120"/>
              <w:left w:type="dxa" w:w="160"/>
              <w:bottom w:type="dxa" w:w="120"/>
              <w:right w:type="dxa" w:w="160"/>
            </w:tcMar>
            <w:vAlign w:val="center"/>
          </w:tcPr>
          <w:p>
            <w:pPr>
              <w:spacing w:line="260"/>
            </w:pPr>
            <w:r>
              <w:rPr>
                <w:color w:val="262626"/>
                <w:sz w:val="20"/>
                <w:szCs w:val="20"/>
              </w:rPr>
              <w:t xml:space="preserve">Sumber data HS Code</w:t>
            </w:r>
          </w:p>
        </w:tc>
        <w:tc>
          <w:tcPr>
            <w:shd w:fill="FBE5E3" w:val="clear"/>
            <w:tcMar>
              <w:top w:type="dxa" w:w="120"/>
              <w:left w:type="dxa" w:w="160"/>
              <w:bottom w:type="dxa" w:w="120"/>
              <w:right w:type="dxa" w:w="160"/>
            </w:tcMar>
            <w:vAlign w:val="center"/>
          </w:tcPr>
          <w:p>
            <w:pPr>
              <w:spacing w:line="260"/>
            </w:pPr>
            <w:r>
              <w:rPr>
                <w:color w:val="262626"/>
                <w:sz w:val="20"/>
                <w:szCs w:val="20"/>
              </w:rPr>
              <w:t xml:space="preserve">Ditebak langsung oleh AI (berisiko salah/mengarang)</w:t>
            </w:r>
          </w:p>
        </w:tc>
        <w:tc>
          <w:tcPr>
            <w:shd w:fill="E4F5E9" w:val="clear"/>
            <w:tcMar>
              <w:top w:type="dxa" w:w="120"/>
              <w:left w:type="dxa" w:w="160"/>
              <w:bottom w:type="dxa" w:w="120"/>
              <w:right w:type="dxa" w:w="160"/>
            </w:tcMar>
            <w:vAlign w:val="center"/>
          </w:tcPr>
          <w:p>
            <w:pPr>
              <w:spacing w:line="260"/>
            </w:pPr>
            <w:r>
              <w:rPr>
                <w:color w:val="262626"/>
                <w:sz w:val="20"/>
                <w:szCs w:val="20"/>
              </w:rPr>
              <w:t xml:space="preserve">Diambil dari database resmi BTKI 2022 (14.273 entri)</w:t>
            </w:r>
          </w:p>
        </w:tc>
      </w:tr>
      <w:tr>
        <w:tc>
          <w:tcPr>
            <w:shd w:fill="FFFFFF" w:val="clear"/>
            <w:tcMar>
              <w:top w:type="dxa" w:w="120"/>
              <w:left w:type="dxa" w:w="160"/>
              <w:bottom w:type="dxa" w:w="120"/>
              <w:right w:type="dxa" w:w="160"/>
            </w:tcMar>
            <w:vAlign w:val="center"/>
          </w:tcPr>
          <w:p>
            <w:pPr>
              <w:spacing w:line="260"/>
            </w:pPr>
            <w:r>
              <w:rPr>
                <w:color w:val="262626"/>
                <w:sz w:val="20"/>
                <w:szCs w:val="20"/>
              </w:rPr>
              <w:t xml:space="preserve">Dasar hukum</w:t>
            </w:r>
          </w:p>
        </w:tc>
        <w:tc>
          <w:tcPr>
            <w:shd w:fill="FBE5E3" w:val="clear"/>
            <w:tcMar>
              <w:top w:type="dxa" w:w="120"/>
              <w:left w:type="dxa" w:w="160"/>
              <w:bottom w:type="dxa" w:w="120"/>
              <w:right w:type="dxa" w:w="160"/>
            </w:tcMar>
            <w:vAlign w:val="center"/>
          </w:tcPr>
          <w:p>
            <w:pPr>
              <w:spacing w:line="260"/>
            </w:pPr>
            <w:r>
              <w:rPr>
                <w:color w:val="262626"/>
                <w:sz w:val="20"/>
                <w:szCs w:val="20"/>
              </w:rPr>
              <w:t xml:space="preserve">Tidak mengikuti aturan resmi</w:t>
            </w:r>
          </w:p>
        </w:tc>
        <w:tc>
          <w:tcPr>
            <w:shd w:fill="E4F5E9" w:val="clear"/>
            <w:tcMar>
              <w:top w:type="dxa" w:w="120"/>
              <w:left w:type="dxa" w:w="160"/>
              <w:bottom w:type="dxa" w:w="120"/>
              <w:right w:type="dxa" w:w="160"/>
            </w:tcMar>
            <w:vAlign w:val="center"/>
          </w:tcPr>
          <w:p>
            <w:pPr>
              <w:spacing w:line="260"/>
            </w:pPr>
            <w:r>
              <w:rPr>
                <w:color w:val="262626"/>
                <w:sz w:val="20"/>
                <w:szCs w:val="20"/>
              </w:rPr>
              <w:t xml:space="preserve">Mengikuti KUM HS 1–6 (aturan klasifikasi resmi WCO) secara berurutan</w:t>
            </w:r>
          </w:p>
        </w:tc>
      </w:tr>
      <w:tr>
        <w:tc>
          <w:tcPr>
            <w:shd w:fill="F2F2F2" w:val="clear"/>
            <w:tcMar>
              <w:top w:type="dxa" w:w="120"/>
              <w:left w:type="dxa" w:w="160"/>
              <w:bottom w:type="dxa" w:w="120"/>
              <w:right w:type="dxa" w:w="160"/>
            </w:tcMar>
            <w:vAlign w:val="center"/>
          </w:tcPr>
          <w:p>
            <w:pPr>
              <w:spacing w:line="260"/>
            </w:pPr>
            <w:r>
              <w:rPr>
                <w:color w:val="262626"/>
                <w:sz w:val="20"/>
                <w:szCs w:val="20"/>
              </w:rPr>
              <w:t xml:space="preserve">Jejak audit</w:t>
            </w:r>
          </w:p>
        </w:tc>
        <w:tc>
          <w:tcPr>
            <w:shd w:fill="FBE5E3" w:val="clear"/>
            <w:tcMar>
              <w:top w:type="dxa" w:w="120"/>
              <w:left w:type="dxa" w:w="160"/>
              <w:bottom w:type="dxa" w:w="120"/>
              <w:right w:type="dxa" w:w="160"/>
            </w:tcMar>
            <w:vAlign w:val="center"/>
          </w:tcPr>
          <w:p>
            <w:pPr>
              <w:spacing w:line="260"/>
            </w:pPr>
            <w:r>
              <w:rPr>
                <w:color w:val="262626"/>
                <w:sz w:val="20"/>
                <w:szCs w:val="20"/>
              </w:rPr>
              <w:t xml:space="preserve">Tidak ada — sulit ditelusuri</w:t>
            </w:r>
          </w:p>
        </w:tc>
        <w:tc>
          <w:tcPr>
            <w:shd w:fill="E4F5E9" w:val="clear"/>
            <w:tcMar>
              <w:top w:type="dxa" w:w="120"/>
              <w:left w:type="dxa" w:w="160"/>
              <w:bottom w:type="dxa" w:w="120"/>
              <w:right w:type="dxa" w:w="160"/>
            </w:tcMar>
            <w:vAlign w:val="center"/>
          </w:tcPr>
          <w:p>
            <w:pPr>
              <w:spacing w:line="260"/>
            </w:pPr>
            <w:r>
              <w:rPr>
                <w:color w:val="262626"/>
                <w:sz w:val="20"/>
                <w:szCs w:val="20"/>
              </w:rPr>
              <w:t xml:space="preserve">Lengkap — setiap keputusan tercatat &amp; bisa ditelusuri ke sumber dokumen</w:t>
            </w:r>
          </w:p>
        </w:tc>
      </w:tr>
      <w:tr>
        <w:tc>
          <w:tcPr>
            <w:shd w:fill="FFFFFF" w:val="clear"/>
            <w:tcMar>
              <w:top w:type="dxa" w:w="120"/>
              <w:left w:type="dxa" w:w="160"/>
              <w:bottom w:type="dxa" w:w="120"/>
              <w:right w:type="dxa" w:w="160"/>
            </w:tcMar>
            <w:vAlign w:val="center"/>
          </w:tcPr>
          <w:p>
            <w:pPr>
              <w:spacing w:line="260"/>
            </w:pPr>
            <w:r>
              <w:rPr>
                <w:color w:val="262626"/>
                <w:sz w:val="20"/>
                <w:szCs w:val="20"/>
              </w:rPr>
              <w:t xml:space="preserve">Validasi hasil</w:t>
            </w:r>
          </w:p>
        </w:tc>
        <w:tc>
          <w:tcPr>
            <w:shd w:fill="FBE5E3" w:val="clear"/>
            <w:tcMar>
              <w:top w:type="dxa" w:w="120"/>
              <w:left w:type="dxa" w:w="160"/>
              <w:bottom w:type="dxa" w:w="120"/>
              <w:right w:type="dxa" w:w="160"/>
            </w:tcMar>
            <w:vAlign w:val="center"/>
          </w:tcPr>
          <w:p>
            <w:pPr>
              <w:spacing w:line="260"/>
            </w:pPr>
            <w:r>
              <w:rPr>
                <w:color w:val="262626"/>
                <w:sz w:val="20"/>
                <w:szCs w:val="20"/>
              </w:rPr>
              <w:t xml:space="preserve">Tidak ada pengecekan ulang</w:t>
            </w:r>
          </w:p>
        </w:tc>
        <w:tc>
          <w:tcPr>
            <w:shd w:fill="E4F5E9" w:val="clear"/>
            <w:tcMar>
              <w:top w:type="dxa" w:w="120"/>
              <w:left w:type="dxa" w:w="160"/>
              <w:bottom w:type="dxa" w:w="120"/>
              <w:right w:type="dxa" w:w="160"/>
            </w:tcMar>
            <w:vAlign w:val="center"/>
          </w:tcPr>
          <w:p>
            <w:pPr>
              <w:spacing w:line="260"/>
            </w:pPr>
            <w:r>
              <w:rPr>
                <w:color w:val="262626"/>
                <w:sz w:val="20"/>
                <w:szCs w:val="20"/>
              </w:rPr>
              <w:t xml:space="preserve">Setiap kode divalidasi ke database sebelum ditampilkan ke user</w:t>
            </w:r>
          </w:p>
        </w:tc>
      </w:tr>
      <w:tr>
        <w:tc>
          <w:tcPr>
            <w:shd w:fill="F2F2F2" w:val="clear"/>
            <w:tcMar>
              <w:top w:type="dxa" w:w="120"/>
              <w:left w:type="dxa" w:w="160"/>
              <w:bottom w:type="dxa" w:w="120"/>
              <w:right w:type="dxa" w:w="160"/>
            </w:tcMar>
            <w:vAlign w:val="center"/>
          </w:tcPr>
          <w:p>
            <w:pPr>
              <w:spacing w:line="260"/>
            </w:pPr>
            <w:r>
              <w:rPr>
                <w:color w:val="262626"/>
                <w:sz w:val="20"/>
                <w:szCs w:val="20"/>
              </w:rPr>
              <w:t xml:space="preserve">Info tarif &amp; pajak</w:t>
            </w:r>
          </w:p>
        </w:tc>
        <w:tc>
          <w:tcPr>
            <w:shd w:fill="FBE5E3" w:val="clear"/>
            <w:tcMar>
              <w:top w:type="dxa" w:w="120"/>
              <w:left w:type="dxa" w:w="160"/>
              <w:bottom w:type="dxa" w:w="120"/>
              <w:right w:type="dxa" w:w="160"/>
            </w:tcMar>
            <w:vAlign w:val="center"/>
          </w:tcPr>
          <w:p>
            <w:pPr>
              <w:spacing w:line="260"/>
            </w:pPr>
            <w:r>
              <w:rPr>
                <w:color w:val="262626"/>
                <w:sz w:val="20"/>
                <w:szCs w:val="20"/>
              </w:rPr>
              <w:t xml:space="preserve">Tidak tersedia</w:t>
            </w:r>
          </w:p>
        </w:tc>
        <w:tc>
          <w:tcPr>
            <w:shd w:fill="E4F5E9" w:val="clear"/>
            <w:tcMar>
              <w:top w:type="dxa" w:w="120"/>
              <w:left w:type="dxa" w:w="160"/>
              <w:bottom w:type="dxa" w:w="120"/>
              <w:right w:type="dxa" w:w="160"/>
            </w:tcMar>
            <w:vAlign w:val="center"/>
          </w:tcPr>
          <w:p>
            <w:pPr>
              <w:spacing w:line="260"/>
            </w:pPr>
            <w:r>
              <w:rPr>
                <w:color w:val="262626"/>
                <w:sz w:val="20"/>
                <w:szCs w:val="20"/>
              </w:rPr>
              <w:t xml:space="preserve">Otomatis menampilkan Bea Masuk (MFN), tarif FTA, PPN, dan PPh 22</w:t>
            </w:r>
          </w:p>
        </w:tc>
      </w:tr>
    </w:tbl>
    <w:p>
      <w:pPr>
        <w:pStyle w:val="Heading1"/>
        <w:pBdr>
          <w:bottom w:val="single" w:color="1F3864" w:sz="6" w:space="4"/>
        </w:pBdr>
        <w:spacing w:after="160" w:before="320"/>
      </w:pPr>
      <w:r>
        <w:rPr>
          <w:b/>
          <w:bCs/>
          <w:color w:val="1F3864"/>
          <w:sz w:val="30"/>
          <w:szCs w:val="30"/>
        </w:rPr>
        <w:t xml:space="preserve">4. Alur Proses Klasifikasi (Flow)</w:t>
      </w:r>
    </w:p>
    <w:p>
      <w:pPr>
        <w:spacing w:after="140" w:line="300"/>
      </w:pPr>
      <w:r>
        <w:rPr>
          <w:color w:val="262626"/>
          <w:sz w:val="22"/>
          <w:szCs w:val="22"/>
        </w:rPr>
        <w:t xml:space="preserve">Berikut adalah alur singkat bagaimana sistem baru memproses input dari user hingga menghasilkan kode HS yang tervalidasi beserta informasi tarifnya: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500"/>
      </w:tblGrid>
      <w:tr>
        <w:tc>
          <w:tcPr>
            <w:tcW w:type="pct" w:w="10%"/>
            <w:shd w:fill="1F3864" w:val="clear"/>
            <w:tcMar>
              <w:top w:type="dxa" w:w="160"/>
              <w:left w:type="dxa" w:w="80"/>
              <w:bottom w:type="dxa" w:w="160"/>
              <w:right w:type="dxa" w:w="80"/>
            </w:tcMar>
            <w:vAlign w:val="center"/>
          </w:tcPr>
          <w:p>
            <w:pPr>
              <w:jc w:val="center"/>
            </w:pPr>
            <w:r>
              <w:rPr>
                <w:b/>
                <w:bCs/>
                <w:color w:val="FFFFFF"/>
                <w:sz w:val="30"/>
                <w:szCs w:val="30"/>
              </w:rPr>
              <w:t xml:space="preserve">1</w:t>
            </w:r>
          </w:p>
        </w:tc>
        <w:tc>
          <w:tcPr>
            <w:tcW w:type="pct" w:w="90%"/>
            <w:tcBorders>
              <w:top w:val="single" w:color="1F3864" w:sz="2"/>
              <w:bottom w:val="single" w:color="1F3864" w:sz="2"/>
              <w:right w:val="single" w:color="1F3864" w:sz="2"/>
            </w:tcBorders>
            <w:shd w:fill="DCE6F1" w:val="clear"/>
            <w:tcMar>
              <w:top w:type="dxa" w:w="140"/>
              <w:left w:type="dxa" w:w="220"/>
              <w:bottom w:type="dxa" w:w="140"/>
              <w:right w:type="dxa" w:w="220"/>
            </w:tcMar>
          </w:tcPr>
          <w:p>
            <w:pPr>
              <w:spacing w:after="40"/>
            </w:pPr>
            <w:r>
              <w:rPr>
                <w:b/>
                <w:bCs/>
                <w:color w:val="1F3864"/>
                <w:sz w:val="23"/>
                <w:szCs w:val="23"/>
              </w:rPr>
              <w:t xml:space="preserve">Input dari User</w:t>
            </w:r>
          </w:p>
          <w:p>
            <w:pPr>
              <w:spacing w:line="260"/>
            </w:pPr>
            <w:r>
              <w:rPr>
                <w:color w:val="262626"/>
                <w:sz w:val="20"/>
                <w:szCs w:val="20"/>
              </w:rPr>
              <w:t xml:space="preserve">User mengisi data barang yang akan diklasifikasikan (nama, fungsi, bahan, spesifikasi, dll).</w:t>
            </w:r>
          </w:p>
        </w:tc>
      </w:tr>
    </w:tbl>
    <w:p>
      <w:pPr>
        <w:spacing w:after="40" w:before="40"/>
        <w:ind w:left="260"/>
        <w:jc w:val="left"/>
      </w:pPr>
      <w:r>
        <w:rPr>
          <w:b/>
          <w:bCs/>
          <w:color w:val="AEB6BF"/>
          <w:sz w:val="28"/>
          <w:szCs w:val="28"/>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500"/>
      </w:tblGrid>
      <w:tr>
        <w:tc>
          <w:tcPr>
            <w:tcW w:type="pct" w:w="10%"/>
            <w:shd w:fill="2E5FA3" w:val="clear"/>
            <w:tcMar>
              <w:top w:type="dxa" w:w="160"/>
              <w:left w:type="dxa" w:w="80"/>
              <w:bottom w:type="dxa" w:w="160"/>
              <w:right w:type="dxa" w:w="80"/>
            </w:tcMar>
            <w:vAlign w:val="center"/>
          </w:tcPr>
          <w:p>
            <w:pPr>
              <w:jc w:val="center"/>
            </w:pPr>
            <w:r>
              <w:rPr>
                <w:b/>
                <w:bCs/>
                <w:color w:val="FFFFFF"/>
                <w:sz w:val="30"/>
                <w:szCs w:val="30"/>
              </w:rPr>
              <w:t xml:space="preserve">2</w:t>
            </w:r>
          </w:p>
        </w:tc>
        <w:tc>
          <w:tcPr>
            <w:tcW w:type="pct" w:w="90%"/>
            <w:tcBorders>
              <w:top w:val="single" w:color="2E5FA3" w:sz="2"/>
              <w:bottom w:val="single" w:color="2E5FA3" w:sz="2"/>
              <w:right w:val="single" w:color="2E5FA3" w:sz="2"/>
            </w:tcBorders>
            <w:shd w:fill="DCE6F1" w:val="clear"/>
            <w:tcMar>
              <w:top w:type="dxa" w:w="140"/>
              <w:left w:type="dxa" w:w="220"/>
              <w:bottom w:type="dxa" w:w="140"/>
              <w:right w:type="dxa" w:w="220"/>
            </w:tcMar>
          </w:tcPr>
          <w:p>
            <w:pPr>
              <w:spacing w:after="40"/>
            </w:pPr>
            <w:r>
              <w:rPr>
                <w:b/>
                <w:bCs/>
                <w:color w:val="1F3864"/>
                <w:sz w:val="23"/>
                <w:szCs w:val="23"/>
              </w:rPr>
              <w:t xml:space="preserve">Ekstraksi Fakta (Fact Engine)</w:t>
            </w:r>
          </w:p>
          <w:p>
            <w:pPr>
              <w:spacing w:line="260"/>
            </w:pPr>
            <w:r>
              <w:rPr>
                <w:color w:val="262626"/>
                <w:sz w:val="20"/>
                <w:szCs w:val="20"/>
              </w:rPr>
              <w:t xml:space="preserve">Sistem menggali fakta objektif dari input user, dan mengajukan pertanyaan tambahan bila ada informasi penting yang belum lengkap.</w:t>
            </w:r>
          </w:p>
        </w:tc>
      </w:tr>
    </w:tbl>
    <w:p>
      <w:pPr>
        <w:spacing w:after="40" w:before="40"/>
        <w:ind w:left="260"/>
        <w:jc w:val="left"/>
      </w:pPr>
      <w:r>
        <w:rPr>
          <w:b/>
          <w:bCs/>
          <w:color w:val="AEB6BF"/>
          <w:sz w:val="28"/>
          <w:szCs w:val="28"/>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500"/>
      </w:tblGrid>
      <w:tr>
        <w:tc>
          <w:tcPr>
            <w:tcW w:type="pct" w:w="10%"/>
            <w:shd w:fill="2E5FA3" w:val="clear"/>
            <w:tcMar>
              <w:top w:type="dxa" w:w="160"/>
              <w:left w:type="dxa" w:w="80"/>
              <w:bottom w:type="dxa" w:w="160"/>
              <w:right w:type="dxa" w:w="80"/>
            </w:tcMar>
            <w:vAlign w:val="center"/>
          </w:tcPr>
          <w:p>
            <w:pPr>
              <w:jc w:val="center"/>
            </w:pPr>
            <w:r>
              <w:rPr>
                <w:b/>
                <w:bCs/>
                <w:color w:val="FFFFFF"/>
                <w:sz w:val="30"/>
                <w:szCs w:val="30"/>
              </w:rPr>
              <w:t xml:space="preserve">3</w:t>
            </w:r>
          </w:p>
        </w:tc>
        <w:tc>
          <w:tcPr>
            <w:tcW w:type="pct" w:w="90%"/>
            <w:tcBorders>
              <w:top w:val="single" w:color="2E5FA3" w:sz="2"/>
              <w:bottom w:val="single" w:color="2E5FA3" w:sz="2"/>
              <w:right w:val="single" w:color="2E5FA3" w:sz="2"/>
            </w:tcBorders>
            <w:shd w:fill="DCE6F1" w:val="clear"/>
            <w:tcMar>
              <w:top w:type="dxa" w:w="140"/>
              <w:left w:type="dxa" w:w="220"/>
              <w:bottom w:type="dxa" w:w="140"/>
              <w:right w:type="dxa" w:w="220"/>
            </w:tcMar>
          </w:tcPr>
          <w:p>
            <w:pPr>
              <w:spacing w:after="40"/>
            </w:pPr>
            <w:r>
              <w:rPr>
                <w:b/>
                <w:bCs/>
                <w:color w:val="1F3864"/>
                <w:sz w:val="23"/>
                <w:szCs w:val="23"/>
              </w:rPr>
              <w:t xml:space="preserve">Pencarian Kandidat (Candidate Generator)</w:t>
            </w:r>
          </w:p>
          <w:p>
            <w:pPr>
              <w:spacing w:line="260"/>
            </w:pPr>
            <w:r>
              <w:rPr>
                <w:color w:val="262626"/>
                <w:sz w:val="20"/>
                <w:szCs w:val="20"/>
              </w:rPr>
              <w:t xml:space="preserve">Sistem mencari kandidat kode HS dari database (bukan dari AI) berdasarkan kata kunci, kemiripan makna, fungsi, dan bahan barang.</w:t>
            </w:r>
          </w:p>
        </w:tc>
      </w:tr>
    </w:tbl>
    <w:p>
      <w:pPr>
        <w:spacing w:after="40" w:before="40"/>
        <w:ind w:left="260"/>
        <w:jc w:val="left"/>
      </w:pPr>
      <w:r>
        <w:rPr>
          <w:b/>
          <w:bCs/>
          <w:color w:val="AEB6BF"/>
          <w:sz w:val="28"/>
          <w:szCs w:val="28"/>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500"/>
      </w:tblGrid>
      <w:tr>
        <w:tc>
          <w:tcPr>
            <w:tcW w:type="pct" w:w="10%"/>
            <w:shd w:fill="2E5FA3" w:val="clear"/>
            <w:tcMar>
              <w:top w:type="dxa" w:w="160"/>
              <w:left w:type="dxa" w:w="80"/>
              <w:bottom w:type="dxa" w:w="160"/>
              <w:right w:type="dxa" w:w="80"/>
            </w:tcMar>
            <w:vAlign w:val="center"/>
          </w:tcPr>
          <w:p>
            <w:pPr>
              <w:jc w:val="center"/>
            </w:pPr>
            <w:r>
              <w:rPr>
                <w:b/>
                <w:bCs/>
                <w:color w:val="FFFFFF"/>
                <w:sz w:val="30"/>
                <w:szCs w:val="30"/>
              </w:rPr>
              <w:t xml:space="preserve">4</w:t>
            </w:r>
          </w:p>
        </w:tc>
        <w:tc>
          <w:tcPr>
            <w:tcW w:type="pct" w:w="90%"/>
            <w:tcBorders>
              <w:top w:val="single" w:color="2E5FA3" w:sz="2"/>
              <w:bottom w:val="single" w:color="2E5FA3" w:sz="2"/>
              <w:right w:val="single" w:color="2E5FA3" w:sz="2"/>
            </w:tcBorders>
            <w:shd w:fill="DCE6F1" w:val="clear"/>
            <w:tcMar>
              <w:top w:type="dxa" w:w="140"/>
              <w:left w:type="dxa" w:w="220"/>
              <w:bottom w:type="dxa" w:w="140"/>
              <w:right w:type="dxa" w:w="220"/>
            </w:tcMar>
          </w:tcPr>
          <w:p>
            <w:pPr>
              <w:spacing w:after="40"/>
            </w:pPr>
            <w:r>
              <w:rPr>
                <w:b/>
                <w:bCs/>
                <w:color w:val="1F3864"/>
                <w:sz w:val="23"/>
                <w:szCs w:val="23"/>
              </w:rPr>
              <w:t xml:space="preserve">Penerapan Aturan Resmi (Rules Engine)</w:t>
            </w:r>
          </w:p>
          <w:p>
            <w:pPr>
              <w:spacing w:line="260"/>
            </w:pPr>
            <w:r>
              <w:rPr>
                <w:color w:val="262626"/>
                <w:sz w:val="20"/>
                <w:szCs w:val="20"/>
              </w:rPr>
              <w:t xml:space="preserve">Sistem menerapkan 6 aturan klasifikasi resmi (KUM HS 1–6) secara berurutan untuk mempersempit dan menentukan kode yang paling tepat.</w:t>
            </w:r>
          </w:p>
        </w:tc>
      </w:tr>
    </w:tbl>
    <w:p>
      <w:pPr>
        <w:spacing w:after="40" w:before="40"/>
        <w:ind w:left="260"/>
        <w:jc w:val="left"/>
      </w:pPr>
      <w:r>
        <w:rPr>
          <w:b/>
          <w:bCs/>
          <w:color w:val="AEB6BF"/>
          <w:sz w:val="28"/>
          <w:szCs w:val="28"/>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500"/>
      </w:tblGrid>
      <w:tr>
        <w:tc>
          <w:tcPr>
            <w:tcW w:type="pct" w:w="10%"/>
            <w:shd w:fill="C0392B" w:val="clear"/>
            <w:tcMar>
              <w:top w:type="dxa" w:w="160"/>
              <w:left w:type="dxa" w:w="80"/>
              <w:bottom w:type="dxa" w:w="160"/>
              <w:right w:type="dxa" w:w="80"/>
            </w:tcMar>
            <w:vAlign w:val="center"/>
          </w:tcPr>
          <w:p>
            <w:pPr>
              <w:jc w:val="center"/>
            </w:pPr>
            <w:r>
              <w:rPr>
                <w:b/>
                <w:bCs/>
                <w:color w:val="FFFFFF"/>
                <w:sz w:val="30"/>
                <w:szCs w:val="30"/>
              </w:rPr>
              <w:t xml:space="preserve">5</w:t>
            </w:r>
          </w:p>
        </w:tc>
        <w:tc>
          <w:tcPr>
            <w:tcW w:type="pct" w:w="90%"/>
            <w:tcBorders>
              <w:top w:val="single" w:color="C0392B" w:sz="2"/>
              <w:bottom w:val="single" w:color="C0392B" w:sz="2"/>
              <w:right w:val="single" w:color="C0392B" w:sz="2"/>
            </w:tcBorders>
            <w:shd w:fill="FBE5E3" w:val="clear"/>
            <w:tcMar>
              <w:top w:type="dxa" w:w="140"/>
              <w:left w:type="dxa" w:w="220"/>
              <w:bottom w:type="dxa" w:w="140"/>
              <w:right w:type="dxa" w:w="220"/>
            </w:tcMar>
          </w:tcPr>
          <w:p>
            <w:pPr>
              <w:spacing w:after="40"/>
            </w:pPr>
            <w:r>
              <w:rPr>
                <w:b/>
                <w:bCs/>
                <w:color w:val="1F3864"/>
                <w:sz w:val="23"/>
                <w:szCs w:val="23"/>
              </w:rPr>
              <w:t xml:space="preserve">Validasi (Validator)</w:t>
            </w:r>
          </w:p>
          <w:p>
            <w:pPr>
              <w:spacing w:line="260"/>
            </w:pPr>
            <w:r>
              <w:rPr>
                <w:color w:val="262626"/>
                <w:sz w:val="20"/>
                <w:szCs w:val="20"/>
              </w:rPr>
              <w:t xml:space="preserve">Kode akhir dicek ulang ke database: kode harus benar-benar ada, hierarkinya lengkap, dan deskripsinya sama persis. Jika gagal, hasil TIDAK ditampilkan ke user.</w:t>
            </w:r>
          </w:p>
        </w:tc>
      </w:tr>
    </w:tbl>
    <w:p>
      <w:pPr>
        <w:spacing w:after="40" w:before="40"/>
        <w:ind w:left="260"/>
        <w:jc w:val="left"/>
      </w:pPr>
      <w:r>
        <w:rPr>
          <w:b/>
          <w:bCs/>
          <w:color w:val="AEB6BF"/>
          <w:sz w:val="28"/>
          <w:szCs w:val="28"/>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500"/>
      </w:tblGrid>
      <w:tr>
        <w:tc>
          <w:tcPr>
            <w:tcW w:type="pct" w:w="10%"/>
            <w:shd w:fill="1E8449" w:val="clear"/>
            <w:tcMar>
              <w:top w:type="dxa" w:w="160"/>
              <w:left w:type="dxa" w:w="80"/>
              <w:bottom w:type="dxa" w:w="160"/>
              <w:right w:type="dxa" w:w="80"/>
            </w:tcMar>
            <w:vAlign w:val="center"/>
          </w:tcPr>
          <w:p>
            <w:pPr>
              <w:jc w:val="center"/>
            </w:pPr>
            <w:r>
              <w:rPr>
                <w:b/>
                <w:bCs/>
                <w:color w:val="FFFFFF"/>
                <w:sz w:val="30"/>
                <w:szCs w:val="30"/>
              </w:rPr>
              <w:t xml:space="preserve">6</w:t>
            </w:r>
          </w:p>
        </w:tc>
        <w:tc>
          <w:tcPr>
            <w:tcW w:type="pct" w:w="90%"/>
            <w:tcBorders>
              <w:top w:val="single" w:color="1E8449" w:sz="2"/>
              <w:bottom w:val="single" w:color="1E8449" w:sz="2"/>
              <w:right w:val="single" w:color="1E8449" w:sz="2"/>
            </w:tcBorders>
            <w:shd w:fill="E4F5E9" w:val="clear"/>
            <w:tcMar>
              <w:top w:type="dxa" w:w="140"/>
              <w:left w:type="dxa" w:w="220"/>
              <w:bottom w:type="dxa" w:w="140"/>
              <w:right w:type="dxa" w:w="220"/>
            </w:tcMar>
          </w:tcPr>
          <w:p>
            <w:pPr>
              <w:spacing w:after="40"/>
            </w:pPr>
            <w:r>
              <w:rPr>
                <w:b/>
                <w:bCs/>
                <w:color w:val="1F3864"/>
                <w:sz w:val="23"/>
                <w:szCs w:val="23"/>
              </w:rPr>
              <w:t xml:space="preserve">Info Tarif &amp; Pajak (Tariff Lookup)</w:t>
            </w:r>
          </w:p>
          <w:p>
            <w:pPr>
              <w:spacing w:line="260"/>
            </w:pPr>
            <w:r>
              <w:rPr>
                <w:color w:val="262626"/>
                <w:sz w:val="20"/>
                <w:szCs w:val="20"/>
              </w:rPr>
              <w:t xml:space="preserve">Sistem menampilkan tarif Bea Masuk (MFN), referensi tarif FTA, PPN, dan PPh 22 impor untuk kode yang sudah tervalidasi.</w:t>
            </w:r>
          </w:p>
        </w:tc>
      </w:tr>
    </w:tbl>
    <w:p>
      <w:pPr>
        <w:spacing w:after="40" w:before="40"/>
        <w:ind w:left="260"/>
        <w:jc w:val="left"/>
      </w:pPr>
      <w:r>
        <w:rPr>
          <w:b/>
          <w:bCs/>
          <w:color w:val="AEB6BF"/>
          <w:sz w:val="28"/>
          <w:szCs w:val="28"/>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500"/>
      </w:tblGrid>
      <w:tr>
        <w:tc>
          <w:tcPr>
            <w:tcW w:type="pct" w:w="10%"/>
            <w:shd w:fill="1E8449" w:val="clear"/>
            <w:tcMar>
              <w:top w:type="dxa" w:w="160"/>
              <w:left w:type="dxa" w:w="80"/>
              <w:bottom w:type="dxa" w:w="160"/>
              <w:right w:type="dxa" w:w="80"/>
            </w:tcMar>
            <w:vAlign w:val="center"/>
          </w:tcPr>
          <w:p>
            <w:pPr>
              <w:jc w:val="center"/>
            </w:pPr>
            <w:r>
              <w:rPr>
                <w:b/>
                <w:bCs/>
                <w:color w:val="FFFFFF"/>
                <w:sz w:val="30"/>
                <w:szCs w:val="30"/>
              </w:rPr>
              <w:t xml:space="preserve">7</w:t>
            </w:r>
          </w:p>
        </w:tc>
        <w:tc>
          <w:tcPr>
            <w:tcW w:type="pct" w:w="90%"/>
            <w:tcBorders>
              <w:top w:val="single" w:color="1E8449" w:sz="2"/>
              <w:bottom w:val="single" w:color="1E8449" w:sz="2"/>
              <w:right w:val="single" w:color="1E8449" w:sz="2"/>
            </w:tcBorders>
            <w:shd w:fill="E4F5E9" w:val="clear"/>
            <w:tcMar>
              <w:top w:type="dxa" w:w="140"/>
              <w:left w:type="dxa" w:w="220"/>
              <w:bottom w:type="dxa" w:w="140"/>
              <w:right w:type="dxa" w:w="220"/>
            </w:tcMar>
          </w:tcPr>
          <w:p>
            <w:pPr>
              <w:spacing w:after="40"/>
            </w:pPr>
            <w:r>
              <w:rPr>
                <w:b/>
                <w:bCs/>
                <w:color w:val="1F3864"/>
                <w:sz w:val="23"/>
                <w:szCs w:val="23"/>
              </w:rPr>
              <w:t xml:space="preserve">Hasil Akhir + Jejak Audit</w:t>
            </w:r>
          </w:p>
          <w:p>
            <w:pPr>
              <w:spacing w:line="260"/>
            </w:pPr>
            <w:r>
              <w:rPr>
                <w:color w:val="262626"/>
                <w:sz w:val="20"/>
                <w:szCs w:val="20"/>
              </w:rPr>
              <w:t xml:space="preserve">User menerima kode HS final, alasan klasifikasi, dan riwayat lengkap yang dapat ditelusuri kapan saja.</w:t>
            </w:r>
          </w:p>
        </w:tc>
      </w:tr>
    </w:tbl>
    <w:p>
      <w:pPr>
        <w:pStyle w:val="Heading1"/>
        <w:pBdr>
          <w:bottom w:val="single" w:color="1F3864" w:sz="6" w:space="4"/>
        </w:pBdr>
        <w:spacing w:after="160" w:before="320"/>
      </w:pPr>
      <w:r>
        <w:rPr>
          <w:b/>
          <w:bCs/>
          <w:color w:val="1F3864"/>
          <w:sz w:val="30"/>
          <w:szCs w:val="30"/>
        </w:rPr>
        <w:t xml:space="preserve">5. Komponen Utama Sistem</w:t>
      </w:r>
    </w:p>
    <w:p>
      <w:pPr>
        <w:pStyle w:val="Heading2"/>
        <w:spacing w:after="120" w:before="260"/>
      </w:pPr>
      <w:r>
        <w:rPr>
          <w:b/>
          <w:bCs/>
          <w:color w:val="2E5FA3"/>
          <w:sz w:val="24"/>
          <w:szCs w:val="24"/>
        </w:rPr>
        <w:t xml:space="preserve">Admin Data Center</w:t>
      </w:r>
    </w:p>
    <w:p>
      <w:pPr>
        <w:spacing w:after="140" w:line="300"/>
      </w:pPr>
      <w:r>
        <w:rPr>
          <w:color w:val="262626"/>
          <w:sz w:val="22"/>
          <w:szCs w:val="22"/>
        </w:rPr>
        <w:t xml:space="preserve">Tempat mengelola data resmi: mengunggah dokumen BTKI, Explanatory Notes, dan catatan hukum dalam format Word, lalu memvalidasi dan mengaktifkannya sebelum digunakan oleh sistem klasifikasi.</w:t>
      </w:r>
    </w:p>
    <w:p>
      <w:pPr>
        <w:pStyle w:val="Heading2"/>
        <w:spacing w:after="120" w:before="260"/>
      </w:pPr>
      <w:r>
        <w:rPr>
          <w:b/>
          <w:bCs/>
          <w:color w:val="2E5FA3"/>
          <w:sz w:val="24"/>
          <w:szCs w:val="24"/>
        </w:rPr>
        <w:t xml:space="preserve">Mesin Klasifikasi (Classification Engine)</w:t>
      </w:r>
    </w:p>
    <w:p>
      <w:pPr>
        <w:spacing w:after="140" w:line="300"/>
      </w:pPr>
      <w:r>
        <w:rPr>
          <w:color w:val="262626"/>
          <w:sz w:val="22"/>
          <w:szCs w:val="22"/>
        </w:rPr>
        <w:t xml:space="preserve">Inti dari sistem baru — terdiri dari Fact Engine, Candidate Generator, Rules Engine, Validator, dan Tariff Lookup Module seperti dijelaskan pada alur di atas.</w:t>
      </w:r>
    </w:p>
    <w:p>
      <w:pPr>
        <w:pStyle w:val="Heading2"/>
        <w:spacing w:after="120" w:before="260"/>
      </w:pPr>
      <w:r>
        <w:rPr>
          <w:b/>
          <w:bCs/>
          <w:color w:val="2E5FA3"/>
          <w:sz w:val="24"/>
          <w:szCs w:val="24"/>
        </w:rPr>
        <w:t xml:space="preserve">Arsitektur Teknis (Singkat)</w:t>
      </w:r>
    </w:p>
    <w:p>
      <w:pPr>
        <w:pStyle w:val="ListParagraph"/>
        <w:numPr>
          <w:ilvl w:val="0"/>
          <w:numId w:val="1"/>
        </w:numPr>
        <w:spacing w:after="80" w:line="280"/>
      </w:pPr>
      <w:r>
        <w:rPr>
          <w:color w:val="262626"/>
          <w:sz w:val="22"/>
          <w:szCs w:val="22"/>
        </w:rPr>
        <w:t xml:space="preserve">Frontend: React (melanjutkan tampilan yang sudah ada, diintegrasikan ulang)</w:t>
      </w:r>
    </w:p>
    <w:p>
      <w:pPr>
        <w:pStyle w:val="ListParagraph"/>
        <w:numPr>
          <w:ilvl w:val="0"/>
          <w:numId w:val="1"/>
        </w:numPr>
        <w:spacing w:after="80" w:line="280"/>
      </w:pPr>
      <w:r>
        <w:rPr>
          <w:color w:val="262626"/>
          <w:sz w:val="22"/>
          <w:szCs w:val="22"/>
        </w:rPr>
        <w:t xml:space="preserve">Backend: C# (.NET)</w:t>
      </w:r>
    </w:p>
    <w:p>
      <w:pPr>
        <w:pStyle w:val="ListParagraph"/>
        <w:numPr>
          <w:ilvl w:val="0"/>
          <w:numId w:val="1"/>
        </w:numPr>
        <w:spacing w:after="80" w:line="280"/>
      </w:pPr>
      <w:r>
        <w:rPr>
          <w:color w:val="262626"/>
          <w:sz w:val="22"/>
          <w:szCs w:val="22"/>
        </w:rPr>
        <w:t xml:space="preserve">Database: MySQL — menyimpan seluruh data BTKI, Explanatory Notes, catatan hukum, dan riwayat audit</w:t>
      </w:r>
    </w:p>
    <w:p>
      <w:pPr>
        <w:pStyle w:val="Heading1"/>
        <w:pBdr>
          <w:bottom w:val="single" w:color="1F3864" w:sz="6" w:space="4"/>
        </w:pBdr>
        <w:spacing w:after="160" w:before="320"/>
      </w:pPr>
      <w:r>
        <w:rPr>
          <w:b/>
          <w:bCs/>
          <w:color w:val="1F3864"/>
          <w:sz w:val="30"/>
          <w:szCs w:val="30"/>
        </w:rPr>
        <w:t xml:space="preserve">6. Manfaat untuk User</w:t>
      </w:r>
    </w:p>
    <w:p>
      <w:pPr>
        <w:pStyle w:val="ListParagraph"/>
        <w:numPr>
          <w:ilvl w:val="0"/>
          <w:numId w:val="1"/>
        </w:numPr>
        <w:spacing w:after="80" w:line="280"/>
      </w:pPr>
      <w:r>
        <w:rPr>
          <w:color w:val="262626"/>
          <w:sz w:val="22"/>
          <w:szCs w:val="22"/>
        </w:rPr>
        <w:t xml:space="preserve">Hasil klasifikasi lebih akurat karena selalu bersumber dari database resmi, bukan tebakan AI.</w:t>
      </w:r>
    </w:p>
    <w:p>
      <w:pPr>
        <w:pStyle w:val="ListParagraph"/>
        <w:numPr>
          <w:ilvl w:val="0"/>
          <w:numId w:val="1"/>
        </w:numPr>
        <w:spacing w:after="80" w:line="280"/>
      </w:pPr>
      <w:r>
        <w:rPr>
          <w:color w:val="262626"/>
          <w:sz w:val="22"/>
          <w:szCs w:val="22"/>
        </w:rPr>
        <w:t xml:space="preserve">Setiap hasil bisa dipertanggungjawabkan dan ditelusuri — penting untuk keperluan audit dan kepatuhan.</w:t>
      </w:r>
    </w:p>
    <w:p>
      <w:pPr>
        <w:pStyle w:val="ListParagraph"/>
        <w:numPr>
          <w:ilvl w:val="0"/>
          <w:numId w:val="1"/>
        </w:numPr>
        <w:spacing w:after="80" w:line="280"/>
      </w:pPr>
      <w:r>
        <w:rPr>
          <w:color w:val="262626"/>
          <w:sz w:val="22"/>
          <w:szCs w:val="22"/>
        </w:rPr>
        <w:t xml:space="preserve">Langsung mendapat estimasi tarif Bea Masuk, FTA, PPN, dan PPh 22 tanpa perlu mencari manual.</w:t>
      </w:r>
    </w:p>
    <w:p>
      <w:pPr>
        <w:pStyle w:val="ListParagraph"/>
        <w:numPr>
          <w:ilvl w:val="0"/>
          <w:numId w:val="1"/>
        </w:numPr>
        <w:spacing w:after="80" w:line="280"/>
      </w:pPr>
      <w:r>
        <w:rPr>
          <w:color w:val="262626"/>
          <w:sz w:val="22"/>
          <w:szCs w:val="22"/>
        </w:rPr>
        <w:t xml:space="preserve">Jika data kurang lengkap, sistem akan bertanya balik, sehingga hasil tidak asal tebak.</w:t>
      </w:r>
    </w:p>
    <w:p>
      <w:pPr>
        <w:pStyle w:val="Heading1"/>
        <w:pBdr>
          <w:bottom w:val="single" w:color="1F3864" w:sz="6" w:space="4"/>
        </w:pBdr>
        <w:spacing w:after="160" w:before="320"/>
      </w:pPr>
      <w:r>
        <w:rPr>
          <w:b/>
          <w:bCs/>
          <w:color w:val="1F3864"/>
          <w:sz w:val="30"/>
          <w:szCs w:val="30"/>
        </w:rPr>
        <w:t xml:space="preserve">7. Garis Besar Tahapan Pengerjaan</w:t>
      </w:r>
    </w:p>
    <w:p>
      <w:pPr>
        <w:pStyle w:val="ListParagraph"/>
        <w:numPr>
          <w:ilvl w:val="0"/>
          <w:numId w:val="1"/>
        </w:numPr>
        <w:spacing w:after="80" w:line="280"/>
      </w:pPr>
      <w:r>
        <w:rPr>
          <w:color w:val="262626"/>
          <w:sz w:val="22"/>
          <w:szCs w:val="22"/>
        </w:rPr>
        <w:t xml:space="preserve">Tahap 1 (Minggu 1–4): Fondasi database dan parser dokumen BTKI</w:t>
      </w:r>
    </w:p>
    <w:p>
      <w:pPr>
        <w:pStyle w:val="ListParagraph"/>
        <w:numPr>
          <w:ilvl w:val="0"/>
          <w:numId w:val="1"/>
        </w:numPr>
        <w:spacing w:after="80" w:line="280"/>
      </w:pPr>
      <w:r>
        <w:rPr>
          <w:color w:val="262626"/>
          <w:sz w:val="22"/>
          <w:szCs w:val="22"/>
        </w:rPr>
        <w:t xml:space="preserve">Tahap 2 (Minggu 5–8): Inti mesin klasifikasi &amp; penerapan aturan pertama (KUM HS 1)</w:t>
      </w:r>
    </w:p>
    <w:p>
      <w:pPr>
        <w:pStyle w:val="ListParagraph"/>
        <w:numPr>
          <w:ilvl w:val="0"/>
          <w:numId w:val="1"/>
        </w:numPr>
        <w:spacing w:after="80" w:line="280"/>
      </w:pPr>
      <w:r>
        <w:rPr>
          <w:color w:val="262626"/>
          <w:sz w:val="22"/>
          <w:szCs w:val="22"/>
        </w:rPr>
        <w:t xml:space="preserve">Tahap 3 (Minggu 9–12): Penerapan seluruh aturan (KUM HS 2–6) &amp; sistem validasi</w:t>
      </w:r>
    </w:p>
    <w:p>
      <w:pPr>
        <w:pStyle w:val="ListParagraph"/>
        <w:numPr>
          <w:ilvl w:val="0"/>
          <w:numId w:val="1"/>
        </w:numPr>
        <w:spacing w:after="80" w:line="280"/>
      </w:pPr>
      <w:r>
        <w:rPr>
          <w:color w:val="262626"/>
          <w:sz w:val="22"/>
          <w:szCs w:val="22"/>
        </w:rPr>
        <w:t xml:space="preserve">Tahap 4 (Minggu 13–16): Import data BTKI &amp; Explanatory Notes secara lengkap</w:t>
      </w:r>
    </w:p>
    <w:p>
      <w:pPr>
        <w:pStyle w:val="ListParagraph"/>
        <w:numPr>
          <w:ilvl w:val="0"/>
          <w:numId w:val="1"/>
        </w:numPr>
        <w:spacing w:after="80" w:line="280"/>
      </w:pPr>
      <w:r>
        <w:rPr>
          <w:color w:val="262626"/>
          <w:sz w:val="22"/>
          <w:szCs w:val="22"/>
        </w:rPr>
        <w:t xml:space="preserve">Tahap 5 (Minggu 17–20): Modul tarif &amp; integrasi ke tampilan frontend</w:t>
      </w:r>
    </w:p>
    <w:p>
      <w:pPr>
        <w:pStyle w:val="ListParagraph"/>
        <w:numPr>
          <w:ilvl w:val="0"/>
          <w:numId w:val="1"/>
        </w:numPr>
        <w:spacing w:after="80" w:line="280"/>
      </w:pPr>
      <w:r>
        <w:rPr>
          <w:color w:val="262626"/>
          <w:sz w:val="22"/>
          <w:szCs w:val="22"/>
        </w:rPr>
        <w:t xml:space="preserve">Tahap 6 (Minggu 21–24): Pengujian menyeluruh &amp; uji terima user (UAT)</w:t>
      </w:r>
    </w:p>
    <w:p>
      <w:pPr>
        <w:pStyle w:val="Heading1"/>
        <w:pBdr>
          <w:bottom w:val="single" w:color="1F3864" w:sz="6" w:space="4"/>
        </w:pBdr>
        <w:spacing w:after="160" w:before="320"/>
      </w:pPr>
      <w:r>
        <w:rPr>
          <w:b/>
          <w:bCs/>
          <w:color w:val="1F3864"/>
          <w:sz w:val="30"/>
          <w:szCs w:val="30"/>
        </w:rPr>
        <w:t xml:space="preserve">8. Penutup</w:t>
      </w:r>
    </w:p>
    <w:p>
      <w:pPr>
        <w:spacing w:after="140" w:line="300"/>
      </w:pPr>
      <w:r>
        <w:rPr>
          <w:color w:val="262626"/>
          <w:sz w:val="22"/>
          <w:szCs w:val="22"/>
        </w:rPr>
        <w:t xml:space="preserve">Upgrade ke V2 mengubah sistem dari sekadar “AI menebak kode” menjadi sistem klasifikasi yang sistematis, berbasis data resmi, sesuai aturan hukum kepabeanan, dan dapat dipertanggungjawabkan sepenuhnya. Dengan pendekatan ini, hasil klasifikasi jauh lebih dapat dipercaya dan siap digunakan untuk kebutuhan resmi kepabeanan.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2026-08-18T14:49:33.522Z</dcterms:created>
  <dcterms:modified xsi:type="dcterms:W3CDTF">2026-08-18T14:49:33.536Z</dcterms:modified>
</cp:coreProperties>
</file>

<file path=docProps/custom.xml><?xml version="1.0" encoding="utf-8"?>
<Properties xmlns="http://schemas.openxmlformats.org/officeDocument/2006/custom-properties" xmlns:vt="http://schemas.openxmlformats.org/officeDocument/2006/docPropsVTypes"/>
</file>