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400" w:before="2000"/>
        <w:ind/>
        <w:jc w:val="center"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52"/>
          <w:szCs w:val="52"/>
          <w:lang w:val="pt-BR"/>
        </w:rPr>
        <w:t xml:space="preserve">CEARÁ CIENTÍFICO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200" w:before="0"/>
        <w:ind/>
        <w:jc w:val="center"/>
        <w:rPr>
          <w:lang w:val="pt-BR"/>
        </w:rPr>
      </w:pPr>
      <w:r>
        <w:rPr>
          <w:rFonts w:ascii="Arial" w:hAnsi="Arial" w:eastAsia="Arial" w:cs="Arial"/>
          <w:color w:val="258bfc"/>
          <w:sz w:val="30"/>
          <w:szCs w:val="30"/>
          <w:lang w:val="pt-BR"/>
        </w:rPr>
        <w:t xml:space="preserve">Documento de Identidade Visual</w:t>
      </w:r>
      <w:r>
        <w:rPr>
          <w:lang w:val="pt-BR"/>
        </w:rPr>
      </w:r>
      <w:r>
        <w:rPr>
          <w:lang w:val="pt-BR"/>
        </w:rPr>
      </w:r>
    </w:p>
    <w:p>
      <w:pPr>
        <w:pBdr>
          <w:bottom w:val="single" w:color="26e874" w:sz="8" w:space="4"/>
        </w:pBdr>
        <w:spacing w:after="2400" w:before="0"/>
        <w:ind/>
        <w:jc w:val="center"/>
        <w:rPr>
          <w:lang w:val="pt-BR"/>
        </w:rPr>
      </w:pPr>
      <w:r>
        <w:rPr>
          <w:rFonts w:ascii="Arial" w:hAnsi="Arial" w:eastAsia="Arial" w:cs="Arial"/>
          <w:i/>
          <w:iCs/>
          <w:color w:val="555555"/>
          <w:sz w:val="22"/>
          <w:szCs w:val="22"/>
          <w:lang w:val="pt-BR"/>
        </w:rPr>
        <w:t xml:space="preserve">Projeto Social de Educação Matemática</w:t>
      </w:r>
      <w:r>
        <w:rPr>
          <w:lang w:val="pt-BR"/>
        </w:rPr>
      </w:r>
      <w:r>
        <w:rPr>
          <w:lang w:val="pt-BR"/>
        </w:rPr>
      </w:r>
    </w:p>
    <w:p>
      <w:pPr>
        <w:pStyle w:val="923"/>
        <w:pBdr>
          <w:bottom w:val="single" w:color="258bfc" w:sz="6" w:space="4"/>
        </w:pBdr>
        <w:spacing w:after="160" w:before="40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28"/>
          <w:szCs w:val="28"/>
          <w:lang w:val="pt-BR"/>
        </w:rPr>
        <w:t xml:space="preserve">1. Introdução e Posicionamento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Este documento formaliza as decisões de identidade visual do projeto do Ceará científico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, uma plataforma educacional de caráter social voltada ao ensino de matemática para jovens do ensino médio. As definições aqui registradas orientam o desenvolvimento visual do produto e devem servir como referência para todos os membros da equipe.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1.1 Missão do Projeto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O projeto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 tem como objetivo ensinar os fundamentos da matemática de forma acessível, progressiva e engajante, em um formato inspirado em plataformas de aprendizado gamificado como o Duolingo.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1.2 Posicionamento Visual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A identidade visual deve comunicar simultaneamente dois valores centrais: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a1a2e"/>
          <w:sz w:val="22"/>
          <w:szCs w:val="22"/>
          <w:lang w:val="pt-BR"/>
        </w:rPr>
        <w:t xml:space="preserve">Confiança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3"/>
        </w:numPr>
        <w:pBdr/>
        <w:spacing w:after="40" w:before="40"/>
        <w:ind/>
        <w:rPr>
          <w:lang w:val="pt-BR"/>
        </w:rPr>
      </w:pPr>
      <w:r>
        <w:rPr>
          <w:rFonts w:ascii="Arial" w:hAnsi="Arial" w:eastAsia="Arial" w:cs="Arial"/>
          <w:color w:val="444444"/>
          <w:sz w:val="20"/>
          <w:szCs w:val="20"/>
          <w:lang w:val="pt-BR"/>
        </w:rPr>
        <w:t xml:space="preserve">A plataforma transmite seriedade educacional. O usuário deve sentir que está se preparando de verdade.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1a1a2e"/>
          <w:sz w:val="22"/>
          <w:szCs w:val="22"/>
          <w:lang w:val="pt-BR"/>
        </w:rPr>
        <w:t xml:space="preserve">Acessibilidade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3"/>
        </w:numPr>
        <w:pBdr/>
        <w:spacing w:after="40" w:before="40"/>
        <w:ind/>
        <w:rPr>
          <w:lang w:val="pt-BR"/>
        </w:rPr>
      </w:pPr>
      <w:r>
        <w:rPr>
          <w:rFonts w:ascii="Arial" w:hAnsi="Arial" w:eastAsia="Arial" w:cs="Arial"/>
          <w:color w:val="444444"/>
          <w:sz w:val="20"/>
          <w:szCs w:val="20"/>
          <w:lang w:val="pt-BR"/>
        </w:rPr>
        <w:t xml:space="preserve">Qualquer pessoa consegue aprender. A matemática não deve causar medo ou intimidação.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Esse equilíbrio — sério, mas acolhedor — é o princípio que orienta todas as decisões visuais descritas neste documento.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3"/>
        <w:pBdr>
          <w:bottom w:val="single" w:color="258bfc" w:sz="6" w:space="4"/>
        </w:pBdr>
        <w:spacing w:after="160" w:before="40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28"/>
          <w:szCs w:val="28"/>
          <w:lang w:val="pt-BR"/>
        </w:rPr>
        <w:t xml:space="preserve">2. Paleta de Cores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A paleta foi desenvolvida para equilibrar profissionalismo e energia. Cores frias e escuras ancoram a seriedade educacional, enquanto os tons vibrantes trazem o elemento lúdico e de gamificação.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200"/>
        <w:gridCol w:w="2400"/>
        <w:gridCol w:w="2000"/>
        <w:gridCol w:w="3760"/>
      </w:tblGrid>
      <w:tr>
        <w:trPr>
          <w:tblHeader/>
        </w:trPr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Amostra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Nome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Código Hex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37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Papel na identidade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26e87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pt-BR" w:bidi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61d44"/>
                <w:sz w:val="21"/>
                <w:szCs w:val="21"/>
                <w:lang w:val="pt-BR"/>
              </w:rPr>
              <w:t xml:space="preserve">Verde vibrante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  <w:lang w:val="pt-BR"/>
              </w:rPr>
              <w:t xml:space="preserve">#26E874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37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  <w:lang w:val="pt-BR"/>
              </w:rPr>
              <w:t xml:space="preserve">Acertos, progresso, gamificação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258bfc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pt-BR" w:bidi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61d44"/>
                <w:sz w:val="21"/>
                <w:szCs w:val="21"/>
                <w:lang w:val="pt-BR"/>
              </w:rPr>
              <w:t xml:space="preserve">Azul primário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  <w:lang w:val="pt-BR"/>
              </w:rPr>
              <w:t xml:space="preserve">#258BFC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37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  <w:lang w:val="pt-BR"/>
              </w:rPr>
              <w:t xml:space="preserve">Cor principal — navegação e ação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pt-BR" w:bidi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61d44"/>
                <w:sz w:val="21"/>
                <w:szCs w:val="21"/>
                <w:lang w:val="pt-BR"/>
              </w:rPr>
              <w:t xml:space="preserve">Azul escuro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  <w:lang w:val="pt-BR"/>
              </w:rPr>
              <w:t xml:space="preserve">#061D44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37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  <w:lang w:val="pt-BR"/>
              </w:rPr>
              <w:t xml:space="preserve">Fundos escuros, tipografia principal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de4ee1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pt-BR" w:bidi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61d44"/>
                <w:sz w:val="21"/>
                <w:szCs w:val="21"/>
                <w:lang w:val="pt-BR"/>
              </w:rPr>
              <w:t xml:space="preserve">Magenta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  <w:lang w:val="pt-BR"/>
              </w:rPr>
              <w:t xml:space="preserve">#DE4EE1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37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  <w:lang w:val="pt-BR"/>
              </w:rPr>
              <w:t xml:space="preserve">Destaque criativo — uso pontual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shd w:val="clear" w:color="auto" w:fill="efee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20" w:type="dxa"/>
              <w:top w:w="160" w:type="dxa"/>
              <w:right w:w="120" w:type="dxa"/>
              <w:bottom w:w="160" w:type="dxa"/>
            </w:tcMar>
            <w:tcW w:w="12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sz w:val="20"/>
                <w:szCs w:val="20"/>
                <w:lang w:val="pt-BR" w:bidi="pt-BR"/>
              </w:rPr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4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061d44"/>
                <w:sz w:val="21"/>
                <w:szCs w:val="21"/>
                <w:lang w:val="pt-BR"/>
              </w:rPr>
              <w:t xml:space="preserve">Lavanda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Courier New" w:hAnsi="Courier New" w:eastAsia="Courier New" w:cs="Courier New"/>
                <w:color w:val="555555"/>
                <w:sz w:val="20"/>
                <w:szCs w:val="20"/>
                <w:lang w:val="pt-BR"/>
              </w:rPr>
              <w:t xml:space="preserve">#EFEEFF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37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  <w:lang w:val="pt-BR"/>
              </w:rPr>
              <w:t xml:space="preserve">Fundo claro, respiro visual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2.1 Diretrizes de Uso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 azul primário (#258BFC) é a cor </w:t>
      </w: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primaria </w:t>
      </w: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de ação principal: botões, links, elementos interativos.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 azul escuro (#061D44) </w:t>
      </w: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é a cor secundaria</w:t>
      </w: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: fundos de tela, cabeçalhos, tipografia de destaque.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 verde (#26E874) é reservado para feedback positivo: respostas corretas, conquistas, progresso.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 magenta (#DE4EE1) é usado de forma pontual em microelementos — nunca em áreas extensas.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A lavanda (#EFEEFF) serve como fundo claro principal, garantindo legibilidade e respiro visual.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3"/>
        <w:pBdr>
          <w:bottom w:val="single" w:color="258bfc" w:sz="6" w:space="4"/>
        </w:pBdr>
        <w:spacing w:after="160" w:before="40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28"/>
          <w:szCs w:val="28"/>
          <w:lang w:val="pt-BR"/>
        </w:rPr>
        <w:t xml:space="preserve">3. Tipografia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O sistema tipográfico é composto por duas famílias de fontes com papéis bem definidos, criando um contraste intencional entre o ambiente da interface e o ambiente matemático.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3.1 Nunito — Fonte de Interface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A Nunito é a fonte principal da plataforma, utilizada em todos os elementos de navegação, instrução e suporte ao usuário. Sua forma arredondada e aberta transmite acessibilidade e facilidade de leitura.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>
        <w:trPr>
          <w:tblHeader/>
        </w:trPr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Nível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Peso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Aplicação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UI principal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SemiBold 600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Botões, labels, navegação, menus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Destaque UI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Bold 700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Pontuação, conquistas, alertas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Texto de apoio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Regular 400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Dicas, explicações, textos de suporte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jc w:val="center"/>
        <w:rPr>
          <w:lang w:val="pt-BR"/>
        </w:rPr>
      </w:pPr>
      <w:r>
        <w:rPr>
          <w:lang w:val="pt-BR" w:bidi="pt-BR"/>
        </w:rPr>
      </w: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38650" cy="23050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00397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438649" cy="2305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49.50pt;height:181.5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878"/>
        <w:pBdr/>
        <w:spacing/>
        <w:ind/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Exemplo da fonte nunito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3.2 Latin Modern / Computer Modern — Fonte Matemática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A Latin Modern (versão web da Computer Modern, fonte padrão do LaTeX)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 é utilizada em contextos matemáticos e formais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. Sua serifa clássica traz autoridade acadêmica e faz a ponte visual com as expressões renderizadas pelo KaTeX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(informação técnica)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>
        <w:trPr>
          <w:tblHeader/>
        </w:trPr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Nível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Peso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shd w:val="clear" w:color="auto" w:fill="061d44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  <w:lang w:val="pt-BR"/>
              </w:rPr>
              <w:t xml:space="preserve">Aplicação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Display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Regular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Títulos de módulo, cabeçalhos de seção de conteúdo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Enunciado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Regular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Texto do problema/questão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  <w:tr>
        <w:trPr/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Expressões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200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Via KaTeX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60" w:type="dxa"/>
              <w:top w:w="80" w:type="dxa"/>
              <w:right w:w="120" w:type="dxa"/>
              <w:bottom w:w="80" w:type="dxa"/>
            </w:tcMar>
            <w:tcW w:w="5360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pt-BR"/>
              </w:rPr>
            </w:pPr>
            <w:r>
              <w:rPr>
                <w:rFonts w:ascii="Arial" w:hAnsi="Arial" w:eastAsia="Arial" w:cs="Arial"/>
                <w:color w:val="1a1a2e"/>
                <w:sz w:val="20"/>
                <w:szCs w:val="20"/>
                <w:lang w:val="pt-BR"/>
              </w:rPr>
              <w:t xml:space="preserve">Fórmulas, equações e símbolos matemáticos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</w:tr>
    </w:tbl>
    <w:p>
      <w:pPr>
        <w:pBdr/>
        <w:spacing w:after="80" w:before="80"/>
        <w:ind/>
        <w:rPr>
          <w:lang w:val="pt-BR"/>
        </w:rPr>
      </w:pPr>
      <w:r>
        <w:rPr>
          <w:highlight w:val="none"/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highlight w:val="none"/>
          <w:lang w:val="pt-BR"/>
        </w:rPr>
      </w:pPr>
      <w:r>
        <w:rPr>
          <w:lang w:val="pt-BR" w:bidi="pt-BR"/>
        </w:rPr>
      </w:r>
      <w:r>
        <w:rPr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15850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4566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31509" cy="15850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124.8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>
      <w:pPr>
        <w:pStyle w:val="878"/>
        <w:pBdr/>
        <w:spacing/>
        <w:ind/>
        <w:jc w:val="center"/>
        <w:rPr>
          <w:sz w:val="22"/>
          <w:szCs w:val="22"/>
          <w:lang w:val="pt-BR"/>
        </w:rPr>
      </w:pPr>
      <w:r>
        <w:rPr>
          <w:sz w:val="22"/>
          <w:szCs w:val="22"/>
          <w:lang w:val="pt-BR"/>
        </w:rPr>
        <w:t xml:space="preserve">Exemplo da fonte Latin modern</w:t>
      </w:r>
      <w:r>
        <w:rPr>
          <w:sz w:val="22"/>
          <w:szCs w:val="22"/>
          <w:lang w:val="pt-BR"/>
        </w:rPr>
      </w:r>
      <w:r>
        <w:rPr>
          <w:sz w:val="22"/>
          <w:szCs w:val="22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3.3 Princípios de Convivência entre as Fontes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 contraste entre as fontes deve ser perceptível, mas não causar estranhamento.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Cada fonte tem um território claro em tela — nunca devem se misturar no mesmo bloco de texto sem critério.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 usuário não precisa notar a troca conscientemente, mas deve sentir que enunciados parecem matemática de verdade e que a interface é fácil de usar.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Tamanho mínimo de corpo de texto: 16px para garantir acessibilidade em dispositivos móveis</w:t>
      </w: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 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(informação técnica)</w:t>
      </w: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3"/>
        <w:pBdr>
          <w:bottom w:val="single" w:color="258bfc" w:sz="6" w:space="4"/>
        </w:pBdr>
        <w:spacing w:after="160" w:before="40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28"/>
          <w:szCs w:val="28"/>
          <w:lang w:val="pt-BR"/>
        </w:rPr>
        <w:t xml:space="preserve">4. Fórmulas e Símbolos Matemáticos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O tratamento de expressões matemáticas ocorre em duas camadas complementares: uma funcional, responsável pela renderização correta das fórmulas, e uma visual, que integra o vocabulário simbólico à identidade do projeto.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4.1 Uso Funcional — KaTeX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Todas as expressões matemáticas da plataforma serão renderizadas via KaTeX, biblioteca escolhida por sua leveza, velocidade e compatibilidade com a fonte Latin Modern.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Expressões inline: espaçamento horizontal mínimo em relação ao texto adjacente, evitando colisão visual.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Expressões em bloco: margem generosa acima e abaixo, com fundo levemente diferenciado ou espaço em branco para destacar a equação como objeto central da questão.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Tamanho base mínimo: 18–20px para garantir legibilidade de frações e expoentes em dispositivos móveis.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4.2 Uso Visual — Símbolos como Elemento de Marca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Símbolos matemáticos também funcionam como linguagem visual da marca, em contextos decorativos e de interface: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Decoração consciente: símbolos em tamanho grande e opacidade reduzida como elementos gráficos de fundo em telas de loading, conquistas e separadores de seção.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Sistema de ícones temático: ícones de interface inspirados em símbolos matemáticos (ex: ∑ para resumo, ✓ derivado de verificação lógica).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Símbolos âncora: dois ou três símbolos selecionados para uso consistente como linguagem visual do projeto, evitando o uso aleatório de símbolos sem critério.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3"/>
        <w:pBdr>
          <w:bottom w:val="single" w:color="258bfc" w:sz="6" w:space="4"/>
        </w:pBdr>
        <w:spacing w:after="160" w:before="40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28"/>
          <w:szCs w:val="28"/>
          <w:lang w:val="pt-BR"/>
        </w:rPr>
        <w:t xml:space="preserve">5. Logo e Mascote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5.1 Direção do Logo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A identidade visual adota a abordagem de símbolo geométrico/matemático combinado com mascote separado. O logo funciona institucionalmente, enquanto o mascote realiza o trabalho dentro da experiência do usuário.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Conceito de referência para o símbolo: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Uma pirâmide estilizada como forma base do logo, representando estrutura sólida, base forte e progressão — valores diretamente alinhados à proposta do projeto.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 símbolo deve funcionar em qualquer escala, do ícone do aplicativo a materiais impressos.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5.2 Diretrizes do Mascote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O mascote tem papel de suporte dentro do aplicativo, sem dominar a interface. Aparece em momentos específicos da jornada do usuário: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Onboarding — apresentação e boas-vindas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Conquistas — celebração de progresso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Erros — encorajamento e orientação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Telas vazias — orientação ao usuário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Essa abordagem evita o custo tanto de tempo quanto de dinheiro em animações elaboradas, mantendo o mascote funcional e coerente com o tom do projeto — marcante o suficiente para criar vínculo, discreto o suficiente para não infantilizar a experiência.</w:t>
      </w:r>
      <w:r>
        <w:rPr>
          <w:lang w:val="pt-BR"/>
        </w:rPr>
      </w:r>
      <w:r>
        <w:rPr>
          <w:lang w:val="pt-BR"/>
        </w:rPr>
      </w: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3"/>
        <w:pBdr>
          <w:bottom w:val="single" w:color="258bfc" w:sz="6" w:space="4"/>
        </w:pBdr>
        <w:spacing w:after="160" w:before="40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28"/>
          <w:szCs w:val="28"/>
          <w:lang w:val="pt-BR"/>
        </w:rPr>
        <w:t xml:space="preserve">6. Nome do Projeto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24"/>
        <w:pBdr/>
        <w:spacing w:after="120" w:before="280"/>
        <w:ind/>
        <w:rPr>
          <w:rFonts w:ascii="Arial" w:hAnsi="Arial" w:eastAsia="Arial" w:cs="Arial"/>
          <w:b/>
          <w:bCs/>
          <w:color w:val="258bfc"/>
          <w:sz w:val="24"/>
          <w:szCs w:val="24"/>
          <w:highlight w:val="none"/>
          <w:lang w:val="pt-BR"/>
        </w:rPr>
      </w:pP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6.2 </w:t>
      </w:r>
      <w:r>
        <w:rPr>
          <w:rFonts w:ascii="Arial" w:hAnsi="Arial" w:eastAsia="Arial" w:cs="Arial"/>
          <w:b/>
          <w:bCs/>
          <w:color w:val="258bfc"/>
          <w:sz w:val="24"/>
          <w:szCs w:val="24"/>
          <w:lang w:val="pt-BR"/>
        </w:rPr>
        <w:t xml:space="preserve">Opção mas adequada</w:t>
      </w:r>
      <w:r>
        <w:rPr>
          <w:rFonts w:ascii="Arial" w:hAnsi="Arial" w:eastAsia="Arial" w:cs="Arial"/>
          <w:b/>
          <w:bCs/>
          <w:color w:val="258bfc"/>
          <w:sz w:val="24"/>
          <w:szCs w:val="24"/>
          <w:highlight w:val="none"/>
          <w:lang w:val="pt-BR"/>
        </w:rPr>
      </w:r>
      <w:r>
        <w:rPr>
          <w:rFonts w:ascii="Arial" w:hAnsi="Arial" w:eastAsia="Arial" w:cs="Arial"/>
          <w:b/>
          <w:bCs/>
          <w:color w:val="258bfc"/>
          <w:sz w:val="24"/>
          <w:szCs w:val="24"/>
          <w:highlight w:val="none"/>
          <w:lang w:val="pt-BR"/>
        </w:rPr>
      </w:r>
    </w:p>
    <w:p>
      <w:pPr>
        <w:pBdr/>
        <w:spacing w:after="200" w:before="200"/>
        <w:ind/>
        <w:jc w:val="center"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40"/>
          <w:szCs w:val="40"/>
          <w:lang w:val="pt-BR"/>
        </w:rPr>
        <w:t xml:space="preserve">Base Matemática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rFonts w:ascii="Arial" w:hAnsi="Arial" w:eastAsia="Arial" w:cs="Arial"/>
          <w:color w:val="1a1a2e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Esse é a melhor opção pois,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 por sua clareza imediata e coerência com a identidade do projeto. Qualquer pessoa entende a proposta só de ouvi-lo, o que é fundamental para um projeto social com alcance amplo.</w:t>
      </w:r>
      <w:r>
        <w:rPr>
          <w:rFonts w:ascii="Arial" w:hAnsi="Arial" w:eastAsia="Arial" w:cs="Arial"/>
          <w:color w:val="1a1a2e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color w:val="1a1a2e"/>
          <w:sz w:val="22"/>
          <w:szCs w:val="22"/>
          <w:highlight w:val="none"/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O termo Base carrega múltiplos significados alinhados à identidade: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Base matemática — referência direta ao conteúdo ensinado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Base de conhecimento — o alicerce educacional que o projeto constrói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Base como fundação — o caráter social do projeto, que oferece estrutura sólida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2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b w:val="0"/>
          <w:bCs w:val="0"/>
          <w:color w:val="1a1a2e"/>
          <w:sz w:val="22"/>
          <w:szCs w:val="22"/>
          <w:lang w:val="pt-BR"/>
        </w:rPr>
        <w:t xml:space="preserve">A base — no sentido popular brasileiro, algo acessível e próximo das pessoas</w:t>
      </w:r>
      <w:r>
        <w:rPr>
          <w:lang w:val="pt-BR"/>
        </w:rPr>
      </w:r>
      <w:r>
        <w:rPr>
          <w:lang w:val="pt-BR"/>
        </w:rPr>
      </w:r>
    </w:p>
    <w:p>
      <w:pPr>
        <w:pStyle w:val="923"/>
        <w:pBdr>
          <w:bottom w:val="single" w:color="258bfc" w:sz="6" w:space="4"/>
        </w:pBdr>
        <w:spacing w:after="160" w:before="400"/>
        <w:ind/>
        <w:rPr>
          <w:lang w:val="pt-BR"/>
        </w:rPr>
      </w:pPr>
      <w:r>
        <w:rPr>
          <w:rFonts w:ascii="Arial" w:hAnsi="Arial" w:eastAsia="Arial" w:cs="Arial"/>
          <w:b/>
          <w:bCs/>
          <w:color w:val="061d44"/>
          <w:sz w:val="28"/>
          <w:szCs w:val="28"/>
          <w:lang w:val="pt-BR"/>
        </w:rPr>
        <w:t xml:space="preserve">7. Próximos Passos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Com a identidade visual definida, os próximos passos recomendados são: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4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Desenvolver o logo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4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Definir o mascote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4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Criar um style guide 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(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documento visual com exemplos de aplicação em telas reais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)</w:t>
      </w:r>
      <w:r>
        <w:rPr>
          <w:rFonts w:ascii="Arial" w:hAnsi="Arial" w:eastAsia="Arial" w:cs="Arial"/>
          <w:color w:val="1a1a2e"/>
          <w:sz w:val="22"/>
          <w:szCs w:val="22"/>
          <w:lang w:val="pt-BR"/>
        </w:rPr>
        <w:t xml:space="preserve">.</w:t>
      </w:r>
      <w:r>
        <w:rPr>
          <w:lang w:val="pt-BR"/>
        </w:rPr>
      </w:r>
      <w:r>
        <w:rPr>
          <w:lang w:val="pt-BR"/>
        </w:rPr>
      </w:r>
    </w:p>
    <w:p>
      <w:pPr>
        <w:pStyle w:val="915"/>
        <w:numPr>
          <w:ilvl w:val="0"/>
          <w:numId w:val="4"/>
        </w:numPr>
        <w:pBdr/>
        <w:spacing w:after="60" w:before="60"/>
        <w:ind/>
        <w:rPr>
          <w:lang w:val="pt-BR"/>
        </w:rPr>
      </w:pPr>
      <w:r>
        <w:rPr>
          <w:rFonts w:ascii="Arial" w:hAnsi="Arial" w:eastAsia="Arial" w:cs="Arial"/>
          <w:color w:val="1a1a2e"/>
          <w:sz w:val="22"/>
          <w:szCs w:val="22"/>
          <w:highlight w:val="none"/>
          <w:lang w:val="pt-BR" w:bidi="pt-BR"/>
        </w:rPr>
        <w:t xml:space="preserve">Começar o desenvolvimento do sistema</w:t>
      </w:r>
      <w:r>
        <w:rPr>
          <w:lang w:val="pt-BR"/>
        </w:rPr>
      </w:r>
      <w:r>
        <w:rPr>
          <w:lang w:val="pt-BR"/>
        </w:rPr>
      </w:r>
    </w:p>
    <w:p>
      <w:pPr>
        <w:pBdr/>
        <w:spacing w:after="80" w:before="80"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top w:val="single" w:color="258bfc" w:sz="4" w:space="4"/>
      </w:pBdr>
      <w:spacing w:before="0"/>
      <w:ind/>
      <w:jc w:val="right"/>
      <w:rPr/>
    </w:pPr>
    <w:r>
      <w:rPr>
        <w:rFonts w:ascii="Arial" w:hAnsi="Arial" w:eastAsia="Arial" w:cs="Arial"/>
        <w:color w:val="888888"/>
        <w:sz w:val="18"/>
        <w:szCs w:val="18"/>
      </w:rPr>
      <w:t xml:space="preserve"> Identidade Visual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258bfc" w:sz="4" w:space="4"/>
      </w:pBdr>
      <w:spacing w:after="0"/>
      <w:ind/>
      <w:rPr>
        <w:rFonts w:ascii="Arial" w:hAnsi="Arial" w:eastAsia="Arial" w:cs="Arial"/>
        <w:color w:val="888888"/>
        <w:sz w:val="20"/>
        <w:szCs w:val="20"/>
        <w:highlight w:val="none"/>
        <w:lang w:val="pt-BR"/>
      </w:rPr>
    </w:pPr>
    <w:r>
      <w:rPr>
        <w:rFonts w:ascii="Arial" w:hAnsi="Arial" w:eastAsia="Arial" w:cs="Arial"/>
        <w:color w:val="888888"/>
        <w:sz w:val="20"/>
        <w:szCs w:val="20"/>
      </w:rPr>
      <w:t xml:space="preserve">Identidade Visual</w:t>
    </w:r>
    <w:r>
      <w:rPr>
        <w:rFonts w:ascii="Arial" w:hAnsi="Arial" w:eastAsia="Arial" w:cs="Arial"/>
        <w:color w:val="888888"/>
        <w:sz w:val="20"/>
        <w:szCs w:val="20"/>
        <w:highlight w:val="none"/>
        <w:lang w:val="pt-BR"/>
      </w:rPr>
    </w:r>
    <w:r>
      <w:rPr>
        <w:rFonts w:ascii="Arial" w:hAnsi="Arial" w:eastAsia="Arial" w:cs="Arial"/>
        <w:color w:val="888888"/>
        <w:sz w:val="20"/>
        <w:szCs w:val="20"/>
        <w:highlight w:val="none"/>
        <w:lang w:val="pt-BR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◦"/>
      <w:numFmt w:val="bullet"/>
      <w:pPr>
        <w:pBdr/>
        <w:spacing/>
        <w:ind w:hanging="360" w:left="10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•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Table Grid Light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73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73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73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73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 w:default="1">
    <w:name w:val="Normal"/>
    <w:qFormat/>
    <w:pPr>
      <w:pBdr/>
      <w:spacing/>
      <w:ind/>
    </w:pPr>
  </w:style>
  <w:style w:type="paragraph" w:styleId="863">
    <w:name w:val="Heading 7"/>
    <w:basedOn w:val="862"/>
    <w:next w:val="862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862"/>
    <w:next w:val="862"/>
    <w:link w:val="8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862"/>
    <w:next w:val="862"/>
    <w:link w:val="8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numbering" w:styleId="867" w:default="1">
    <w:name w:val="No List"/>
    <w:uiPriority w:val="99"/>
    <w:semiHidden/>
    <w:unhideWhenUsed/>
    <w:pPr>
      <w:pBdr/>
      <w:spacing/>
      <w:ind/>
    </w:pPr>
  </w:style>
  <w:style w:type="character" w:styleId="868">
    <w:name w:val="Heading 1 Char"/>
    <w:basedOn w:val="866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9">
    <w:name w:val="Heading 2 Char"/>
    <w:basedOn w:val="866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0">
    <w:name w:val="Heading 3 Char"/>
    <w:basedOn w:val="866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1">
    <w:name w:val="Heading 4 Char"/>
    <w:basedOn w:val="866"/>
    <w:link w:val="9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2">
    <w:name w:val="Heading 5 Char"/>
    <w:basedOn w:val="866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3">
    <w:name w:val="Heading 6 Char"/>
    <w:basedOn w:val="866"/>
    <w:link w:val="9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4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5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Title Char"/>
    <w:basedOn w:val="866"/>
    <w:link w:val="90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862"/>
    <w:next w:val="862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862"/>
    <w:next w:val="862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862"/>
    <w:next w:val="862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6">
    <w:name w:val="No Spacing"/>
    <w:basedOn w:val="862"/>
    <w:uiPriority w:val="1"/>
    <w:qFormat/>
    <w:pPr>
      <w:pBdr/>
      <w:spacing w:after="0" w:line="240" w:lineRule="auto"/>
      <w:ind/>
    </w:pPr>
  </w:style>
  <w:style w:type="character" w:styleId="887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8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862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862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862"/>
    <w:next w:val="8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96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7">
    <w:name w:val="toc 1"/>
    <w:basedOn w:val="862"/>
    <w:next w:val="862"/>
    <w:uiPriority w:val="39"/>
    <w:unhideWhenUsed/>
    <w:pPr>
      <w:pBdr/>
      <w:spacing w:after="100"/>
      <w:ind/>
    </w:pPr>
  </w:style>
  <w:style w:type="paragraph" w:styleId="898">
    <w:name w:val="toc 2"/>
    <w:basedOn w:val="862"/>
    <w:next w:val="862"/>
    <w:uiPriority w:val="39"/>
    <w:unhideWhenUsed/>
    <w:pPr>
      <w:pBdr/>
      <w:spacing w:after="100"/>
      <w:ind w:left="220"/>
    </w:pPr>
  </w:style>
  <w:style w:type="paragraph" w:styleId="899">
    <w:name w:val="toc 3"/>
    <w:basedOn w:val="862"/>
    <w:next w:val="862"/>
    <w:uiPriority w:val="39"/>
    <w:unhideWhenUsed/>
    <w:pPr>
      <w:pBdr/>
      <w:spacing w:after="100"/>
      <w:ind w:left="440"/>
    </w:pPr>
  </w:style>
  <w:style w:type="paragraph" w:styleId="900">
    <w:name w:val="toc 4"/>
    <w:basedOn w:val="862"/>
    <w:next w:val="862"/>
    <w:uiPriority w:val="39"/>
    <w:unhideWhenUsed/>
    <w:pPr>
      <w:pBdr/>
      <w:spacing w:after="100"/>
      <w:ind w:left="660"/>
    </w:pPr>
  </w:style>
  <w:style w:type="paragraph" w:styleId="901">
    <w:name w:val="toc 5"/>
    <w:basedOn w:val="862"/>
    <w:next w:val="862"/>
    <w:uiPriority w:val="39"/>
    <w:unhideWhenUsed/>
    <w:pPr>
      <w:pBdr/>
      <w:spacing w:after="100"/>
      <w:ind w:left="880"/>
    </w:pPr>
  </w:style>
  <w:style w:type="paragraph" w:styleId="902">
    <w:name w:val="toc 6"/>
    <w:basedOn w:val="862"/>
    <w:next w:val="862"/>
    <w:uiPriority w:val="39"/>
    <w:unhideWhenUsed/>
    <w:pPr>
      <w:pBdr/>
      <w:spacing w:after="100"/>
      <w:ind w:left="1100"/>
    </w:pPr>
  </w:style>
  <w:style w:type="paragraph" w:styleId="903">
    <w:name w:val="toc 7"/>
    <w:basedOn w:val="862"/>
    <w:next w:val="862"/>
    <w:uiPriority w:val="39"/>
    <w:unhideWhenUsed/>
    <w:pPr>
      <w:pBdr/>
      <w:spacing w:after="100"/>
      <w:ind w:left="1320"/>
    </w:pPr>
  </w:style>
  <w:style w:type="paragraph" w:styleId="904">
    <w:name w:val="toc 8"/>
    <w:basedOn w:val="862"/>
    <w:next w:val="862"/>
    <w:uiPriority w:val="39"/>
    <w:unhideWhenUsed/>
    <w:pPr>
      <w:pBdr/>
      <w:spacing w:after="100"/>
      <w:ind w:left="1540"/>
    </w:pPr>
  </w:style>
  <w:style w:type="paragraph" w:styleId="905">
    <w:name w:val="toc 9"/>
    <w:basedOn w:val="862"/>
    <w:next w:val="862"/>
    <w:uiPriority w:val="39"/>
    <w:unhideWhenUsed/>
    <w:pPr>
      <w:pBdr/>
      <w:spacing w:after="100"/>
      <w:ind w:left="1760"/>
    </w:pPr>
  </w:style>
  <w:style w:type="character" w:styleId="906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07">
    <w:name w:val="TOC Heading"/>
    <w:uiPriority w:val="39"/>
    <w:unhideWhenUsed/>
    <w:pPr>
      <w:pBdr/>
      <w:spacing/>
      <w:ind/>
    </w:pPr>
  </w:style>
  <w:style w:type="paragraph" w:styleId="908">
    <w:name w:val="table of figures"/>
    <w:basedOn w:val="862"/>
    <w:next w:val="862"/>
    <w:uiPriority w:val="99"/>
    <w:unhideWhenUsed/>
    <w:pPr>
      <w:pBdr/>
      <w:spacing w:after="0" w:afterAutospacing="0"/>
      <w:ind/>
    </w:pPr>
  </w:style>
  <w:style w:type="paragraph" w:styleId="909">
    <w:name w:val="Title"/>
    <w:qFormat/>
    <w:pPr>
      <w:pBdr/>
      <w:spacing/>
      <w:ind/>
    </w:pPr>
    <w:rPr>
      <w:sz w:val="56"/>
      <w:szCs w:val="56"/>
    </w:rPr>
  </w:style>
  <w:style w:type="paragraph" w:styleId="910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11">
    <w:name w:val="Heading 4"/>
    <w:qFormat/>
    <w:pPr>
      <w:pBdr/>
      <w:spacing/>
      <w:ind/>
    </w:pPr>
    <w:rPr>
      <w:i/>
      <w:iCs/>
      <w:color w:val="2e74b5"/>
    </w:rPr>
  </w:style>
  <w:style w:type="paragraph" w:styleId="912">
    <w:name w:val="Heading 5"/>
    <w:qFormat/>
    <w:pPr>
      <w:pBdr/>
      <w:spacing/>
      <w:ind/>
    </w:pPr>
    <w:rPr>
      <w:color w:val="2e74b5"/>
    </w:rPr>
  </w:style>
  <w:style w:type="paragraph" w:styleId="913">
    <w:name w:val="Heading 6"/>
    <w:qFormat/>
    <w:pPr>
      <w:pBdr/>
      <w:spacing/>
      <w:ind/>
    </w:pPr>
    <w:rPr>
      <w:color w:val="1f4d78"/>
    </w:rPr>
  </w:style>
  <w:style w:type="paragraph" w:styleId="914">
    <w:name w:val="Strong"/>
    <w:qFormat/>
    <w:pPr>
      <w:pBdr/>
      <w:spacing/>
      <w:ind/>
    </w:pPr>
    <w:rPr>
      <w:b/>
      <w:bCs/>
    </w:rPr>
  </w:style>
  <w:style w:type="paragraph" w:styleId="915">
    <w:name w:val="List Paragraph"/>
    <w:qFormat/>
    <w:pPr>
      <w:pBdr/>
      <w:spacing/>
      <w:ind/>
    </w:pPr>
  </w:style>
  <w:style w:type="character" w:styleId="916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17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18">
    <w:name w:val="footnote text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link w:val="918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link w:val="921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23">
    <w:name w:val="Heading 1"/>
    <w:qFormat/>
    <w:pPr>
      <w:pBdr/>
      <w:spacing w:after="160" w:before="400"/>
      <w:ind/>
      <w:outlineLvl w:val="0"/>
    </w:pPr>
    <w:rPr>
      <w:rFonts w:ascii="Arial" w:hAnsi="Arial" w:eastAsia="Arial" w:cs="Arial"/>
      <w:b/>
      <w:bCs/>
      <w:color w:val="061d44"/>
      <w:sz w:val="28"/>
      <w:szCs w:val="28"/>
    </w:rPr>
  </w:style>
  <w:style w:type="paragraph" w:styleId="924">
    <w:name w:val="Heading 2"/>
    <w:qFormat/>
    <w:pPr>
      <w:pBdr/>
      <w:spacing w:after="120" w:before="280"/>
      <w:ind/>
      <w:outlineLvl w:val="1"/>
    </w:pPr>
    <w:rPr>
      <w:rFonts w:ascii="Arial" w:hAnsi="Arial" w:eastAsia="Arial" w:cs="Arial"/>
      <w:b/>
      <w:bCs/>
      <w:color w:val="258bfc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4</cp:revision>
  <dcterms:created xsi:type="dcterms:W3CDTF">2026-06-13T14:37:56Z</dcterms:created>
  <dcterms:modified xsi:type="dcterms:W3CDTF">2026-06-13T20:38:26Z</dcterms:modified>
</cp:coreProperties>
</file>