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jc w:val="left"/>
      </w:pPr>
      <w:r>
        <w:rPr>
          <w:sz w:val="24"/>
          <w:szCs w:val="24"/>
        </w:rPr>
        <w:t xml:space="preserve">STS Connections Tender – Appendix 1 V3.1 – Part B – Communications</w:t>
      </w:r>
    </w:p>
    <w:p>
      <w:pPr>
        <w:spacing w:after="200"/>
        <w:jc w:val="left"/>
      </w:pPr>
      <w:r>
        <w:rPr>
          <w:sz w:val="24"/>
          <w:szCs w:val="24"/>
        </w:rPr>
        <w:t xml:space="preserve">Terminal Investment Namibia (TiN)</w:t>
      </w:r>
    </w:p>
    <w:p>
      <w:pPr>
        <w:spacing w:after="200"/>
        <w:jc w:val="left"/>
      </w:pPr>
      <w:r>
        <w:rPr>
          <w:sz w:val="24"/>
          <w:szCs w:val="24"/>
        </w:rPr>
        <w:t xml:space="preserve">Version: V1.0 (Draft)</w:t>
      </w:r>
    </w:p>
    <w:p>
      <w:pPr>
        <w:spacing w:after="400"/>
        <w:jc w:val="left"/>
      </w:pPr>
      <w:r>
        <w:rPr>
          <w:sz w:val="24"/>
          <w:szCs w:val="24"/>
        </w:rPr>
        <w:t xml:space="preserve">Date: 2025-08-22</w:t>
      </w:r>
    </w:p>
    <w:p>
      <w:pPr>
        <w:pageBreakBefore/>
      </w:pPr>
    </w:p>
    <w:sdt>
      <w:sdtPr>
        <w:alias w:val="Table of Contents"/>
      </w:sdtPr>
      <w:sdtContent>
        <w:p>
          <w:r>
            <w:fldChar w:fldCharType="begin" w:dirty="true"/>
            <w:instrText xml:space="preserve">TOC \h \o "1-4"</w:instrText>
            <w:fldChar w:fldCharType="separate"/>
          </w:r>
        </w:p>
        <w:p>
          <w:r>
            <w:fldChar w:fldCharType="end"/>
          </w:r>
        </w:p>
      </w:sdtContent>
    </w:sdt>
    <w:p>
      <w:pPr>
        <w:pStyle w:val="Heading1"/>
        <w:pageBreakBefore/>
        <w:jc w:val="left"/>
      </w:pPr>
      <w:r>
        <w:rPr>
          <w:sz w:val="24"/>
          <w:szCs w:val="24"/>
        </w:rPr>
        <w:t xml:space="preserve">Compliance Statement</w:t>
      </w:r>
    </w:p>
    <w:p>
      <w:pPr>
        <w:spacing w:after="200"/>
        <w:jc w:val="left"/>
      </w:pPr>
      <w:r>
        <w:rPr>
          <w:sz w:val="24"/>
          <w:szCs w:val="24"/>
        </w:rPr>
        <w:t xml:space="preserve">This offer is prepared in accordance with Appendix 1 - RFP connection of STSs V3.1. Where requirements are clarified or assumed, these are explicitly noted, and final alignment will be completed upon receipt of any addenda.</w:t>
      </w:r>
    </w:p>
    <w:p>
      <w:pPr>
        <w:pStyle w:val="Heading1"/>
        <w:pageBreakBefore/>
        <w:jc w:val="left"/>
      </w:pPr>
      <w:r>
        <w:rPr>
          <w:sz w:val="24"/>
          <w:szCs w:val="24"/>
        </w:rPr>
        <w:t xml:space="preserve">Scope Coverage (Crosswalk to Appendix 1 V3.1)</w:t>
      </w:r>
    </w:p>
    <w:p>
      <w:pPr>
        <w:pStyle w:val="Heading2"/>
        <w:jc w:val="left"/>
      </w:pPr>
      <w:r>
        <w:rPr>
          <w:sz w:val="24"/>
          <w:szCs w:val="24"/>
        </w:rPr>
        <w:t xml:space="preserve">Engineering &amp; Design</w:t>
      </w:r>
    </w:p>
    <w:p>
      <w:pPr>
        <w:pStyle w:val="ListParagraph"/>
        <w:numPr>
          <w:ilvl w:val="0"/>
          <w:numId w:val="1"/>
        </w:numPr>
        <w:spacing w:before="60" w:after="60"/>
      </w:pPr>
      <w:r>
        <w:t xml:space="preserve">MV SLD and feeder architecture (mobile substation → CTP6 → STS05/06; STS04 migration to CTP5)</w:t>
      </w:r>
    </w:p>
    <w:p>
      <w:pPr>
        <w:pStyle w:val="ListParagraph"/>
        <w:numPr>
          <w:ilvl w:val="0"/>
          <w:numId w:val="1"/>
        </w:numPr>
        <w:spacing w:before="60" w:after="60"/>
      </w:pPr>
      <w:r>
        <w:t xml:space="preserve">CTP6 and CTP5 pit GA: MV junction box and drum designs, earthing, labeling</w:t>
      </w:r>
    </w:p>
    <w:p>
      <w:pPr>
        <w:pStyle w:val="ListParagraph"/>
        <w:numPr>
          <w:ilvl w:val="0"/>
          <w:numId w:val="1"/>
        </w:numPr>
        <w:spacing w:before="60" w:after="60"/>
      </w:pPr>
      <w:r>
        <w:t xml:space="preserve">Cable sizing method, protection &amp; coordination per TiN settings</w:t>
      </w:r>
    </w:p>
    <w:p>
      <w:pPr>
        <w:pStyle w:val="ListParagraph"/>
        <w:numPr>
          <w:ilvl w:val="0"/>
          <w:numId w:val="1"/>
        </w:numPr>
        <w:spacing w:before="60" w:after="60"/>
      </w:pPr>
      <w:r>
        <w:t xml:space="preserve">FO star topology Cargo Building ↔ CTP6/CTP5; splice plans; rack elevations</w:t>
      </w:r>
    </w:p>
    <w:p>
      <w:pPr>
        <w:pStyle w:val="ListParagraph"/>
        <w:numPr>
          <w:ilvl w:val="0"/>
          <w:numId w:val="1"/>
        </w:numPr>
        <w:spacing w:before="60" w:after="60"/>
      </w:pPr>
      <w:r>
        <w:t xml:space="preserve">Network segmentation, VLAN/ACL, OT edge security</w:t>
      </w:r>
    </w:p>
    <w:p>
      <w:pPr>
        <w:pStyle w:val="ListParagraph"/>
        <w:numPr>
          <w:ilvl w:val="0"/>
          <w:numId w:val="1"/>
        </w:numPr>
        <w:spacing w:before="60" w:after="60"/>
      </w:pPr>
      <w:r>
        <w:t xml:space="preserve">Optical budget and acceptance criteria</w:t>
      </w:r>
    </w:p>
    <w:p>
      <w:pPr>
        <w:pStyle w:val="Heading2"/>
        <w:jc w:val="left"/>
      </w:pPr>
      <w:r>
        <w:rPr>
          <w:sz w:val="24"/>
          <w:szCs w:val="24"/>
        </w:rPr>
        <w:t xml:space="preserve">Procurement</w:t>
      </w:r>
    </w:p>
    <w:p>
      <w:pPr>
        <w:pStyle w:val="ListParagraph"/>
        <w:numPr>
          <w:ilvl w:val="0"/>
          <w:numId w:val="1"/>
        </w:numPr>
        <w:spacing w:before="60" w:after="60"/>
      </w:pPr>
      <w:r>
        <w:t xml:space="preserve">MV XLPE cable (IEC 60502-2), termination/joint kits, SS IP67/IK10 enclosures (C5M)</w:t>
      </w:r>
    </w:p>
    <w:p>
      <w:pPr>
        <w:pStyle w:val="ListParagraph"/>
        <w:numPr>
          <w:ilvl w:val="0"/>
          <w:numId w:val="1"/>
        </w:numPr>
        <w:spacing w:before="60" w:after="60"/>
      </w:pPr>
      <w:r>
        <w:t xml:space="preserve">OS2 9/125 μm cable, IP68 closures, LC/UPC panels/pigtails, labels</w:t>
      </w:r>
    </w:p>
    <w:p>
      <w:pPr>
        <w:pStyle w:val="ListParagraph"/>
        <w:numPr>
          <w:ilvl w:val="0"/>
          <w:numId w:val="1"/>
        </w:numPr>
        <w:spacing w:before="60" w:after="60"/>
      </w:pPr>
      <w:r>
        <w:t xml:space="preserve">Certificates of conformity and type test reports</w:t>
      </w:r>
    </w:p>
    <w:p>
      <w:pPr>
        <w:pStyle w:val="Heading2"/>
        <w:jc w:val="left"/>
      </w:pPr>
      <w:r>
        <w:rPr>
          <w:sz w:val="24"/>
          <w:szCs w:val="24"/>
        </w:rPr>
        <w:t xml:space="preserve">Installation</w:t>
      </w:r>
    </w:p>
    <w:p>
      <w:pPr>
        <w:pStyle w:val="ListParagraph"/>
        <w:numPr>
          <w:ilvl w:val="0"/>
          <w:numId w:val="1"/>
        </w:numPr>
        <w:spacing w:before="60" w:after="60"/>
      </w:pPr>
      <w:r>
        <w:t xml:space="preserve">STS04 controlled isolation at CTP6, reroute to CTP5, new JB/drum and terminations</w:t>
      </w:r>
    </w:p>
    <w:p>
      <w:pPr>
        <w:pStyle w:val="ListParagraph"/>
        <w:numPr>
          <w:ilvl w:val="0"/>
          <w:numId w:val="1"/>
        </w:numPr>
        <w:spacing w:before="60" w:after="60"/>
      </w:pPr>
      <w:r>
        <w:t xml:space="preserve">STS05/STS06 drums and JBs at CTP6; feeders from mobile substation</w:t>
      </w:r>
    </w:p>
    <w:p>
      <w:pPr>
        <w:pStyle w:val="ListParagraph"/>
        <w:numPr>
          <w:ilvl w:val="0"/>
          <w:numId w:val="1"/>
        </w:numPr>
        <w:spacing w:before="60" w:after="60"/>
      </w:pPr>
      <w:r>
        <w:t xml:space="preserve">FO pull from Cargo Building to CTP6; splice at closure; rack terminations</w:t>
      </w:r>
    </w:p>
    <w:p>
      <w:pPr>
        <w:pStyle w:val="Heading2"/>
        <w:jc w:val="left"/>
      </w:pPr>
      <w:r>
        <w:rPr>
          <w:sz w:val="24"/>
          <w:szCs w:val="24"/>
        </w:rPr>
        <w:t xml:space="preserve">Testing &amp; Commissioning</w:t>
      </w:r>
    </w:p>
    <w:p>
      <w:pPr>
        <w:pStyle w:val="ListParagraph"/>
        <w:numPr>
          <w:ilvl w:val="0"/>
          <w:numId w:val="1"/>
        </w:numPr>
        <w:spacing w:before="60" w:after="60"/>
      </w:pPr>
      <w:r>
        <w:t xml:space="preserve">MV IR/continuity, withstand/VLF as specified; protection setting verification</w:t>
      </w:r>
    </w:p>
    <w:p>
      <w:pPr>
        <w:pStyle w:val="ListParagraph"/>
        <w:numPr>
          <w:ilvl w:val="0"/>
          <w:numId w:val="1"/>
        </w:numPr>
        <w:spacing w:before="60" w:after="60"/>
      </w:pPr>
      <w:r>
        <w:t xml:space="preserve">FO OTDR 1310/1550 nm; insertion loss; polarity</w:t>
      </w:r>
    </w:p>
    <w:p>
      <w:pPr>
        <w:pStyle w:val="ListParagraph"/>
        <w:numPr>
          <w:ilvl w:val="0"/>
          <w:numId w:val="1"/>
        </w:numPr>
        <w:spacing w:before="60" w:after="60"/>
      </w:pPr>
      <w:r>
        <w:t xml:space="preserve">SCADA/Network VLAN/ACL verification and link checks</w:t>
      </w:r>
    </w:p>
    <w:p>
      <w:pPr>
        <w:pStyle w:val="Heading2"/>
        <w:jc w:val="left"/>
      </w:pPr>
      <w:r>
        <w:rPr>
          <w:sz w:val="24"/>
          <w:szCs w:val="24"/>
        </w:rPr>
        <w:t xml:space="preserve">Documentation &amp; Handover</w:t>
      </w:r>
    </w:p>
    <w:p>
      <w:pPr>
        <w:pStyle w:val="ListParagraph"/>
        <w:numPr>
          <w:ilvl w:val="0"/>
          <w:numId w:val="1"/>
        </w:numPr>
        <w:spacing w:before="60" w:after="60"/>
      </w:pPr>
      <w:r>
        <w:t xml:space="preserve">As-built DWG/PDF, splice maps, cable schedules, protection settings</w:t>
      </w:r>
    </w:p>
    <w:p>
      <w:pPr>
        <w:pStyle w:val="ListParagraph"/>
        <w:numPr>
          <w:ilvl w:val="0"/>
          <w:numId w:val="1"/>
        </w:numPr>
        <w:spacing w:before="60" w:after="60"/>
      </w:pPr>
      <w:r>
        <w:t xml:space="preserve">Test packs (MV/FO), O&amp;M manuals, training records, handover checklist</w:t>
      </w:r>
    </w:p>
    <w:p>
      <w:pPr>
        <w:pStyle w:val="ListParagraph"/>
        <w:numPr>
          <w:ilvl w:val="0"/>
          <w:numId w:val="1"/>
        </w:numPr>
        <w:spacing w:before="60" w:after="60"/>
      </w:pPr>
      <w:r>
        <w:t xml:space="preserve">Legalisation dossier per V3.1</w:t>
      </w:r>
    </w:p>
    <w:p>
      <w:pPr>
        <w:pStyle w:val="Heading2"/>
        <w:jc w:val="left"/>
      </w:pPr>
      <w:r>
        <w:rPr>
          <w:sz w:val="24"/>
          <w:szCs w:val="24"/>
        </w:rPr>
        <w:t xml:space="preserve">Project Mgmt &amp; Admin</w:t>
      </w:r>
    </w:p>
    <w:p>
      <w:pPr>
        <w:pStyle w:val="ListParagraph"/>
        <w:numPr>
          <w:ilvl w:val="0"/>
          <w:numId w:val="1"/>
        </w:numPr>
        <w:spacing w:before="60" w:after="60"/>
      </w:pPr>
      <w:r>
        <w:t xml:space="preserve">Programme (Gantt), RACI, risk register, permitting schedule</w:t>
      </w:r>
    </w:p>
    <w:p>
      <w:pPr>
        <w:pStyle w:val="ListParagraph"/>
        <w:numPr>
          <w:ilvl w:val="0"/>
          <w:numId w:val="1"/>
        </w:numPr>
        <w:spacing w:before="60" w:after="60"/>
      </w:pPr>
      <w:r>
        <w:t xml:space="preserve">Document control (10 working day review SLA), meeting cadence, escalation</w:t>
      </w:r>
    </w:p>
    <w:p>
      <w:pPr>
        <w:pStyle w:val="Heading1"/>
        <w:pageBreakBefore/>
        <w:jc w:val="left"/>
      </w:pPr>
      <w:r>
        <w:rPr>
          <w:sz w:val="24"/>
          <w:szCs w:val="24"/>
        </w:rPr>
        <w:t xml:space="preserve">Part B – Communications Offer (Technical)</w:t>
      </w:r>
    </w:p>
    <w:p>
      <w:pPr>
        <w:pStyle w:val="Heading2"/>
        <w:jc w:val="left"/>
      </w:pPr>
      <w:r>
        <w:rPr>
          <w:sz w:val="24"/>
          <w:szCs w:val="24"/>
        </w:rPr>
        <w:t xml:space="preserve">Design Basis &amp; Standards</w:t>
      </w:r>
    </w:p>
    <w:p>
      <w:pPr>
        <w:pStyle w:val="ListParagraph"/>
        <w:numPr>
          <w:ilvl w:val="0"/>
          <w:numId w:val="1"/>
        </w:numPr>
        <w:spacing w:before="60" w:after="60"/>
      </w:pPr>
      <w:r>
        <w:t xml:space="preserve">OS2 9/125 μm single-mode; LC/UPC unless TiN mandates APC</w:t>
      </w:r>
    </w:p>
    <w:p>
      <w:pPr>
        <w:pStyle w:val="ListParagraph"/>
        <w:numPr>
          <w:ilvl w:val="0"/>
          <w:numId w:val="1"/>
        </w:numPr>
        <w:spacing w:before="60" w:after="60"/>
      </w:pPr>
      <w:r>
        <w:t xml:space="preserve">Star topology: Cargo Building FO rack → CTP6 closure → STS05/STS06; CTP5 → STS04</w:t>
      </w:r>
    </w:p>
    <w:p>
      <w:pPr>
        <w:pStyle w:val="ListParagraph"/>
        <w:numPr>
          <w:ilvl w:val="0"/>
          <w:numId w:val="1"/>
        </w:numPr>
        <w:spacing w:before="60" w:after="60"/>
      </w:pPr>
      <w:r>
        <w:t xml:space="preserve">Labeling per TIA-606 and TiN schema; OT edge security</w:t>
      </w:r>
    </w:p>
    <w:p>
      <w:pPr>
        <w:pStyle w:val="Heading2"/>
        <w:jc w:val="left"/>
      </w:pPr>
      <w:r>
        <w:rPr>
          <w:sz w:val="24"/>
          <w:szCs w:val="24"/>
        </w:rPr>
        <w:t xml:space="preserve">Fibre Optic Star Topology</w:t>
      </w:r>
    </w:p>
    <w:p>
      <w:pPr>
        <w:spacing w:before="120" w:after="0"/>
      </w:pPr>
      <w:r>
        <w:rPr>
          <w:sz w:val="22"/>
          <w:szCs w:val="22"/>
          <w:rFonts w:ascii="Courier New" w:cs="Courier New" w:eastAsia="Courier New" w:hAnsi="Courier New"/>
        </w:rPr>
        <w:t xml:space="preserve">[Core A/B @ Cargo Building]</w:t>
      </w:r>
    </w:p>
    <w:p>
      <w:pPr>
        <w:spacing w:before="0" w:after="0"/>
      </w:pPr>
      <w:r>
        <w:rPr>
          <w:sz w:val="22"/>
          <w:szCs w:val="22"/>
          <w:rFonts w:ascii="Courier New" w:cs="Courier New" w:eastAsia="Courier New" w:hAnsi="Courier New"/>
        </w:rPr>
        <w:t xml:space="preserve">  |           |</w:t>
      </w:r>
    </w:p>
    <w:p>
      <w:pPr>
        <w:spacing w:before="0" w:after="0"/>
      </w:pPr>
      <w:r>
        <w:rPr>
          <w:sz w:val="22"/>
          <w:szCs w:val="22"/>
          <w:rFonts w:ascii="Courier New" w:cs="Courier New" w:eastAsia="Courier New" w:hAnsi="Courier New"/>
        </w:rPr>
        <w:t xml:space="preserve">  +--[FO Rack: LC/UPC Panels]--+</w:t>
      </w:r>
    </w:p>
    <w:p>
      <w:pPr>
        <w:spacing w:before="0" w:after="0"/>
      </w:pPr>
      <w:r>
        <w:rPr>
          <w:sz w:val="22"/>
          <w:szCs w:val="22"/>
          <w:rFonts w:ascii="Courier New" w:cs="Courier New" w:eastAsia="Courier New" w:hAnsi="Courier New"/>
        </w:rPr>
        <w:t xml:space="preserve">                               |</w:t>
      </w:r>
    </w:p>
    <w:p>
      <w:pPr>
        <w:spacing w:before="0" w:after="0"/>
      </w:pPr>
      <w:r>
        <w:rPr>
          <w:sz w:val="22"/>
          <w:szCs w:val="22"/>
          <w:rFonts w:ascii="Courier New" w:cs="Courier New" w:eastAsia="Courier New" w:hAnsi="Courier New"/>
        </w:rPr>
        <w:t xml:space="preserve">                        OS2 24F to CTP6</w:t>
      </w:r>
    </w:p>
    <w:p>
      <w:pPr>
        <w:spacing w:before="0" w:after="0"/>
      </w:pPr>
      <w:r>
        <w:rPr>
          <w:sz w:val="22"/>
          <w:szCs w:val="22"/>
          <w:rFonts w:ascii="Courier New" w:cs="Courier New" w:eastAsia="Courier New" w:hAnsi="Courier New"/>
        </w:rPr>
        <w:t xml:space="preserve">                               |</w:t>
      </w:r>
    </w:p>
    <w:p>
      <w:pPr>
        <w:spacing w:before="0" w:after="0"/>
      </w:pPr>
      <w:r>
        <w:rPr>
          <w:sz w:val="22"/>
          <w:szCs w:val="22"/>
          <w:rFonts w:ascii="Courier New" w:cs="Courier New" w:eastAsia="Courier New" w:hAnsi="Courier New"/>
        </w:rPr>
        <w:t xml:space="preserve">                         [CTP6 FO Closure]</w:t>
      </w:r>
    </w:p>
    <w:p>
      <w:pPr>
        <w:spacing w:before="0" w:after="0"/>
      </w:pPr>
      <w:r>
        <w:rPr>
          <w:sz w:val="22"/>
          <w:szCs w:val="22"/>
          <w:rFonts w:ascii="Courier New" w:cs="Courier New" w:eastAsia="Courier New" w:hAnsi="Courier New"/>
        </w:rPr>
        <w:t xml:space="preserve">                           |          |</w:t>
      </w:r>
    </w:p>
    <w:p>
      <w:pPr>
        <w:spacing w:before="0" w:after="0"/>
      </w:pPr>
      <w:r>
        <w:rPr>
          <w:sz w:val="22"/>
          <w:szCs w:val="22"/>
          <w:rFonts w:ascii="Courier New" w:cs="Courier New" w:eastAsia="Courier New" w:hAnsi="Courier New"/>
        </w:rPr>
        <w:t xml:space="preserve">                         STS05      STS06</w:t>
      </w:r>
    </w:p>
    <w:p>
      <w:pPr>
        <w:spacing w:before="0" w:after="0"/>
      </w:pPr>
      <w:r>
        <w:rPr>
          <w:sz w:val="22"/>
          <w:szCs w:val="22"/>
          <w:rFonts w:ascii="Courier New" w:cs="Courier New" w:eastAsia="Courier New" w:hAnsi="Courier New"/>
        </w:rPr>
        <w:t xml:space="preserve">Additional: OS2 to CTP5 → STS04</w:t>
      </w:r>
    </w:p>
    <w:p>
      <w:pPr>
        <w:spacing w:after="120"/>
      </w:pPr>
    </w:p>
    <w:p>
      <w:pPr>
        <w:pStyle w:val="Heading2"/>
        <w:jc w:val="left"/>
      </w:pPr>
      <w:r>
        <w:rPr>
          <w:sz w:val="24"/>
          <w:szCs w:val="24"/>
        </w:rPr>
        <w:t xml:space="preserve">CTP6 Splice Plan (Tray Allocation)</w:t>
      </w:r>
    </w:p>
    <w:p>
      <w:pPr>
        <w:pStyle w:val="ListParagraph"/>
        <w:numPr>
          <w:ilvl w:val="0"/>
          <w:numId w:val="1"/>
        </w:numPr>
        <w:spacing w:before="60" w:after="60"/>
      </w:pPr>
      <w:r>
        <w:t xml:space="preserve">Tray1: STS05 C1↔Backbone C1, C2↔C2; Tray2: STS05 C3↔C3, C4↔C4</w:t>
      </w:r>
    </w:p>
    <w:p>
      <w:pPr>
        <w:pStyle w:val="ListParagraph"/>
        <w:numPr>
          <w:ilvl w:val="0"/>
          <w:numId w:val="1"/>
        </w:numPr>
        <w:spacing w:before="60" w:after="60"/>
      </w:pPr>
      <w:r>
        <w:t xml:space="preserve">Tray3: STS06 C1↔C5, C2↔C6; Tray4: STS06 C3↔C7, C4↔C8; Tray5–6 spares</w:t>
      </w:r>
    </w:p>
    <w:p>
      <w:pPr>
        <w:pStyle w:val="Heading2"/>
        <w:jc w:val="left"/>
      </w:pPr>
      <w:r>
        <w:rPr>
          <w:sz w:val="24"/>
          <w:szCs w:val="24"/>
        </w:rPr>
        <w:t xml:space="preserve">Cargo Building Rack Elevation (OT Edge)</w:t>
      </w:r>
    </w:p>
    <w:p>
      <w:pPr>
        <w:pStyle w:val="ListParagraph"/>
        <w:numPr>
          <w:ilvl w:val="0"/>
          <w:numId w:val="1"/>
        </w:numPr>
        <w:spacing w:before="60" w:after="60"/>
      </w:pPr>
      <w:r>
        <w:t xml:space="preserve">U35: FO Panel #1 (STS05)</w:t>
      </w:r>
    </w:p>
    <w:p>
      <w:pPr>
        <w:pStyle w:val="ListParagraph"/>
        <w:numPr>
          <w:ilvl w:val="0"/>
          <w:numId w:val="1"/>
        </w:numPr>
        <w:spacing w:before="60" w:after="60"/>
      </w:pPr>
      <w:r>
        <w:t xml:space="preserve">U34: FO Panel #2 (STS06)</w:t>
      </w:r>
    </w:p>
    <w:p>
      <w:pPr>
        <w:pStyle w:val="ListParagraph"/>
        <w:numPr>
          <w:ilvl w:val="0"/>
          <w:numId w:val="1"/>
        </w:numPr>
        <w:spacing w:before="60" w:after="60"/>
      </w:pPr>
      <w:r>
        <w:t xml:space="preserve">U33: Cable Management</w:t>
      </w:r>
    </w:p>
    <w:p>
      <w:pPr>
        <w:pStyle w:val="ListParagraph"/>
        <w:numPr>
          <w:ilvl w:val="0"/>
          <w:numId w:val="1"/>
        </w:numPr>
        <w:spacing w:before="60" w:after="60"/>
      </w:pPr>
      <w:r>
        <w:t xml:space="preserve">U32: OT Core Switch</w:t>
      </w:r>
    </w:p>
    <w:p>
      <w:pPr>
        <w:pStyle w:val="ListParagraph"/>
        <w:numPr>
          <w:ilvl w:val="0"/>
          <w:numId w:val="1"/>
        </w:numPr>
        <w:spacing w:before="60" w:after="60"/>
      </w:pPr>
      <w:r>
        <w:t xml:space="preserve">U31: Industrial Firewall/OT Edge</w:t>
      </w:r>
    </w:p>
    <w:p>
      <w:pPr>
        <w:pStyle w:val="ListParagraph"/>
        <w:numPr>
          <w:ilvl w:val="0"/>
          <w:numId w:val="1"/>
        </w:numPr>
        <w:spacing w:before="60" w:after="60"/>
      </w:pPr>
      <w:r>
        <w:t xml:space="preserve">U30: PDU/UPS</w:t>
      </w:r>
    </w:p>
    <w:p>
      <w:pPr>
        <w:pStyle w:val="Heading2"/>
        <w:jc w:val="left"/>
      </w:pPr>
      <w:r>
        <w:rPr>
          <w:sz w:val="24"/>
          <w:szCs w:val="24"/>
        </w:rPr>
        <w:t xml:space="preserve">Optical Budget &amp; Acceptance Thresholds</w:t>
      </w:r>
    </w:p>
    <w:p>
      <w:pPr>
        <w:pStyle w:val="ListParagraph"/>
        <w:numPr>
          <w:ilvl w:val="0"/>
          <w:numId w:val="1"/>
        </w:numPr>
        <w:spacing w:before="60" w:after="60"/>
      </w:pPr>
      <w:r>
        <w:t xml:space="preserve">Assume 0.8 km @1310 nm: 0.28 dB fiber loss; 2×0.25 dB connectors; 4×0.1 dB splices; margin 3 dB; design budget ≈ 4.18 dB</w:t>
      </w:r>
    </w:p>
    <w:p>
      <w:pPr>
        <w:pStyle w:val="ListParagraph"/>
        <w:numPr>
          <w:ilvl w:val="0"/>
          <w:numId w:val="1"/>
        </w:numPr>
        <w:spacing w:before="60" w:after="60"/>
      </w:pPr>
      <w:r>
        <w:t xml:space="preserve">Acceptance: IL ≤ 2.0 dB typical; ≤ 3.0 dB max with extra panels; clean OTDR traces</w:t>
      </w:r>
    </w:p>
    <w:p>
      <w:pPr>
        <w:pStyle w:val="Heading2"/>
        <w:jc w:val="left"/>
      </w:pPr>
      <w:r>
        <w:rPr>
          <w:sz w:val="24"/>
          <w:szCs w:val="24"/>
        </w:rPr>
        <w:t xml:space="preserve">Method Statement</w:t>
      </w:r>
    </w:p>
    <w:p>
      <w:pPr>
        <w:spacing w:after="120"/>
        <w:jc w:val="left"/>
      </w:pPr>
      <w:r>
        <w:rPr>
          <w:sz w:val="24"/>
          <w:szCs w:val="24"/>
        </w:rPr>
        <w:t xml:space="preserve">Pre-works and duct preparation: confirm route from Cargo Building to CTP6, obtain PTWs, establish confined-space controls for manhole access (gas testing, ventilation, tripod/harness if required), rod the ducts, pass a mandrel to confirm clearances, install pull rope and label intermediate access points; dewater and clean chambers as needed.</w:t>
      </w:r>
    </w:p>
    <w:p>
      <w:pPr>
        <w:spacing w:after="120"/>
        <w:jc w:val="left"/>
      </w:pPr>
      <w:r>
        <w:rPr>
          <w:sz w:val="24"/>
          <w:szCs w:val="24"/>
        </w:rPr>
        <w:t xml:space="preserve">Cable pulling (OS2 single-mode): stage the cable reel with spindle stands and braking control; set up a capstan winch with in-line dynamometer to monitor pulling tension; apply approved cable lubricant and use rollers/bell mouths at all bends; maintain minimum bend radius/sidewall pressure; record peak tension and pull length; fit bushings at entries and seal penetrations with rated compounds.</w:t>
      </w:r>
    </w:p>
    <w:p>
      <w:pPr>
        <w:spacing w:after="120"/>
        <w:jc w:val="left"/>
      </w:pPr>
      <w:r>
        <w:rPr>
          <w:sz w:val="24"/>
          <w:szCs w:val="24"/>
        </w:rPr>
        <w:t xml:space="preserve">CTP6 closure installation and splicing: mount the IP68 closure, allocate trays per the splice plan and provide service loops; prepare fibers (strip, clean with lint-free wipes and alcohol, cleave) and fusion-splice to pigtails per tray allocation; apply splice protectors and dress fibers to maintain bend radius; close and seal the closure and pressure test if required.</w:t>
      </w:r>
    </w:p>
    <w:p>
      <w:pPr>
        <w:spacing w:after="120"/>
        <w:jc w:val="left"/>
      </w:pPr>
      <w:r>
        <w:rPr>
          <w:sz w:val="24"/>
          <w:szCs w:val="24"/>
        </w:rPr>
        <w:t xml:space="preserve">Cargo Building rack terminations: prepare LC/UPC patch panels in the designated U-spaces; route incoming cables through cable management, bond metallic strength members to rack ground and terminate pigtails to adapters; label ports and cables per TIA-606/TiN schema; document tray maps and rack elevations.</w:t>
      </w:r>
    </w:p>
    <w:p>
      <w:pPr>
        <w:spacing w:after="120"/>
        <w:jc w:val="left"/>
      </w:pPr>
      <w:r>
        <w:rPr>
          <w:sz w:val="24"/>
          <w:szCs w:val="24"/>
        </w:rPr>
        <w:t xml:space="preserve">Cleaning, inspection and housekeeping: clean all connectors with one-click tools and inspection scopes; verify grommets, seals and grounding are in place; update the splice schedule and labeling register.</w:t>
      </w:r>
    </w:p>
    <w:p>
      <w:pPr>
        <w:pStyle w:val="Heading2"/>
        <w:jc w:val="left"/>
      </w:pPr>
      <w:r>
        <w:rPr>
          <w:sz w:val="24"/>
          <w:szCs w:val="24"/>
        </w:rPr>
        <w:t xml:space="preserve">Testing &amp; Commissioning</w:t>
      </w:r>
    </w:p>
    <w:p>
      <w:pPr>
        <w:spacing w:after="120"/>
        <w:jc w:val="left"/>
      </w:pPr>
      <w:r>
        <w:rPr>
          <w:sz w:val="24"/>
          <w:szCs w:val="24"/>
        </w:rPr>
        <w:t xml:space="preserve">Visual and label audit: confirm labels match the schedule, closures and panels are sealed and grounded, and fiber management is neat.</w:t>
      </w:r>
    </w:p>
    <w:p>
      <w:pPr>
        <w:spacing w:after="120"/>
        <w:jc w:val="left"/>
      </w:pPr>
      <w:r>
        <w:rPr>
          <w:sz w:val="24"/>
          <w:szCs w:val="24"/>
        </w:rPr>
        <w:t xml:space="preserve">Polarity/continuity: use a visual fault locator and light source to verify A-to-B polarity according to the mapping; correct any cross-overs.</w:t>
      </w:r>
    </w:p>
    <w:p>
      <w:pPr>
        <w:spacing w:after="120"/>
        <w:jc w:val="left"/>
      </w:pPr>
      <w:r>
        <w:rPr>
          <w:sz w:val="24"/>
          <w:szCs w:val="24"/>
        </w:rPr>
        <w:t xml:space="preserve">OTDR bi-directional: test at 1310/1550 nm using launch and tail fibers; record event tables for connectors/splices and overall attenuation; investigate reflective events or high loss splices.</w:t>
      </w:r>
    </w:p>
    <w:p>
      <w:pPr>
        <w:spacing w:after="120"/>
        <w:jc w:val="left"/>
      </w:pPr>
      <w:r>
        <w:rPr>
          <w:sz w:val="24"/>
          <w:szCs w:val="24"/>
        </w:rPr>
        <w:t xml:space="preserve">Insertion loss (OLTS): measure end-to-end IL; acceptance per budget (≤ 2.0 dB typical path; ≤ 3.0 dB maximum if extra panels present); record reflectance where instruments support it.</w:t>
      </w:r>
    </w:p>
    <w:p>
      <w:pPr>
        <w:spacing w:after="120"/>
        <w:jc w:val="left"/>
      </w:pPr>
      <w:r>
        <w:rPr>
          <w:sz w:val="24"/>
          <w:szCs w:val="24"/>
        </w:rPr>
        <w:t xml:space="preserve">Documentation: save OTDR traces (both directions), IL results and updated tray maps; compile into the test pack with sign-off sheets.</w:t>
      </w:r>
    </w:p>
    <w:p>
      <w:pPr>
        <w:pStyle w:val="Heading2"/>
        <w:jc w:val="left"/>
      </w:pPr>
      <w:r>
        <w:rPr>
          <w:sz w:val="24"/>
          <w:szCs w:val="24"/>
        </w:rPr>
        <w:t xml:space="preserve">Acceptance Criteria</w:t>
      </w:r>
    </w:p>
    <w:p>
      <w:pPr>
        <w:pStyle w:val="ListParagraph"/>
        <w:numPr>
          <w:ilvl w:val="0"/>
          <w:numId w:val="1"/>
        </w:numPr>
        <w:spacing w:before="60" w:after="60"/>
      </w:pPr>
      <w:r>
        <w:t xml:space="preserve">OTDR/IL within thresholds; polarity OK; labels match schedule</w:t>
      </w:r>
    </w:p>
    <w:p>
      <w:pPr>
        <w:pStyle w:val="ListParagraph"/>
        <w:numPr>
          <w:ilvl w:val="0"/>
          <w:numId w:val="1"/>
        </w:numPr>
        <w:spacing w:before="60" w:after="60"/>
      </w:pPr>
      <w:r>
        <w:t xml:space="preserve">Rack terminations neat; grounding per standard; documentation complete</w:t>
      </w:r>
    </w:p>
    <w:p>
      <w:pPr>
        <w:pStyle w:val="Heading2"/>
        <w:jc w:val="left"/>
      </w:pPr>
      <w:r>
        <w:rPr>
          <w:sz w:val="24"/>
          <w:szCs w:val="24"/>
        </w:rPr>
        <w:t xml:space="preserve">FO Close-Up Checklist (Closure/Panel)</w:t>
      </w:r>
    </w:p>
    <w:p>
      <w:pPr>
        <w:pStyle w:val="ListParagraph"/>
        <w:numPr>
          <w:ilvl w:val="0"/>
          <w:numId w:val="1"/>
        </w:numPr>
        <w:spacing w:before="60" w:after="60"/>
      </w:pPr>
      <w:r>
        <w:t xml:space="preserve">Closure: trays allocated and labeled; splice protectors seated; fibres dressed with bend radius respected; desiccant (if specified) in place.</w:t>
      </w:r>
    </w:p>
    <w:p>
      <w:pPr>
        <w:pStyle w:val="ListParagraph"/>
        <w:numPr>
          <w:ilvl w:val="0"/>
          <w:numId w:val="1"/>
        </w:numPr>
        <w:spacing w:before="60" w:after="60"/>
      </w:pPr>
      <w:r>
        <w:t xml:space="preserve">Seals/glands: correct sizes installed; IP rating maintained; strain relief fitted; no sharp edges; entry ports plugged if unused.</w:t>
      </w:r>
    </w:p>
    <w:p>
      <w:pPr>
        <w:pStyle w:val="ListParagraph"/>
        <w:numPr>
          <w:ilvl w:val="0"/>
          <w:numId w:val="1"/>
        </w:numPr>
        <w:spacing w:before="60" w:after="60"/>
      </w:pPr>
      <w:r>
        <w:t xml:space="preserve">Grounding: metallic strength member/bond wire grounded to rack earth; continuity verified and logged.</w:t>
      </w:r>
    </w:p>
    <w:p>
      <w:pPr>
        <w:pStyle w:val="ListParagraph"/>
        <w:numPr>
          <w:ilvl w:val="0"/>
          <w:numId w:val="1"/>
        </w:numPr>
        <w:spacing w:before="60" w:after="60"/>
      </w:pPr>
      <w:r>
        <w:t xml:space="preserve">Panel: pigtail slack managed; ports labeled per TIA-606/TiN; port map posted inside rack door.</w:t>
      </w:r>
    </w:p>
    <w:p>
      <w:pPr>
        <w:pStyle w:val="ListParagraph"/>
        <w:numPr>
          <w:ilvl w:val="0"/>
          <w:numId w:val="1"/>
        </w:numPr>
        <w:spacing w:before="60" w:after="60"/>
      </w:pPr>
      <w:r>
        <w:t xml:space="preserve">Cleanliness: all connectors cleaned and inspected (scope) prior to close-up; endface photos sampled.</w:t>
      </w:r>
    </w:p>
    <w:p>
      <w:pPr>
        <w:pStyle w:val="ListParagraph"/>
        <w:numPr>
          <w:ilvl w:val="0"/>
          <w:numId w:val="1"/>
        </w:numPr>
        <w:spacing w:before="60" w:after="60"/>
      </w:pPr>
      <w:r>
        <w:t xml:space="preserve">Evidence: photo set (overall, trays, seals, labels); ITR reference noted; hold/witness sign-off completed.</w:t>
      </w:r>
    </w:p>
    <w:p>
      <w:pPr>
        <w:pStyle w:val="Heading2"/>
        <w:jc w:val="left"/>
      </w:pPr>
      <w:r>
        <w:rPr>
          <w:sz w:val="24"/>
          <w:szCs w:val="24"/>
        </w:rPr>
        <w:t xml:space="preserve">ATP Micro-Checklists (FO) — ITR Mapping</w:t>
      </w:r>
    </w:p>
    <w:p>
      <w:pPr>
        <w:pStyle w:val="ListParagraph"/>
        <w:numPr>
          <w:ilvl w:val="0"/>
          <w:numId w:val="1"/>
        </w:numPr>
        <w:spacing w:before="60" w:after="60"/>
      </w:pPr>
      <w:r>
        <w:t xml:space="preserve">ITR-10 (Closure/Panel Installation): mounting/fixings level; seals/glands; grounding bonds; labeling applied; service loops and tray allocation; photos.</w:t>
      </w:r>
    </w:p>
    <w:p>
      <w:pPr>
        <w:pStyle w:val="ListParagraph"/>
        <w:numPr>
          <w:ilvl w:val="0"/>
          <w:numId w:val="1"/>
        </w:numPr>
        <w:spacing w:before="60" w:after="60"/>
      </w:pPr>
      <w:r>
        <w:t xml:space="preserve">ITR-20 (Cable Pull Log): route pre-check; rollers/bell mouths set; lubricant type/batch; load-cell readings (start/peak/end); sidewall pressure/bend-radius checks; weather; pay-off direction.</w:t>
      </w:r>
    </w:p>
    <w:p>
      <w:pPr>
        <w:pStyle w:val="ListParagraph"/>
        <w:numPr>
          <w:ilvl w:val="0"/>
          <w:numId w:val="1"/>
        </w:numPr>
        <w:spacing w:before="60" w:after="60"/>
      </w:pPr>
      <w:r>
        <w:t xml:space="preserve">ITR-30 (Splicing/Terminations): cleaning/inspection; cleave quality; splice loss per joint recorded; tray/core mapping; polarity verified; panel terminations dressed.</w:t>
      </w:r>
    </w:p>
    <w:p>
      <w:pPr>
        <w:pStyle w:val="ListParagraph"/>
        <w:numPr>
          <w:ilvl w:val="0"/>
          <w:numId w:val="1"/>
        </w:numPr>
        <w:spacing w:before="60" w:after="60"/>
      </w:pPr>
      <w:r>
        <w:t xml:space="preserve">ITR-40 (Testing): OTDR bi-di with launch/tail; IL (OLTS) results; instrument calibration IDs; anomalies logged and rectified.</w:t>
      </w:r>
    </w:p>
    <w:p>
      <w:pPr>
        <w:pStyle w:val="ListParagraph"/>
        <w:numPr>
          <w:ilvl w:val="0"/>
          <w:numId w:val="1"/>
        </w:numPr>
        <w:spacing w:before="60" w:after="60"/>
      </w:pPr>
      <w:r>
        <w:t xml:space="preserve">ITR-50 (Pre-energization/Readiness): documents complete (splice maps, port maps, traces); label audit passed; punch list closed/owners/dates.</w:t>
      </w:r>
    </w:p>
    <w:p>
      <w:pPr>
        <w:pStyle w:val="Heading2"/>
        <w:jc w:val="left"/>
      </w:pPr>
      <w:r>
        <w:rPr>
          <w:sz w:val="24"/>
          <w:szCs w:val="24"/>
        </w:rPr>
        <w:t xml:space="preserve">CTP6/CTP5 Closure &amp; Handover Steps — FO</w:t>
      </w:r>
    </w:p>
    <w:p>
      <w:pPr>
        <w:pStyle w:val="ListParagraph"/>
        <w:numPr>
          <w:ilvl w:val="0"/>
          <w:numId w:val="1"/>
        </w:numPr>
        <w:spacing w:before="60" w:after="60"/>
      </w:pPr>
      <w:r>
        <w:t xml:space="preserve">Pit/chamber reinstatement: remove debris; verify drainage; seal entries; update photos.</w:t>
      </w:r>
    </w:p>
    <w:p>
      <w:pPr>
        <w:pStyle w:val="ListParagraph"/>
        <w:numPr>
          <w:ilvl w:val="0"/>
          <w:numId w:val="1"/>
        </w:numPr>
        <w:spacing w:before="60" w:after="60"/>
      </w:pPr>
      <w:r>
        <w:t xml:space="preserve">Spares &amp; O&amp;M: deliver closure seal kits, spare trays, pigtails/patch cords, cleaning kits; inventory sheet signed.</w:t>
      </w:r>
    </w:p>
    <w:p>
      <w:pPr>
        <w:pStyle w:val="ListParagraph"/>
        <w:numPr>
          <w:ilvl w:val="0"/>
          <w:numId w:val="1"/>
        </w:numPr>
        <w:spacing w:before="60" w:after="60"/>
      </w:pPr>
      <w:r>
        <w:t xml:space="preserve">Training: brief TiN maintainers on port maps, cleaning/inspection routine, test pack retrieval; attendance recorded.</w:t>
      </w:r>
    </w:p>
    <w:p>
      <w:pPr>
        <w:pStyle w:val="ListParagraph"/>
        <w:numPr>
          <w:ilvl w:val="0"/>
          <w:numId w:val="1"/>
        </w:numPr>
        <w:spacing w:before="60" w:after="60"/>
      </w:pPr>
      <w:r>
        <w:t xml:space="preserve">Documentation: update asset register with tag IDs and port maps; upload OTDR traces and IL tables; index in handover dossier.</w:t>
      </w:r>
    </w:p>
    <w:p>
      <w:pPr>
        <w:pStyle w:val="Heading2"/>
        <w:jc w:val="left"/>
      </w:pPr>
      <w:r>
        <w:rPr>
          <w:sz w:val="24"/>
          <w:szCs w:val="24"/>
        </w:rPr>
        <w:t xml:space="preserve">Executive Summary</w:t>
      </w:r>
    </w:p>
    <w:p>
      <w:pPr>
        <w:spacing w:after="120"/>
        <w:jc w:val="left"/>
      </w:pPr>
      <w:r>
        <w:rPr>
          <w:sz w:val="24"/>
          <w:szCs w:val="24"/>
        </w:rPr>
        <w:t xml:space="preserve">We propose a turnkey communications (fiber optic and OT edge) connection scope for STS cranes in accordance with Appendix 1 – RFP V3.1. Our solution delivers a resilient OS2 fibre star linking CTP6/CTP5 to the Cargo Building with disciplined splicing, labeling, and acceptance testing. The approach prioritizes cleanliness and optical performance, rigorous QA/ITP, and complete documentation for legalisation.</w:t>
      </w:r>
    </w:p>
    <w:p>
      <w:pPr>
        <w:pStyle w:val="Heading2"/>
        <w:jc w:val="left"/>
      </w:pPr>
      <w:r>
        <w:rPr>
          <w:sz w:val="24"/>
          <w:szCs w:val="24"/>
        </w:rPr>
        <w:t xml:space="preserve">Engineering Design Approach</w:t>
      </w:r>
    </w:p>
    <w:p>
      <w:pPr>
        <w:spacing w:after="120"/>
        <w:jc w:val="left"/>
      </w:pPr>
      <w:r>
        <w:rPr>
          <w:sz w:val="24"/>
          <w:szCs w:val="24"/>
        </w:rPr>
        <w:t xml:space="preserve">The FO design adopts OS2 G.652.D single-mode throughout, with LC/UPC connectors unless TiN mandates APC for specific links. We define a star topology from the Cargo Building to field closures, allocate tray maps to preserve spares and growth, and specify service loop policies. An optical budget is computed per path with allowances for fiber loss, connector and splice losses, and a 3 dB design margin; acceptance thresholds are tied to this budget. Splicing is planned as fusion with tray allocation and polarity verified end-to-end; connector cleanliness and inspection are mandated. Mechanical considerations include maintaining minimum bend radius, controlling pull tension/sidewall pressure, and sealing all entries. The design package comprises rack elevations, splice plans, labeling schedules, and test acceptance criteria aligned to the ITP.</w:t>
      </w:r>
    </w:p>
    <w:p>
      <w:pPr>
        <w:pStyle w:val="Heading2"/>
        <w:jc w:val="left"/>
      </w:pPr>
      <w:r>
        <w:rPr>
          <w:sz w:val="24"/>
          <w:szCs w:val="24"/>
        </w:rPr>
        <w:t xml:space="preserve">Procurement Plan</w:t>
      </w:r>
    </w:p>
    <w:p>
      <w:pPr>
        <w:spacing w:after="120"/>
        <w:jc w:val="left"/>
      </w:pPr>
      <w:r>
        <w:rPr>
          <w:sz w:val="24"/>
          <w:szCs w:val="24"/>
        </w:rPr>
        <w:t xml:space="preserve">We operate a structured source-to-site process governed by a procurement plan and a live materials tracker. RFQs are issued to approved vendors with technical datasheets, standards compliance (IEC/EN), and environmental requirements. Bids undergo a technical evaluation against mandatory criteria (type-test reports, CoCs, warranty terms, lead times) before commercial adjudication. Purchase Orders embed quality clauses and define hold/witness points.</w:t>
      </w:r>
    </w:p>
    <w:p>
      <w:pPr>
        <w:spacing w:after="120"/>
        <w:jc w:val="left"/>
      </w:pPr>
      <w:r>
        <w:rPr>
          <w:sz w:val="24"/>
          <w:szCs w:val="24"/>
        </w:rPr>
        <w:t xml:space="preserve">Expediting begins at award: vendors submit manufacturing schedules, inspection &amp; test plans, and submittals (drawings, labels) for approval. Logistics is aligned to the installation sequence; packaging specifies moisture barriers and handling indicators. Site receiving uses an RFI process; sensitive FO components are stored in controlled conditions; kitting aligns to ITP steps.</w:t>
      </w:r>
    </w:p>
    <w:p>
      <w:pPr>
        <w:pStyle w:val="Heading2"/>
        <w:jc w:val="left"/>
      </w:pPr>
      <w:r>
        <w:rPr>
          <w:sz w:val="24"/>
          <w:szCs w:val="24"/>
        </w:rPr>
        <w:t xml:space="preserve">Installation Approach</w:t>
      </w:r>
    </w:p>
    <w:p>
      <w:pPr>
        <w:spacing w:after="120"/>
        <w:jc w:val="left"/>
      </w:pPr>
      <w:r>
        <w:rPr>
          <w:sz w:val="24"/>
          <w:szCs w:val="24"/>
        </w:rPr>
        <w:t xml:space="preserve">Site works commence after mobilisation, safety induction, and permit acceptance. Each activity is governed by an approved Method Statement and RAMS. Supervisors brief the team daily (TBT). Barriers, signage, and exclusion zones are established before work; confined-space and lifting plans are enforced where applicable. Quality is built-in: checkpoints are recorded with photos and test logs; redlines captured contemporaneously.</w:t>
      </w:r>
    </w:p>
    <w:p>
      <w:pPr>
        <w:pStyle w:val="Heading2"/>
        <w:jc w:val="left"/>
      </w:pPr>
      <w:r>
        <w:rPr>
          <w:sz w:val="24"/>
          <w:szCs w:val="24"/>
        </w:rPr>
        <w:t xml:space="preserve">Value Engineering</w:t>
      </w:r>
    </w:p>
    <w:p>
      <w:pPr>
        <w:spacing w:after="120"/>
        <w:jc w:val="left"/>
      </w:pPr>
      <w:r>
        <w:rPr>
          <w:sz w:val="24"/>
          <w:szCs w:val="24"/>
        </w:rPr>
        <w:t xml:space="preserve">We evaluate alternatives that reduce lifecycle cost and risk without compromising compliance. Examples include optimizing closures/panel counts, selecting APC on long spans to improve return loss where TiN standards allow, and alternative fiber routes to avoid congested ducts. Each option is documented with cost/schedule/maintenance impact and submitted for approval.</w:t>
      </w:r>
    </w:p>
    <w:p>
      <w:pPr>
        <w:pStyle w:val="Heading2"/>
        <w:jc w:val="left"/>
      </w:pPr>
      <w:r>
        <w:rPr>
          <w:sz w:val="24"/>
          <w:szCs w:val="24"/>
        </w:rPr>
        <w:t xml:space="preserve">Sustainability</w:t>
      </w:r>
    </w:p>
    <w:p>
      <w:pPr>
        <w:spacing w:after="120"/>
        <w:jc w:val="left"/>
      </w:pPr>
      <w:r>
        <w:rPr>
          <w:sz w:val="24"/>
          <w:szCs w:val="24"/>
        </w:rPr>
        <w:t xml:space="preserve">Our Environmental Management Plan addresses waste minimization, segregation, and responsible disposal; control of dewatering discharges; spill prevention and response; and noise/light management for adjacent operations. Preference for low-VOC consumables and local sourcing to reduce transport emissions.</w:t>
      </w:r>
    </w:p>
    <w:p>
      <w:pPr>
        <w:pStyle w:val="Heading2"/>
        <w:jc w:val="left"/>
      </w:pPr>
      <w:r>
        <w:rPr>
          <w:sz w:val="24"/>
          <w:szCs w:val="24"/>
        </w:rPr>
        <w:t xml:space="preserve">Interface Management</w:t>
      </w:r>
    </w:p>
    <w:p>
      <w:pPr>
        <w:spacing w:after="120"/>
        <w:jc w:val="left"/>
      </w:pPr>
      <w:r>
        <w:rPr>
          <w:sz w:val="24"/>
          <w:szCs w:val="24"/>
        </w:rPr>
        <w:t xml:space="preserve">Interfaces span Operations, ICT/OT, HSE, and external authorities. We maintain an interface register identifying owners, data dependencies (e.g., rack allocations), and approval gates. Weekly coordination meetings track look-ahead constraints and access windows; changes are channelled through change control with impact assessments.</w:t>
      </w:r>
    </w:p>
    <w:p>
      <w:pPr>
        <w:pStyle w:val="Heading2"/>
        <w:jc w:val="left"/>
      </w:pPr>
      <w:r>
        <w:rPr>
          <w:sz w:val="24"/>
          <w:szCs w:val="24"/>
        </w:rPr>
        <w:t xml:space="preserve">Asset Registration</w:t>
      </w:r>
    </w:p>
    <w:p>
      <w:pPr>
        <w:spacing w:after="120"/>
        <w:jc w:val="left"/>
      </w:pPr>
      <w:r>
        <w:rPr>
          <w:sz w:val="24"/>
          <w:szCs w:val="24"/>
        </w:rPr>
        <w:t xml:space="preserve">All new assets are tagged per TiN’s schema and registered into the asset register/CMMS. Tagging covers closures, panels, terminations, and cabling. Serial numbers, test certificates, and location references are linked to each asset. Optional QR-coded labels can be provided.</w:t>
      </w:r>
    </w:p>
    <w:p>
      <w:pPr>
        <w:pStyle w:val="Heading2"/>
        <w:jc w:val="left"/>
      </w:pPr>
      <w:r>
        <w:rPr>
          <w:sz w:val="24"/>
          <w:szCs w:val="24"/>
        </w:rPr>
        <w:t xml:space="preserve">Detailed Scope</w:t>
      </w:r>
    </w:p>
    <w:p>
      <w:pPr>
        <w:pStyle w:val="ListParagraph"/>
        <w:numPr>
          <w:ilvl w:val="0"/>
          <w:numId w:val="1"/>
        </w:numPr>
        <w:spacing w:before="60" w:after="60"/>
      </w:pPr>
      <w:r>
        <w:t xml:space="preserve">FO: Cargo Building ↔ CTP6 star links; closures; rack panels; labeling; OTDR/IL tests.</w:t>
      </w:r>
    </w:p>
    <w:p>
      <w:pPr>
        <w:pStyle w:val="ListParagraph"/>
        <w:numPr>
          <w:ilvl w:val="0"/>
          <w:numId w:val="1"/>
        </w:numPr>
        <w:spacing w:before="60" w:after="60"/>
      </w:pPr>
      <w:r>
        <w:t xml:space="preserve">Documentation: IFC/IFU drawings, ITPs, test packs, O&amp;M, training, legalisation dossier.</w:t>
      </w:r>
    </w:p>
    <w:p>
      <w:pPr>
        <w:pStyle w:val="ListParagraph"/>
        <w:numPr>
          <w:ilvl w:val="0"/>
          <w:numId w:val="1"/>
        </w:numPr>
        <w:spacing w:before="60" w:after="60"/>
      </w:pPr>
      <w:r>
        <w:t xml:space="preserve">Project Mgmt: programme, RACI, risk, meetings, change control, HSE.</w:t>
      </w:r>
    </w:p>
    <w:p>
      <w:pPr>
        <w:pStyle w:val="Heading2"/>
        <w:jc w:val="left"/>
      </w:pPr>
      <w:r>
        <w:rPr>
          <w:sz w:val="24"/>
          <w:szCs w:val="24"/>
        </w:rPr>
        <w:t xml:space="preserve">Project Deliverables</w:t>
      </w:r>
    </w:p>
    <w:p>
      <w:pPr>
        <w:pStyle w:val="ListParagraph"/>
        <w:numPr>
          <w:ilvl w:val="0"/>
          <w:numId w:val="1"/>
        </w:numPr>
        <w:spacing w:before="60" w:after="60"/>
      </w:pPr>
      <w:r>
        <w:t xml:space="preserve">Drawings: splice maps, rack elevations, labeling schedules.</w:t>
      </w:r>
    </w:p>
    <w:p>
      <w:pPr>
        <w:pStyle w:val="ListParagraph"/>
        <w:numPr>
          <w:ilvl w:val="0"/>
          <w:numId w:val="1"/>
        </w:numPr>
        <w:spacing w:before="60" w:after="60"/>
      </w:pPr>
      <w:r>
        <w:t xml:space="preserve">Calculations: optical budget.</w:t>
      </w:r>
    </w:p>
    <w:p>
      <w:pPr>
        <w:pStyle w:val="ListParagraph"/>
        <w:numPr>
          <w:ilvl w:val="0"/>
          <w:numId w:val="1"/>
        </w:numPr>
        <w:spacing w:before="60" w:after="60"/>
      </w:pPr>
      <w:r>
        <w:t xml:space="preserve">QA/ITP: inspection/test records, factory certificates, OTDR/IL reports.</w:t>
      </w:r>
    </w:p>
    <w:p>
      <w:pPr>
        <w:pStyle w:val="ListParagraph"/>
        <w:numPr>
          <w:ilvl w:val="0"/>
          <w:numId w:val="1"/>
        </w:numPr>
        <w:spacing w:before="60" w:after="60"/>
      </w:pPr>
      <w:r>
        <w:t xml:space="preserve">Handover: as-built DWG/PDF, O&amp;M manuals, training records, legalisation dossier.</w:t>
      </w:r>
    </w:p>
    <w:p>
      <w:pPr>
        <w:pStyle w:val="Heading2"/>
        <w:jc w:val="left"/>
      </w:pPr>
      <w:r>
        <w:rPr>
          <w:sz w:val="24"/>
          <w:szCs w:val="24"/>
        </w:rPr>
        <w:t xml:space="preserve">Step-by-Step Plan</w:t>
      </w:r>
    </w:p>
    <w:p>
      <w:pPr>
        <w:pStyle w:val="ListParagraph"/>
        <w:numPr>
          <w:ilvl w:val="0"/>
          <w:numId w:val="1"/>
        </w:numPr>
        <w:spacing w:before="60" w:after="60"/>
      </w:pPr>
      <w:r>
        <w:t xml:space="preserve">1) Pre-Mobilisation (Week 0–2): Kick-off; duct/chamber surveys; safety file; permits; prelim designs; risk workshop; long-leads.</w:t>
      </w:r>
    </w:p>
    <w:p>
      <w:pPr>
        <w:pStyle w:val="ListParagraph"/>
        <w:numPr>
          <w:ilvl w:val="0"/>
          <w:numId w:val="1"/>
        </w:numPr>
        <w:spacing w:before="60" w:after="60"/>
      </w:pPr>
      <w:r>
        <w:t xml:space="preserve">2) Detailed Design &amp; Approvals (Week 2–6): IFC drawings; splice plans; ITPs; method statements; TiN approvals.</w:t>
      </w:r>
    </w:p>
    <w:p>
      <w:pPr>
        <w:pStyle w:val="ListParagraph"/>
        <w:numPr>
          <w:ilvl w:val="0"/>
          <w:numId w:val="1"/>
        </w:numPr>
        <w:spacing w:before="60" w:after="60"/>
      </w:pPr>
      <w:r>
        <w:t xml:space="preserve">3) Procurement &amp; FAT (Week 4–10): Order FO hardware; certificates; pre-assembly checks.</w:t>
      </w:r>
    </w:p>
    <w:p>
      <w:pPr>
        <w:pStyle w:val="ListParagraph"/>
        <w:numPr>
          <w:ilvl w:val="0"/>
          <w:numId w:val="1"/>
        </w:numPr>
        <w:spacing w:before="60" w:after="60"/>
      </w:pPr>
      <w:r>
        <w:t xml:space="preserve">4) Installation (Week 8–14): Pull Cargo→CTP6; closures; rack terminations; labeling.</w:t>
      </w:r>
    </w:p>
    <w:p>
      <w:pPr>
        <w:pStyle w:val="ListParagraph"/>
        <w:numPr>
          <w:ilvl w:val="0"/>
          <w:numId w:val="1"/>
        </w:numPr>
        <w:spacing w:before="60" w:after="60"/>
      </w:pPr>
      <w:r>
        <w:t xml:space="preserve">5) Testing &amp; Commissioning (Week 14–16): OTDR (1310/1550), IL, polarity; documentation of traces.</w:t>
      </w:r>
    </w:p>
    <w:p>
      <w:pPr>
        <w:pStyle w:val="ListParagraph"/>
        <w:numPr>
          <w:ilvl w:val="0"/>
          <w:numId w:val="1"/>
        </w:numPr>
        <w:spacing w:before="60" w:after="60"/>
      </w:pPr>
      <w:r>
        <w:t xml:space="preserve">6) Handover &amp; Legalisation (Week 16–18): As-builts, test packs, training, legalisation dossier; punch list close-out.</w:t>
      </w:r>
    </w:p>
    <w:p>
      <w:pPr>
        <w:pStyle w:val="Heading2"/>
        <w:jc w:val="left"/>
      </w:pPr>
      <w:r>
        <w:rPr>
          <w:sz w:val="24"/>
          <w:szCs w:val="24"/>
        </w:rPr>
        <w:t xml:space="preserve">Quality Plan &amp; ITP</w:t>
      </w:r>
    </w:p>
    <w:tbl>
      <w:tblPr>
        <w:tblW w:type="pct" w:w="100%"/>
        <w:tblBorders>
          <w:top w:val="single" w:color="DDDDDD" w:sz="1"/>
          <w:left w:val="single" w:color="DDDDDD" w:sz="1"/>
          <w:bottom w:val="single" w:color="DDDDDD" w:sz="1"/>
          <w:right w:val="single" w:color="DDDDDD" w:sz="1"/>
          <w:insideH w:val="single" w:color="EEEEEE" w:sz="1"/>
          <w:insideV w:val="single" w:color="EEEEEE" w:sz="1"/>
        </w:tblBorders>
      </w:tblPr>
      <w:tblGrid>
        <w:gridCol w:w="100"/>
        <w:gridCol w:w="100"/>
        <w:gridCol w:w="100"/>
        <w:gridCol w:w="100"/>
      </w:tblGrid>
      <w:tr>
        <w:tc>
          <w:p>
            <w:r>
              <w:rPr>
                <w:b/>
                <w:bCs/>
              </w:rPr>
              <w:t xml:space="preserve">Stage</w:t>
            </w:r>
          </w:p>
        </w:tc>
        <w:tc>
          <w:p>
            <w:r>
              <w:rPr>
                <w:b/>
                <w:bCs/>
              </w:rPr>
              <w:t xml:space="preserve">Checkpoint</w:t>
            </w:r>
          </w:p>
        </w:tc>
        <w:tc>
          <w:p>
            <w:r>
              <w:rPr>
                <w:b/>
                <w:bCs/>
              </w:rPr>
              <w:t xml:space="preserve">Hold/Witness</w:t>
            </w:r>
          </w:p>
        </w:tc>
        <w:tc>
          <w:p>
            <w:r>
              <w:rPr>
                <w:b/>
                <w:bCs/>
              </w:rPr>
              <w:t xml:space="preserve">Record</w:t>
            </w:r>
          </w:p>
        </w:tc>
      </w:tr>
      <w:tr>
        <w:tc>
          <w:p>
            <w:r>
              <w:t xml:space="preserve">Material Receiving</w:t>
            </w:r>
          </w:p>
        </w:tc>
        <w:tc>
          <w:p>
            <w:r>
              <w:t xml:space="preserve">CoC, visual, type tests</w:t>
            </w:r>
          </w:p>
        </w:tc>
        <w:tc>
          <w:p>
            <w:r>
              <w:t xml:space="preserve">W</w:t>
            </w:r>
          </w:p>
        </w:tc>
        <w:tc>
          <w:p>
            <w:r>
              <w:t xml:space="preserve">RFI-01</w:t>
            </w:r>
          </w:p>
        </w:tc>
      </w:tr>
      <w:tr>
        <w:tc>
          <w:p>
            <w:r>
              <w:t xml:space="preserve">Closure/Panel Installation</w:t>
            </w:r>
          </w:p>
        </w:tc>
        <w:tc>
          <w:p>
            <w:r>
              <w:t xml:space="preserve">Level/fixings, seals, grounding, labels</w:t>
            </w:r>
          </w:p>
        </w:tc>
        <w:tc>
          <w:p>
            <w:r>
              <w:t xml:space="preserve">H</w:t>
            </w:r>
          </w:p>
        </w:tc>
        <w:tc>
          <w:p>
            <w:r>
              <w:t xml:space="preserve">ITR-10</w:t>
            </w:r>
          </w:p>
        </w:tc>
      </w:tr>
      <w:tr>
        <w:tc>
          <w:p>
            <w:r>
              <w:t xml:space="preserve">FO Cable Pulling</w:t>
            </w:r>
          </w:p>
        </w:tc>
        <w:tc>
          <w:p>
            <w:r>
              <w:t xml:space="preserve">Rollers, lubricant batch, tension log, bend/sidewall</w:t>
            </w:r>
          </w:p>
        </w:tc>
        <w:tc>
          <w:p>
            <w:r>
              <w:t xml:space="preserve">W</w:t>
            </w:r>
          </w:p>
        </w:tc>
        <w:tc>
          <w:p>
            <w:r>
              <w:t xml:space="preserve">ITR-20</w:t>
            </w:r>
          </w:p>
        </w:tc>
      </w:tr>
      <w:tr>
        <w:tc>
          <w:p>
            <w:r>
              <w:t xml:space="preserve">FO Splicing/Terminations</w:t>
            </w:r>
          </w:p>
        </w:tc>
        <w:tc>
          <w:p>
            <w:r>
              <w:t xml:space="preserve">Tray map, splice loss, polarity</w:t>
            </w:r>
          </w:p>
        </w:tc>
        <w:tc>
          <w:p>
            <w:r>
              <w:t xml:space="preserve">W</w:t>
            </w:r>
          </w:p>
        </w:tc>
        <w:tc>
          <w:p>
            <w:r>
              <w:t xml:space="preserve">ITR-30</w:t>
            </w:r>
          </w:p>
        </w:tc>
      </w:tr>
      <w:tr>
        <w:tc>
          <w:p>
            <w:r>
              <w:t xml:space="preserve">Testing (FO)</w:t>
            </w:r>
          </w:p>
        </w:tc>
        <w:tc>
          <w:p>
            <w:r>
              <w:t xml:space="preserve">OTDR/IL</w:t>
            </w:r>
          </w:p>
        </w:tc>
        <w:tc>
          <w:p>
            <w:r>
              <w:t xml:space="preserve">H</w:t>
            </w:r>
          </w:p>
        </w:tc>
        <w:tc>
          <w:p>
            <w:r>
              <w:t xml:space="preserve">ITR-40</w:t>
            </w:r>
          </w:p>
        </w:tc>
      </w:tr>
      <w:tr>
        <w:tc>
          <w:p>
            <w:r>
              <w:t xml:space="preserve">Pre-energization Review</w:t>
            </w:r>
          </w:p>
        </w:tc>
        <w:tc>
          <w:p>
            <w:r>
              <w:t xml:space="preserve">Docs complete, permits</w:t>
            </w:r>
          </w:p>
        </w:tc>
        <w:tc>
          <w:p>
            <w:r>
              <w:t xml:space="preserve">H</w:t>
            </w:r>
          </w:p>
        </w:tc>
        <w:tc>
          <w:p>
            <w:r>
              <w:t xml:space="preserve">ITR-50</w:t>
            </w:r>
          </w:p>
        </w:tc>
      </w:tr>
    </w:tbl>
    <w:p>
      <w:pPr>
        <w:pStyle w:val="Heading2"/>
        <w:jc w:val="left"/>
      </w:pPr>
      <w:r>
        <w:rPr>
          <w:sz w:val="24"/>
          <w:szCs w:val="24"/>
        </w:rPr>
        <w:t xml:space="preserve">HSE RAMS</w:t>
      </w:r>
    </w:p>
    <w:p>
      <w:pPr>
        <w:pStyle w:val="ListParagraph"/>
        <w:numPr>
          <w:ilvl w:val="0"/>
          <w:numId w:val="1"/>
        </w:numPr>
        <w:spacing w:before="60" w:after="60"/>
      </w:pPr>
      <w:r>
        <w:t xml:space="preserve">PTW process per TiN; confined space/duct entry controls; lifting plans for reels.</w:t>
      </w:r>
    </w:p>
    <w:p>
      <w:pPr>
        <w:pStyle w:val="ListParagraph"/>
        <w:numPr>
          <w:ilvl w:val="0"/>
          <w:numId w:val="1"/>
        </w:numPr>
        <w:spacing w:before="60" w:after="60"/>
      </w:pPr>
      <w:r>
        <w:t xml:space="preserve">Environmental: dewatering controls, spill kits, waste disposal; corrosion mitigation.</w:t>
      </w:r>
    </w:p>
    <w:p>
      <w:pPr>
        <w:pStyle w:val="Heading2"/>
        <w:jc w:val="left"/>
      </w:pPr>
      <w:r>
        <w:rPr>
          <w:sz w:val="24"/>
          <w:szCs w:val="24"/>
        </w:rPr>
        <w:t xml:space="preserve">Part B – Communications Detailed BoQ</w:t>
      </w:r>
    </w:p>
    <w:tbl>
      <w:tblPr>
        <w:tblW w:type="pct" w:w="100%"/>
        <w:tblBorders>
          <w:top w:val="single" w:color="DDDDDD" w:sz="1"/>
          <w:left w:val="single" w:color="DDDDDD" w:sz="1"/>
          <w:bottom w:val="single" w:color="DDDDDD" w:sz="1"/>
          <w:right w:val="single" w:color="DDDDDD" w:sz="1"/>
          <w:insideH w:val="single" w:color="EEEEEE" w:sz="1"/>
          <w:insideV w:val="single" w:color="EEEEEE" w:sz="1"/>
        </w:tblBorders>
      </w:tblPr>
      <w:tblGrid>
        <w:gridCol w:w="100"/>
        <w:gridCol w:w="100"/>
        <w:gridCol w:w="100"/>
        <w:gridCol w:w="100"/>
        <w:gridCol w:w="100"/>
      </w:tblGrid>
      <w:tr>
        <w:tc>
          <w:p>
            <w:r>
              <w:rPr>
                <w:b/>
                <w:bCs/>
              </w:rPr>
              <w:t xml:space="preserve">Item</w:t>
            </w:r>
          </w:p>
        </w:tc>
        <w:tc>
          <w:p>
            <w:r>
              <w:rPr>
                <w:b/>
                <w:bCs/>
              </w:rPr>
              <w:t xml:space="preserve">Qty</w:t>
            </w:r>
          </w:p>
        </w:tc>
        <w:tc>
          <w:p>
            <w:r>
              <w:rPr>
                <w:b/>
                <w:bCs/>
              </w:rPr>
              <w:t xml:space="preserve">Unit</w:t>
            </w:r>
          </w:p>
        </w:tc>
        <w:tc>
          <w:p>
            <w:r>
              <w:rPr>
                <w:b/>
                <w:bCs/>
              </w:rPr>
              <w:t xml:space="preserve">Unit Price (USD)</w:t>
            </w:r>
          </w:p>
        </w:tc>
        <w:tc>
          <w:p>
            <w:r>
              <w:rPr>
                <w:b/>
                <w:bCs/>
              </w:rPr>
              <w:t xml:space="preserve">Amount (USD)</w:t>
            </w:r>
          </w:p>
        </w:tc>
      </w:tr>
      <w:tr>
        <w:tc>
          <w:p>
            <w:r>
              <w:t xml:space="preserve">OS2 FO Cable</w:t>
            </w:r>
          </w:p>
        </w:tc>
        <w:tc>
          <w:p>
            <w:r>
              <w:t xml:space="preserve">1,600</w:t>
            </w:r>
          </w:p>
        </w:tc>
        <w:tc>
          <w:p>
            <w:r>
              <w:t xml:space="preserve">Lm</w:t>
            </w:r>
          </w:p>
        </w:tc>
        <w:tc>
          <w:p>
            <w:r>
              <w:t xml:space="preserve">1.50</w:t>
            </w:r>
          </w:p>
        </w:tc>
        <w:tc>
          <w:p>
            <w:r>
              <w:t xml:space="preserve">2,400.00</w:t>
            </w:r>
          </w:p>
        </w:tc>
      </w:tr>
      <w:tr>
        <w:tc>
          <w:p>
            <w:r>
              <w:t xml:space="preserve">IP68 FO Closures</w:t>
            </w:r>
          </w:p>
        </w:tc>
        <w:tc>
          <w:p>
            <w:r>
              <w:t xml:space="preserve">2</w:t>
            </w:r>
          </w:p>
        </w:tc>
        <w:tc>
          <w:p>
            <w:r>
              <w:t xml:space="preserve">EA</w:t>
            </w:r>
          </w:p>
        </w:tc>
        <w:tc>
          <w:p>
            <w:r>
              <w:t xml:space="preserve">350.00</w:t>
            </w:r>
          </w:p>
        </w:tc>
        <w:tc>
          <w:p>
            <w:r>
              <w:t xml:space="preserve">700.00</w:t>
            </w:r>
          </w:p>
        </w:tc>
      </w:tr>
      <w:tr>
        <w:tc>
          <w:p>
            <w:r>
              <w:t xml:space="preserve">LC/UPC Rack Panels</w:t>
            </w:r>
          </w:p>
        </w:tc>
        <w:tc>
          <w:p>
            <w:r>
              <w:t xml:space="preserve">2</w:t>
            </w:r>
          </w:p>
        </w:tc>
        <w:tc>
          <w:p>
            <w:r>
              <w:t xml:space="preserve">EA</w:t>
            </w:r>
          </w:p>
        </w:tc>
        <w:tc>
          <w:p>
            <w:r>
              <w:t xml:space="preserve">280.00</w:t>
            </w:r>
          </w:p>
        </w:tc>
        <w:tc>
          <w:p>
            <w:r>
              <w:t xml:space="preserve">560.00</w:t>
            </w:r>
          </w:p>
        </w:tc>
      </w:tr>
      <w:tr>
        <w:tc>
          <w:p>
            <w:r>
              <w:t xml:space="preserve">Pigtails &amp; Patch Cords</w:t>
            </w:r>
          </w:p>
        </w:tc>
        <w:tc>
          <w:p>
            <w:r>
              <w:t xml:space="preserve">36</w:t>
            </w:r>
          </w:p>
        </w:tc>
        <w:tc>
          <w:p>
            <w:r>
              <w:t xml:space="preserve">EA</w:t>
            </w:r>
          </w:p>
        </w:tc>
        <w:tc>
          <w:p>
            <w:r>
              <w:t xml:space="preserve">12.00</w:t>
            </w:r>
          </w:p>
        </w:tc>
        <w:tc>
          <w:p>
            <w:r>
              <w:t xml:space="preserve">432.00</w:t>
            </w:r>
          </w:p>
        </w:tc>
      </w:tr>
      <w:tr>
        <w:tc>
          <w:p>
            <w:r>
              <w:t xml:space="preserve">Rack Accessories</w:t>
            </w:r>
          </w:p>
        </w:tc>
        <w:tc>
          <w:p>
            <w:r>
              <w:t xml:space="preserve">1</w:t>
            </w:r>
          </w:p>
        </w:tc>
        <w:tc>
          <w:p>
            <w:r>
              <w:t xml:space="preserve">Lot</w:t>
            </w:r>
          </w:p>
        </w:tc>
        <w:tc>
          <w:p>
            <w:r>
              <w:t xml:space="preserve">350.00</w:t>
            </w:r>
          </w:p>
        </w:tc>
        <w:tc>
          <w:p>
            <w:r>
              <w:t xml:space="preserve">350.00</w:t>
            </w:r>
          </w:p>
        </w:tc>
      </w:tr>
      <w:tr>
        <w:tc>
          <w:p>
            <w:r>
              <w:t xml:space="preserve">Labels/Tags (TIA-606)</w:t>
            </w:r>
          </w:p>
        </w:tc>
        <w:tc>
          <w:p>
            <w:r>
              <w:t xml:space="preserve">1</w:t>
            </w:r>
          </w:p>
        </w:tc>
        <w:tc>
          <w:p>
            <w:r>
              <w:t xml:space="preserve">Lot</w:t>
            </w:r>
          </w:p>
        </w:tc>
        <w:tc>
          <w:p>
            <w:r>
              <w:t xml:space="preserve">200.00</w:t>
            </w:r>
          </w:p>
        </w:tc>
        <w:tc>
          <w:p>
            <w:r>
              <w:t xml:space="preserve">200.00</w:t>
            </w:r>
          </w:p>
        </w:tc>
      </w:tr>
      <w:tr>
        <w:tc>
          <w:p>
            <w:r>
              <w:t xml:space="preserve">Splicing &amp; Testing</w:t>
            </w:r>
          </w:p>
        </w:tc>
        <w:tc>
          <w:p>
            <w:r>
              <w:t xml:space="preserve">1</w:t>
            </w:r>
          </w:p>
        </w:tc>
        <w:tc>
          <w:p>
            <w:r>
              <w:t xml:space="preserve">Lot</w:t>
            </w:r>
          </w:p>
        </w:tc>
        <w:tc>
          <w:p>
            <w:r>
              <w:t xml:space="preserve">2,200.00</w:t>
            </w:r>
          </w:p>
        </w:tc>
        <w:tc>
          <w:p>
            <w:r>
              <w:t xml:space="preserve">2,200.00</w:t>
            </w:r>
          </w:p>
        </w:tc>
      </w:tr>
      <w:tr>
        <w:tc>
          <w:p>
            <w:r>
              <w:t xml:space="preserve">Installation &amp; Commissioning</w:t>
            </w:r>
          </w:p>
        </w:tc>
        <w:tc>
          <w:p>
            <w:r>
              <w:t xml:space="preserve">1</w:t>
            </w:r>
          </w:p>
        </w:tc>
        <w:tc>
          <w:p>
            <w:r>
              <w:t xml:space="preserve">Lot</w:t>
            </w:r>
          </w:p>
        </w:tc>
        <w:tc>
          <w:p>
            <w:r>
              <w:t xml:space="preserve">6,000.00</w:t>
            </w:r>
          </w:p>
        </w:tc>
        <w:tc>
          <w:p>
            <w:r>
              <w:t xml:space="preserve">6,000.00</w:t>
            </w:r>
          </w:p>
        </w:tc>
      </w:tr>
      <w:tr>
        <w:tc>
          <w:p>
            <w:r>
              <w:t xml:space="preserve">TOTAL</w:t>
            </w:r>
          </w:p>
        </w:tc>
        <w:tc>
          <w:p>
            <w:r>
              <w:t xml:space="preserve"/>
            </w:r>
          </w:p>
        </w:tc>
        <w:tc>
          <w:p>
            <w:r>
              <w:t xml:space="preserve"/>
            </w:r>
          </w:p>
        </w:tc>
        <w:tc>
          <w:p>
            <w:r>
              <w:t xml:space="preserve"/>
            </w:r>
          </w:p>
        </w:tc>
        <w:tc>
          <w:p>
            <w:r>
              <w:t xml:space="preserve">12842.00</w:t>
            </w:r>
          </w:p>
        </w:tc>
      </w:tr>
    </w:tbl>
    <w:p>
      <w:pPr>
        <w:pStyle w:val="Heading2"/>
        <w:jc w:val="left"/>
      </w:pPr>
      <w:r>
        <w:rPr>
          <w:sz w:val="24"/>
          <w:szCs w:val="24"/>
        </w:rPr>
        <w:t xml:space="preserve">Part B – Communications Bill of Quantities (BoQ)</w:t>
      </w:r>
    </w:p>
    <w:tbl>
      <w:tblPr>
        <w:tblW w:type="pct" w:w="100%"/>
        <w:tblBorders>
          <w:top w:val="single" w:color="DDDDDD" w:sz="1"/>
          <w:left w:val="single" w:color="DDDDDD" w:sz="1"/>
          <w:bottom w:val="single" w:color="DDDDDD" w:sz="1"/>
          <w:right w:val="single" w:color="DDDDDD" w:sz="1"/>
          <w:insideH w:val="single" w:color="EEEEEE" w:sz="1"/>
          <w:insideV w:val="single" w:color="EEEEEE" w:sz="1"/>
        </w:tblBorders>
      </w:tblPr>
      <w:tblGrid>
        <w:gridCol w:w="100"/>
        <w:gridCol w:w="100"/>
        <w:gridCol w:w="100"/>
        <w:gridCol w:w="100"/>
        <w:gridCol w:w="100"/>
        <w:gridCol w:w="100"/>
      </w:tblGrid>
      <w:tr>
        <w:tc>
          <w:p>
            <w:r>
              <w:rPr>
                <w:b/>
                <w:bCs/>
              </w:rPr>
              <w:t xml:space="preserve">Item</w:t>
            </w:r>
          </w:p>
        </w:tc>
        <w:tc>
          <w:p>
            <w:r>
              <w:rPr>
                <w:b/>
                <w:bCs/>
              </w:rPr>
              <w:t xml:space="preserve">Description / Spec</w:t>
            </w:r>
          </w:p>
        </w:tc>
        <w:tc>
          <w:p>
            <w:r>
              <w:rPr>
                <w:b/>
                <w:bCs/>
              </w:rPr>
              <w:t xml:space="preserve">Qty</w:t>
            </w:r>
          </w:p>
        </w:tc>
        <w:tc>
          <w:p>
            <w:r>
              <w:rPr>
                <w:b/>
                <w:bCs/>
              </w:rPr>
              <w:t xml:space="preserve">Unit</w:t>
            </w:r>
          </w:p>
        </w:tc>
        <w:tc>
          <w:p>
            <w:r>
              <w:rPr>
                <w:b/>
                <w:bCs/>
              </w:rPr>
              <w:t xml:space="preserve">Unit Price (USD)</w:t>
            </w:r>
          </w:p>
        </w:tc>
        <w:tc>
          <w:p>
            <w:r>
              <w:rPr>
                <w:b/>
                <w:bCs/>
              </w:rPr>
              <w:t xml:space="preserve">Amount (USD)</w:t>
            </w:r>
          </w:p>
        </w:tc>
      </w:tr>
      <w:tr>
        <w:tc>
          <w:p>
            <w:r>
              <w:t xml:space="preserve">OS2 FO Cable</w:t>
            </w:r>
          </w:p>
        </w:tc>
        <w:tc>
          <w:p>
            <w:r>
              <w:t xml:space="preserve">9/125 μm single-mode, duct-grade, dielectric/armoured TBC</w:t>
            </w:r>
          </w:p>
        </w:tc>
        <w:tc>
          <w:p>
            <w:r>
              <w:t xml:space="preserve">1600</w:t>
            </w:r>
          </w:p>
        </w:tc>
        <w:tc>
          <w:p>
            <w:r>
              <w:t xml:space="preserve">Lm</w:t>
            </w:r>
          </w:p>
        </w:tc>
        <w:tc>
          <w:p>
            <w:r>
              <w:t xml:space="preserve">$1.50</w:t>
            </w:r>
          </w:p>
        </w:tc>
        <w:tc>
          <w:p>
            <w:r>
              <w:t xml:space="preserve">$2400.00</w:t>
            </w:r>
          </w:p>
        </w:tc>
      </w:tr>
      <w:tr>
        <w:tc>
          <w:p>
            <w:r>
              <w:t xml:space="preserve">FO Closures</w:t>
            </w:r>
          </w:p>
        </w:tc>
        <w:tc>
          <w:p>
            <w:r>
              <w:t xml:space="preserve">IP68 splice closures with trays (CTP6)</w:t>
            </w:r>
          </w:p>
        </w:tc>
        <w:tc>
          <w:p>
            <w:r>
              <w:t xml:space="preserve">2</w:t>
            </w:r>
          </w:p>
        </w:tc>
        <w:tc>
          <w:p>
            <w:r>
              <w:t xml:space="preserve">EA</w:t>
            </w:r>
          </w:p>
        </w:tc>
        <w:tc>
          <w:p>
            <w:r>
              <w:t xml:space="preserve">$350.00</w:t>
            </w:r>
          </w:p>
        </w:tc>
        <w:tc>
          <w:p>
            <w:r>
              <w:t xml:space="preserve">$700.00</w:t>
            </w:r>
          </w:p>
        </w:tc>
      </w:tr>
      <w:tr>
        <w:tc>
          <w:p>
            <w:r>
              <w:t xml:space="preserve">Patch Panels</w:t>
            </w:r>
          </w:p>
        </w:tc>
        <w:tc>
          <w:p>
            <w:r>
              <w:t xml:space="preserve">19" LC/UPC 24F/48F panels (Cargo Building)</w:t>
            </w:r>
          </w:p>
        </w:tc>
        <w:tc>
          <w:p>
            <w:r>
              <w:t xml:space="preserve">2</w:t>
            </w:r>
          </w:p>
        </w:tc>
        <w:tc>
          <w:p>
            <w:r>
              <w:t xml:space="preserve">EA</w:t>
            </w:r>
          </w:p>
        </w:tc>
        <w:tc>
          <w:p>
            <w:r>
              <w:t xml:space="preserve">$280.00</w:t>
            </w:r>
          </w:p>
        </w:tc>
        <w:tc>
          <w:p>
            <w:r>
              <w:t xml:space="preserve">$560.00</w:t>
            </w:r>
          </w:p>
        </w:tc>
      </w:tr>
      <w:tr>
        <w:tc>
          <w:p>
            <w:r>
              <w:t xml:space="preserve">Pigtails &amp; Patch Cords</w:t>
            </w:r>
          </w:p>
        </w:tc>
        <w:tc>
          <w:p>
            <w:r>
              <w:t xml:space="preserve">LC/UPC G.652.D</w:t>
            </w:r>
          </w:p>
        </w:tc>
        <w:tc>
          <w:p>
            <w:r>
              <w:t xml:space="preserve">36</w:t>
            </w:r>
          </w:p>
        </w:tc>
        <w:tc>
          <w:p>
            <w:r>
              <w:t xml:space="preserve">EA</w:t>
            </w:r>
          </w:p>
        </w:tc>
        <w:tc>
          <w:p>
            <w:r>
              <w:t xml:space="preserve">$12.00</w:t>
            </w:r>
          </w:p>
        </w:tc>
        <w:tc>
          <w:p>
            <w:r>
              <w:t xml:space="preserve">$432.00</w:t>
            </w:r>
          </w:p>
        </w:tc>
      </w:tr>
      <w:tr>
        <w:tc>
          <w:p>
            <w:r>
              <w:t xml:space="preserve">Rack Accessories</w:t>
            </w:r>
          </w:p>
        </w:tc>
        <w:tc>
          <w:p>
            <w:r>
              <w:t xml:space="preserve">Cable mgmt, blanks, grounding</w:t>
            </w:r>
          </w:p>
        </w:tc>
        <w:tc>
          <w:p>
            <w:r>
              <w:t xml:space="preserve">1</w:t>
            </w:r>
          </w:p>
        </w:tc>
        <w:tc>
          <w:p>
            <w:r>
              <w:t xml:space="preserve">Lot</w:t>
            </w:r>
          </w:p>
        </w:tc>
        <w:tc>
          <w:p>
            <w:r>
              <w:t xml:space="preserve">$350.00</w:t>
            </w:r>
          </w:p>
        </w:tc>
        <w:tc>
          <w:p>
            <w:r>
              <w:t xml:space="preserve">$350.00</w:t>
            </w:r>
          </w:p>
        </w:tc>
      </w:tr>
      <w:tr>
        <w:tc>
          <w:p>
            <w:r>
              <w:t xml:space="preserve">Labels/Tags</w:t>
            </w:r>
          </w:p>
        </w:tc>
        <w:tc>
          <w:p>
            <w:r>
              <w:t xml:space="preserve">TIA-606 compliant</w:t>
            </w:r>
          </w:p>
        </w:tc>
        <w:tc>
          <w:p>
            <w:r>
              <w:t xml:space="preserve">1</w:t>
            </w:r>
          </w:p>
        </w:tc>
        <w:tc>
          <w:p>
            <w:r>
              <w:t xml:space="preserve">Lot</w:t>
            </w:r>
          </w:p>
        </w:tc>
        <w:tc>
          <w:p>
            <w:r>
              <w:t xml:space="preserve">$200.00</w:t>
            </w:r>
          </w:p>
        </w:tc>
        <w:tc>
          <w:p>
            <w:r>
              <w:t xml:space="preserve">$200.00</w:t>
            </w:r>
          </w:p>
        </w:tc>
      </w:tr>
      <w:tr>
        <w:tc>
          <w:p>
            <w:r>
              <w:t xml:space="preserve">Splicing &amp; Testing</w:t>
            </w:r>
          </w:p>
        </w:tc>
        <w:tc>
          <w:p>
            <w:r>
              <w:t xml:space="preserve">Fusion splice, OTDR/IL with reports</w:t>
            </w:r>
          </w:p>
        </w:tc>
        <w:tc>
          <w:p>
            <w:r>
              <w:t xml:space="preserve">1</w:t>
            </w:r>
          </w:p>
        </w:tc>
        <w:tc>
          <w:p>
            <w:r>
              <w:t xml:space="preserve">Lot</w:t>
            </w:r>
          </w:p>
        </w:tc>
        <w:tc>
          <w:p>
            <w:r>
              <w:t xml:space="preserve">$2200.00</w:t>
            </w:r>
          </w:p>
        </w:tc>
        <w:tc>
          <w:p>
            <w:r>
              <w:t xml:space="preserve">$2200.00</w:t>
            </w:r>
          </w:p>
        </w:tc>
      </w:tr>
      <w:tr>
        <w:tc>
          <w:p>
            <w:r>
              <w:t xml:space="preserve">Installation &amp; Commissioning</w:t>
            </w:r>
          </w:p>
        </w:tc>
        <w:tc>
          <w:p>
            <w:r>
              <w:t xml:space="preserve">FO works labor</w:t>
            </w:r>
          </w:p>
        </w:tc>
        <w:tc>
          <w:p>
            <w:r>
              <w:t xml:space="preserve">1</w:t>
            </w:r>
          </w:p>
        </w:tc>
        <w:tc>
          <w:p>
            <w:r>
              <w:t xml:space="preserve">Lot</w:t>
            </w:r>
          </w:p>
        </w:tc>
        <w:tc>
          <w:p>
            <w:r>
              <w:t xml:space="preserve">$6000.00</w:t>
            </w:r>
          </w:p>
        </w:tc>
        <w:tc>
          <w:p>
            <w:r>
              <w:t xml:space="preserve">$6000.00</w:t>
            </w:r>
          </w:p>
        </w:tc>
      </w:tr>
      <w:tr>
        <w:tc>
          <w:p>
            <w:r>
              <w:t xml:space="preserve">TOTAL</w:t>
            </w:r>
          </w:p>
        </w:tc>
        <w:tc>
          <w:p>
            <w:r>
              <w:t xml:space="preserve"/>
            </w:r>
          </w:p>
        </w:tc>
        <w:tc>
          <w:p>
            <w:r>
              <w:t xml:space="preserve"/>
            </w:r>
          </w:p>
        </w:tc>
        <w:tc>
          <w:p>
            <w:r>
              <w:t xml:space="preserve"/>
            </w:r>
          </w:p>
        </w:tc>
        <w:tc>
          <w:p>
            <w:r>
              <w:t xml:space="preserve"/>
            </w:r>
          </w:p>
        </w:tc>
        <w:tc>
          <w:p>
            <w:r>
              <w:t xml:space="preserve">12842.00</w:t>
            </w:r>
          </w:p>
        </w:tc>
      </w:tr>
    </w:tbl>
    <w:p>
      <w:pPr>
        <w:pStyle w:val="Heading2"/>
        <w:jc w:val="left"/>
      </w:pPr>
      <w:r>
        <w:rPr>
          <w:sz w:val="24"/>
          <w:szCs w:val="24"/>
        </w:rPr>
        <w:t xml:space="preserve">Part B – Communications Commercial Offer</w:t>
      </w:r>
    </w:p>
    <w:p>
      <w:pPr>
        <w:pStyle w:val="Heading3"/>
        <w:jc w:val="left"/>
      </w:pPr>
      <w:r>
        <w:rPr>
          <w:sz w:val="24"/>
          <w:szCs w:val="24"/>
        </w:rPr>
        <w:t xml:space="preserve">Payment Schedule</w:t>
      </w:r>
    </w:p>
    <w:tbl>
      <w:tblPr>
        <w:tblW w:type="pct" w:w="100%"/>
        <w:tblBorders>
          <w:top w:val="single" w:color="DDDDDD" w:sz="1"/>
          <w:left w:val="single" w:color="DDDDDD" w:sz="1"/>
          <w:bottom w:val="single" w:color="DDDDDD" w:sz="1"/>
          <w:right w:val="single" w:color="DDDDDD" w:sz="1"/>
          <w:insideH w:val="single" w:color="EEEEEE" w:sz="1"/>
          <w:insideV w:val="single" w:color="EEEEEE" w:sz="1"/>
        </w:tblBorders>
      </w:tblPr>
      <w:tblGrid>
        <w:gridCol w:w="100"/>
      </w:tblGrid>
      <w:tr>
        <w:tc>
          <w:p>
            <w:r>
              <w:rPr>
                <w:b/>
                <w:bCs/>
              </w:rPr>
              <w:t xml:space="preserve">Milestone</w:t>
            </w:r>
          </w:p>
        </w:tc>
      </w:tr>
      <w:tr>
        <w:tc>
          <w:p>
            <w:r>
              <w:t xml:space="preserve">20% advance</w:t>
            </w:r>
          </w:p>
        </w:tc>
      </w:tr>
      <w:tr>
        <w:tc>
          <w:p>
            <w:r>
              <w:t xml:space="preserve">30% materials on site</w:t>
            </w:r>
          </w:p>
        </w:tc>
      </w:tr>
      <w:tr>
        <w:tc>
          <w:p>
            <w:r>
              <w:t xml:space="preserve">30% substantial completion</w:t>
            </w:r>
          </w:p>
        </w:tc>
      </w:tr>
      <w:tr>
        <w:tc>
          <w:p>
            <w:r>
              <w:t xml:space="preserve">10% T&amp;C</w:t>
            </w:r>
          </w:p>
        </w:tc>
      </w:tr>
      <w:tr>
        <w:tc>
          <w:p>
            <w:r>
              <w:t xml:space="preserve">10% final handover &amp; legalisation</w:t>
            </w:r>
          </w:p>
        </w:tc>
      </w:tr>
    </w:tbl>
    <w:p>
      <w:pPr>
        <w:pStyle w:val="Heading3"/>
        <w:jc w:val="left"/>
      </w:pPr>
      <w:r>
        <w:rPr>
          <w:sz w:val="24"/>
          <w:szCs w:val="24"/>
        </w:rPr>
        <w:t xml:space="preserve">Warranty</w:t>
      </w:r>
    </w:p>
    <w:p>
      <w:pPr>
        <w:jc w:val="left"/>
      </w:pPr>
      <w:r>
        <w:rPr>
          <w:sz w:val="24"/>
          <w:szCs w:val="24"/>
        </w:rPr>
        <w:t xml:space="preserve">12 months minimum; optional 24 months</w:t>
      </w:r>
    </w:p>
    <w:p>
      <w:pPr>
        <w:pStyle w:val="Heading3"/>
        <w:jc w:val="left"/>
      </w:pPr>
      <w:r>
        <w:rPr>
          <w:sz w:val="24"/>
          <w:szCs w:val="24"/>
        </w:rPr>
        <w:t xml:space="preserve">Exclusions</w:t>
      </w:r>
    </w:p>
    <w:p>
      <w:pPr>
        <w:pStyle w:val="ListParagraph"/>
        <w:numPr>
          <w:ilvl w:val="0"/>
          <w:numId w:val="1"/>
        </w:numPr>
        <w:spacing w:before="60" w:after="60"/>
      </w:pPr>
      <w:r>
        <w:t xml:space="preserve">Active network switches unless specified</w:t>
      </w:r>
    </w:p>
    <w:p>
      <w:pPr>
        <w:pStyle w:val="ListParagraph"/>
        <w:numPr>
          <w:ilvl w:val="0"/>
          <w:numId w:val="1"/>
        </w:numPr>
        <w:spacing w:before="60" w:after="60"/>
      </w:pPr>
      <w:r>
        <w:t xml:space="preserve">Civil works beyond duct access</w:t>
      </w:r>
    </w:p>
    <w:p>
      <w:pPr>
        <w:pStyle w:val="Heading3"/>
        <w:jc w:val="left"/>
      </w:pPr>
      <w:r>
        <w:rPr>
          <w:sz w:val="24"/>
          <w:szCs w:val="24"/>
        </w:rPr>
        <w:t xml:space="preserve">Employer-Supplied Items</w:t>
      </w:r>
    </w:p>
    <w:p>
      <w:pPr>
        <w:pStyle w:val="ListParagraph"/>
        <w:numPr>
          <w:ilvl w:val="0"/>
          <w:numId w:val="1"/>
        </w:numPr>
        <w:spacing w:before="60" w:after="60"/>
      </w:pPr>
      <w:r>
        <w:t xml:space="preserve">FO racks in Cargo Building (per V3.1)</w:t>
      </w:r>
    </w:p>
    <w:p>
      <w:pPr>
        <w:pStyle w:val="Heading1"/>
        <w:pageBreakBefore/>
        <w:jc w:val="left"/>
      </w:pPr>
      <w:r>
        <w:rPr>
          <w:sz w:val="24"/>
          <w:szCs w:val="24"/>
        </w:rPr>
        <w:t xml:space="preserve">Engineering Calculations &amp; Acceptance Criteria</w:t>
      </w:r>
    </w:p>
    <w:p>
      <w:pPr>
        <w:pStyle w:val="Heading2"/>
        <w:jc w:val="left"/>
      </w:pPr>
      <w:r>
        <w:rPr>
          <w:sz w:val="24"/>
          <w:szCs w:val="24"/>
        </w:rPr>
        <w:t xml:space="preserve">MV Cable Sizing &amp; Volt Drop (example criteria)</w:t>
      </w:r>
    </w:p>
    <w:p>
      <w:pPr>
        <w:pStyle w:val="ListParagraph"/>
        <w:numPr>
          <w:ilvl w:val="0"/>
          <w:numId w:val="1"/>
        </w:numPr>
        <w:spacing w:before="60" w:after="60"/>
      </w:pPr>
      <w:r>
        <w:t xml:space="preserve">Design current Ib from ZPMC load; select cable with Iz ≥ Ib·k (derating for ambient, grouping).</w:t>
      </w:r>
    </w:p>
    <w:p>
      <w:pPr>
        <w:pStyle w:val="ListParagraph"/>
        <w:numPr>
          <w:ilvl w:val="0"/>
          <w:numId w:val="1"/>
        </w:numPr>
        <w:spacing w:before="60" w:after="60"/>
      </w:pPr>
      <w:r>
        <w:t xml:space="preserve">Short-circuit check: I²t withstand vs prospective Ik''; verify thermal/mechanical withstand per IEC 60949.</w:t>
      </w:r>
    </w:p>
    <w:p>
      <w:pPr>
        <w:pStyle w:val="ListParagraph"/>
        <w:numPr>
          <w:ilvl w:val="0"/>
          <w:numId w:val="1"/>
        </w:numPr>
        <w:spacing w:before="60" w:after="60"/>
      </w:pPr>
      <w:r>
        <w:t xml:space="preserve">Volt drop: ΔV = I·(R·cosφ + X·sinφ)·L. Acceptance: ≤ 5% at full load feeder end (project criterion), ≤ 3% typical.</w:t>
      </w:r>
    </w:p>
    <w:p>
      <w:pPr>
        <w:pStyle w:val="ListParagraph"/>
        <w:numPr>
          <w:ilvl w:val="0"/>
          <w:numId w:val="1"/>
        </w:numPr>
        <w:spacing w:before="60" w:after="60"/>
      </w:pPr>
      <w:r>
        <w:t xml:space="preserve">Termination torque per manufacturer; record in torque log.</w:t>
      </w:r>
    </w:p>
    <w:p>
      <w:pPr>
        <w:pStyle w:val="Heading2"/>
        <w:jc w:val="left"/>
      </w:pPr>
      <w:r>
        <w:rPr>
          <w:sz w:val="24"/>
          <w:szCs w:val="24"/>
        </w:rPr>
        <w:t xml:space="preserve">Earthing &amp; Bonding</w:t>
      </w:r>
    </w:p>
    <w:p>
      <w:pPr>
        <w:pStyle w:val="ListParagraph"/>
        <w:numPr>
          <w:ilvl w:val="0"/>
          <w:numId w:val="1"/>
        </w:numPr>
        <w:spacing w:before="60" w:after="60"/>
      </w:pPr>
      <w:r>
        <w:t xml:space="preserve">Target earth resistance and step/touch voltage compliance per IEC 61936-1; continuity test ≤ 1 Ω pit-to-grid.</w:t>
      </w:r>
    </w:p>
    <w:p>
      <w:pPr>
        <w:pStyle w:val="ListParagraph"/>
        <w:numPr>
          <w:ilvl w:val="0"/>
          <w:numId w:val="1"/>
        </w:numPr>
        <w:spacing w:before="60" w:after="60"/>
      </w:pPr>
      <w:r>
        <w:t xml:space="preserve">Sheath bonding scheme to avoid circulating currents; bond drums/JBs to grid with labeled test links.</w:t>
      </w:r>
    </w:p>
    <w:p>
      <w:pPr>
        <w:pStyle w:val="Heading2"/>
        <w:jc w:val="left"/>
      </w:pPr>
      <w:r>
        <w:rPr>
          <w:sz w:val="24"/>
          <w:szCs w:val="24"/>
        </w:rPr>
        <w:t xml:space="preserve">Fibre Optical Budget (worked form)</w:t>
      </w:r>
    </w:p>
    <w:p>
      <w:pPr>
        <w:pStyle w:val="ListParagraph"/>
        <w:numPr>
          <w:ilvl w:val="0"/>
          <w:numId w:val="1"/>
        </w:numPr>
        <w:spacing w:before="60" w:after="60"/>
      </w:pPr>
      <w:r>
        <w:t xml:space="preserve">Loss_total = α·L + N_c·L_c + N_s·L_s + margin.</w:t>
      </w:r>
    </w:p>
    <w:p>
      <w:pPr>
        <w:pStyle w:val="ListParagraph"/>
        <w:numPr>
          <w:ilvl w:val="0"/>
          <w:numId w:val="1"/>
        </w:numPr>
        <w:spacing w:before="60" w:after="60"/>
      </w:pPr>
      <w:r>
        <w:t xml:space="preserve">Example: α=0.35 dB/km @1310 nm, L=0.8 km, N_c=2, L_c=0.25 dB, N_s=4, L_s=0.1 dB, margin=3 dB → ≈ 4.18 dB.</w:t>
      </w:r>
    </w:p>
    <w:p>
      <w:pPr>
        <w:pStyle w:val="ListParagraph"/>
        <w:numPr>
          <w:ilvl w:val="0"/>
          <w:numId w:val="1"/>
        </w:numPr>
        <w:spacing w:before="60" w:after="60"/>
      </w:pPr>
      <w:r>
        <w:t xml:space="preserve">Acceptance: IL ≤ 2.0 dB typical for single splice/patch path; OTDR traces clean, no macro-bends; polarity verified.</w:t>
      </w:r>
    </w:p>
    <w:p>
      <w:pPr>
        <w:pStyle w:val="Heading1"/>
        <w:pageBreakBefore/>
        <w:jc w:val="left"/>
      </w:pPr>
      <w:r>
        <w:rPr>
          <w:sz w:val="24"/>
          <w:szCs w:val="24"/>
        </w:rPr>
        <w:t xml:space="preserve">Network &amp; Cybersecurity Design</w:t>
      </w:r>
    </w:p>
    <w:p>
      <w:pPr>
        <w:pStyle w:val="Heading2"/>
        <w:jc w:val="left"/>
      </w:pPr>
      <w:r>
        <w:rPr>
          <w:sz w:val="24"/>
          <w:szCs w:val="24"/>
        </w:rPr>
        <w:t xml:space="preserve">Logical Topology</w:t>
      </w:r>
    </w:p>
    <w:p>
      <w:pPr>
        <w:pStyle w:val="ListParagraph"/>
        <w:numPr>
          <w:ilvl w:val="0"/>
          <w:numId w:val="1"/>
        </w:numPr>
        <w:spacing w:before="60" w:after="60"/>
      </w:pPr>
      <w:r>
        <w:t xml:space="preserve">VLANs: 200 Mgmt, 210 STS05 OT, 220 STS06 OT; 802.1Q trunk to OT core; ACLs block inter-VLAN except mgmt jump host.</w:t>
      </w:r>
    </w:p>
    <w:p>
      <w:pPr>
        <w:pStyle w:val="Heading2"/>
        <w:jc w:val="left"/>
      </w:pPr>
      <w:r>
        <w:rPr>
          <w:sz w:val="24"/>
          <w:szCs w:val="24"/>
        </w:rPr>
        <w:t xml:space="preserve">ACL Example (illustrative)</w:t>
      </w:r>
    </w:p>
    <w:p>
      <w:pPr>
        <w:spacing w:before="120" w:after="0"/>
      </w:pPr>
      <w:r>
        <w:rPr>
          <w:sz w:val="22"/>
          <w:szCs w:val="22"/>
          <w:rFonts w:ascii="Courier New" w:cs="Courier New" w:eastAsia="Courier New" w:hAnsi="Courier New"/>
        </w:rPr>
        <w:t xml:space="preserve">deny ip vlan210 any vlan220 any</w:t>
      </w:r>
    </w:p>
    <w:p>
      <w:pPr>
        <w:spacing w:before="0" w:after="0"/>
      </w:pPr>
      <w:r>
        <w:rPr>
          <w:sz w:val="22"/>
          <w:szCs w:val="22"/>
          <w:rFonts w:ascii="Courier New" w:cs="Courier New" w:eastAsia="Courier New" w:hAnsi="Courier New"/>
        </w:rPr>
        <w:t xml:space="preserve">permit tcp vlan210 host &lt;mgmt&gt; eq 22</w:t>
      </w:r>
    </w:p>
    <w:p>
      <w:pPr>
        <w:spacing w:before="0" w:after="0"/>
      </w:pPr>
      <w:r>
        <w:rPr>
          <w:sz w:val="22"/>
          <w:szCs w:val="22"/>
          <w:rFonts w:ascii="Courier New" w:cs="Courier New" w:eastAsia="Courier New" w:hAnsi="Courier New"/>
        </w:rPr>
        <w:t xml:space="preserve">permit icmp vlan210 host &lt;ntp&gt;</w:t>
      </w:r>
    </w:p>
    <w:p>
      <w:pPr>
        <w:spacing w:before="0" w:after="0"/>
      </w:pPr>
      <w:r>
        <w:rPr>
          <w:sz w:val="22"/>
          <w:szCs w:val="22"/>
          <w:rFonts w:ascii="Courier New" w:cs="Courier New" w:eastAsia="Courier New" w:hAnsi="Courier New"/>
        </w:rPr>
        <w:t xml:space="preserve">deny ip any any log</w:t>
      </w:r>
    </w:p>
    <w:p>
      <w:pPr>
        <w:spacing w:after="120"/>
      </w:pPr>
    </w:p>
    <w:p>
      <w:pPr>
        <w:pStyle w:val="Heading2"/>
        <w:jc w:val="left"/>
      </w:pPr>
      <w:r>
        <w:rPr>
          <w:sz w:val="24"/>
          <w:szCs w:val="24"/>
        </w:rPr>
        <w:t xml:space="preserve">Services</w:t>
      </w:r>
    </w:p>
    <w:p>
      <w:pPr>
        <w:pStyle w:val="ListParagraph"/>
        <w:numPr>
          <w:ilvl w:val="0"/>
          <w:numId w:val="1"/>
        </w:numPr>
        <w:spacing w:before="60" w:after="60"/>
      </w:pPr>
      <w:r>
        <w:t xml:space="preserve">Time: NTP/PTP as per TiN; Syslog to SIEM; SNMPv3 to NMS; backups encrypted; role-based access.</w:t>
      </w:r>
    </w:p>
    <w:p>
      <w:pPr>
        <w:pStyle w:val="ListParagraph"/>
        <w:numPr>
          <w:ilvl w:val="0"/>
          <w:numId w:val="1"/>
        </w:numPr>
        <w:spacing w:before="60" w:after="60"/>
      </w:pPr>
      <w:r>
        <w:t xml:space="preserve">Security: firewall OT/IT demilitarized zone; MFA for admin; allowlist MACs on edge switches.</w:t>
      </w:r>
    </w:p>
    <w:p>
      <w:pPr>
        <w:pStyle w:val="Heading1"/>
        <w:pageBreakBefore/>
        <w:jc w:val="left"/>
      </w:pPr>
      <w:r>
        <w:rPr>
          <w:sz w:val="24"/>
          <w:szCs w:val="24"/>
        </w:rPr>
        <w:t xml:space="preserve">Hardware Bill of Materials (representative or equivalent)</w:t>
      </w:r>
    </w:p>
    <w:p>
      <w:pPr>
        <w:pStyle w:val="ListParagraph"/>
        <w:numPr>
          <w:ilvl w:val="0"/>
          <w:numId w:val="1"/>
        </w:numPr>
        <w:spacing w:before="60" w:after="60"/>
      </w:pPr>
      <w:r>
        <w:t xml:space="preserve">MV termination/joint kits (e.g., Raychem/3M, IEC 60502-2 type-tested).</w:t>
      </w:r>
    </w:p>
    <w:p>
      <w:pPr>
        <w:pStyle w:val="ListParagraph"/>
        <w:numPr>
          <w:ilvl w:val="0"/>
          <w:numId w:val="1"/>
        </w:numPr>
        <w:spacing w:before="60" w:after="60"/>
      </w:pPr>
      <w:r>
        <w:t xml:space="preserve">SS enclosures IP67/IK10, C5M (e.g., Rittal/Rose) with breathers and gland plates.</w:t>
      </w:r>
    </w:p>
    <w:p>
      <w:pPr>
        <w:pStyle w:val="ListParagraph"/>
        <w:numPr>
          <w:ilvl w:val="0"/>
          <w:numId w:val="1"/>
        </w:numPr>
        <w:spacing w:before="60" w:after="60"/>
      </w:pPr>
      <w:r>
        <w:t xml:space="preserve">OS2 24F cable (e.g., Corning/Commscope), IP68 closures with trays (e.g., 3M/Corning).</w:t>
      </w:r>
    </w:p>
    <w:p>
      <w:pPr>
        <w:pStyle w:val="ListParagraph"/>
        <w:numPr>
          <w:ilvl w:val="0"/>
          <w:numId w:val="1"/>
        </w:numPr>
        <w:spacing w:before="60" w:after="60"/>
      </w:pPr>
      <w:r>
        <w:t xml:space="preserve">LC/UPC panels, pigtails, patch cords; labeling consumables (engraved plates, sleeves).</w:t>
      </w:r>
    </w:p>
    <w:p>
      <w:pPr>
        <w:pStyle w:val="ListParagraph"/>
        <w:numPr>
          <w:ilvl w:val="0"/>
          <w:numId w:val="1"/>
        </w:numPr>
        <w:spacing w:before="60" w:after="60"/>
      </w:pPr>
      <w:r>
        <w:t xml:space="preserve">Test equipment: OTDR (e.g., EXFO MaxTester), IL meter, insulation tester, VLF set.</w:t>
      </w:r>
    </w:p>
    <w:p>
      <w:pPr>
        <w:pStyle w:val="Heading1"/>
        <w:pageBreakBefore/>
        <w:jc w:val="left"/>
      </w:pPr>
      <w:r>
        <w:rPr>
          <w:sz w:val="24"/>
          <w:szCs w:val="24"/>
        </w:rPr>
        <w:t xml:space="preserve">Software &amp; Tooling</w:t>
      </w:r>
    </w:p>
    <w:p>
      <w:pPr>
        <w:pStyle w:val="ListParagraph"/>
        <w:numPr>
          <w:ilvl w:val="0"/>
          <w:numId w:val="1"/>
        </w:numPr>
        <w:spacing w:before="60" w:after="60"/>
      </w:pPr>
      <w:r>
        <w:t xml:space="preserve">ETAP/EasyPower for coordination; AutoCAD for drawings; SharePoint/Confluence for document control.</w:t>
      </w:r>
    </w:p>
    <w:p>
      <w:pPr>
        <w:pStyle w:val="ListParagraph"/>
        <w:numPr>
          <w:ilvl w:val="0"/>
          <w:numId w:val="1"/>
        </w:numPr>
        <w:spacing w:before="60" w:after="60"/>
      </w:pPr>
      <w:r>
        <w:t xml:space="preserve">EXFO TestSuite (or equivalent) for OTDR/IL reports; checklist apps for ITP execution.</w:t>
      </w:r>
    </w:p>
    <w:p>
      <w:pPr>
        <w:pStyle w:val="Heading1"/>
        <w:pageBreakBefore/>
        <w:jc w:val="left"/>
      </w:pPr>
      <w:r>
        <w:rPr>
          <w:sz w:val="24"/>
          <w:szCs w:val="24"/>
        </w:rPr>
        <w:t xml:space="preserve">Work Breakdown Structure (WBS)</w:t>
      </w:r>
    </w:p>
    <w:p>
      <w:pPr>
        <w:pStyle w:val="ListParagraph"/>
        <w:numPr>
          <w:ilvl w:val="0"/>
          <w:numId w:val="1"/>
        </w:numPr>
        <w:spacing w:before="60" w:after="60"/>
      </w:pPr>
      <w:r>
        <w:t xml:space="preserve">1. Project Initiation – 1.1 Kick-off, 1.2 Safety file, 1.3 Survey &amp; data collection, 1.4 Risk workshop</w:t>
      </w:r>
    </w:p>
    <w:p>
      <w:pPr>
        <w:pStyle w:val="ListParagraph"/>
        <w:numPr>
          <w:ilvl w:val="0"/>
          <w:numId w:val="1"/>
        </w:numPr>
        <w:spacing w:before="60" w:after="60"/>
      </w:pPr>
      <w:r>
        <w:t xml:space="preserve">2. Design – 2.1 SLDs, 2.2 JB/Drum GA, 2.3 Cable sizing/VD, 2.4 Coordination settings, 2.5 FO splice maps, 2.6 ITPs/MoMs</w:t>
      </w:r>
    </w:p>
    <w:p>
      <w:pPr>
        <w:pStyle w:val="ListParagraph"/>
        <w:numPr>
          <w:ilvl w:val="0"/>
          <w:numId w:val="1"/>
        </w:numPr>
        <w:spacing w:before="60" w:after="60"/>
      </w:pPr>
      <w:r>
        <w:t xml:space="preserve">3. Procurement – 3.1 RFQs, 3.2 Tech eval, 3.3 POs, 3.4 FAT/certificates, 3.5 Logistics</w:t>
      </w:r>
    </w:p>
    <w:p>
      <w:pPr>
        <w:pStyle w:val="ListParagraph"/>
        <w:numPr>
          <w:ilvl w:val="0"/>
          <w:numId w:val="1"/>
        </w:numPr>
        <w:spacing w:before="60" w:after="60"/>
      </w:pPr>
      <w:r>
        <w:t xml:space="preserve">4. Installation – 4.1 MV STS04 migration, 4.2 CTP6 JBs/drums, 4.3 Earthing/labels, 4.4 FO pull/splice/terminate</w:t>
      </w:r>
    </w:p>
    <w:p>
      <w:pPr>
        <w:pStyle w:val="ListParagraph"/>
        <w:numPr>
          <w:ilvl w:val="0"/>
          <w:numId w:val="1"/>
        </w:numPr>
        <w:spacing w:before="60" w:after="60"/>
      </w:pPr>
      <w:r>
        <w:t xml:space="preserve">5. Testing &amp; Commissioning – 5.1 MV IR/VLF, 5.2 Protection verification, 5.3 FO OTDR/IL/polarity, 5.4 Integrated checks</w:t>
      </w:r>
    </w:p>
    <w:p>
      <w:pPr>
        <w:pStyle w:val="ListParagraph"/>
        <w:numPr>
          <w:ilvl w:val="0"/>
          <w:numId w:val="1"/>
        </w:numPr>
        <w:spacing w:before="60" w:after="60"/>
      </w:pPr>
      <w:r>
        <w:t xml:space="preserve">6. Handover &amp; Legalisation – 6.1 As-builts, 6.2 O&amp;M/training, 6.3 Dossier, 6.4 Punch list close</w:t>
      </w:r>
    </w:p>
    <w:p>
      <w:pPr>
        <w:pStyle w:val="Heading1"/>
        <w:pageBreakBefore/>
        <w:jc w:val="left"/>
      </w:pPr>
      <w:r>
        <w:rPr>
          <w:sz w:val="24"/>
          <w:szCs w:val="24"/>
        </w:rPr>
        <w:t xml:space="preserve">Acceptance Test Procedures (ATP) – Checklists</w:t>
      </w:r>
    </w:p>
    <w:p>
      <w:pPr>
        <w:pStyle w:val="Heading2"/>
        <w:jc w:val="left"/>
      </w:pPr>
      <w:r>
        <w:rPr>
          <w:sz w:val="24"/>
          <w:szCs w:val="24"/>
        </w:rPr>
        <w:t xml:space="preserve">MV</w:t>
      </w:r>
    </w:p>
    <w:p>
      <w:pPr>
        <w:pStyle w:val="ListParagraph"/>
        <w:numPr>
          <w:ilvl w:val="0"/>
          <w:numId w:val="1"/>
        </w:numPr>
        <w:spacing w:before="60" w:after="60"/>
      </w:pPr>
      <w:r>
        <w:t xml:space="preserve">Visual/ID checks, torque log complete, IR ≥ threshold, VLF pass, settings signed by TiN.</w:t>
      </w:r>
    </w:p>
    <w:p>
      <w:pPr>
        <w:pStyle w:val="Heading2"/>
        <w:jc w:val="left"/>
      </w:pPr>
      <w:r>
        <w:rPr>
          <w:sz w:val="24"/>
          <w:szCs w:val="24"/>
        </w:rPr>
        <w:t xml:space="preserve">FO</w:t>
      </w:r>
    </w:p>
    <w:p>
      <w:pPr>
        <w:pStyle w:val="ListParagraph"/>
        <w:numPr>
          <w:ilvl w:val="0"/>
          <w:numId w:val="1"/>
        </w:numPr>
        <w:spacing w:before="60" w:after="60"/>
      </w:pPr>
      <w:r>
        <w:t xml:space="preserve">Polarity pass, IL within limit, OTDR traces attached, labels verified to schedule.</w:t>
      </w:r>
    </w:p>
    <w:p>
      <w:pPr>
        <w:pStyle w:val="Heading2"/>
        <w:jc w:val="left"/>
      </w:pPr>
      <w:r>
        <w:rPr>
          <w:sz w:val="24"/>
          <w:szCs w:val="24"/>
        </w:rPr>
        <w:t xml:space="preserve">Documentation</w:t>
      </w:r>
    </w:p>
    <w:p>
      <w:pPr>
        <w:pStyle w:val="ListParagraph"/>
        <w:numPr>
          <w:ilvl w:val="0"/>
          <w:numId w:val="1"/>
        </w:numPr>
        <w:spacing w:before="60" w:after="60"/>
      </w:pPr>
      <w:r>
        <w:t xml:space="preserve">Drawings as-built, test packs signed, asset register updated, training delivered.</w:t>
      </w:r>
    </w:p>
    <w:p>
      <w:pPr>
        <w:pStyle w:val="Heading1"/>
        <w:pageBreakBefore/>
        <w:jc w:val="left"/>
      </w:pPr>
      <w:r>
        <w:rPr>
          <w:sz w:val="24"/>
          <w:szCs w:val="24"/>
        </w:rPr>
        <w:t xml:space="preserve">Spares &amp; O&amp;M</w:t>
      </w:r>
    </w:p>
    <w:p>
      <w:pPr>
        <w:pStyle w:val="Heading2"/>
        <w:jc w:val="left"/>
      </w:pPr>
      <w:r>
        <w:rPr>
          <w:sz w:val="24"/>
          <w:szCs w:val="24"/>
        </w:rPr>
        <w:t xml:space="preserve">MV</w:t>
      </w:r>
    </w:p>
    <w:p>
      <w:pPr>
        <w:pStyle w:val="ListParagraph"/>
        <w:numPr>
          <w:ilvl w:val="0"/>
          <w:numId w:val="1"/>
        </w:numPr>
        <w:spacing w:before="60" w:after="60"/>
      </w:pPr>
      <w:r>
        <w:t xml:space="preserve">2× termination kits, 1× joint kit, labels set, spare glands.</w:t>
      </w:r>
    </w:p>
    <w:p>
      <w:pPr>
        <w:pStyle w:val="Heading2"/>
        <w:jc w:val="left"/>
      </w:pPr>
      <w:r>
        <w:rPr>
          <w:sz w:val="24"/>
          <w:szCs w:val="24"/>
        </w:rPr>
        <w:t xml:space="preserve">FO</w:t>
      </w:r>
    </w:p>
    <w:p>
      <w:pPr>
        <w:pStyle w:val="ListParagraph"/>
        <w:numPr>
          <w:ilvl w:val="0"/>
          <w:numId w:val="1"/>
        </w:numPr>
        <w:spacing w:before="60" w:after="60"/>
      </w:pPr>
      <w:r>
        <w:t xml:space="preserve">Spare pigtails/patch cords, splice trays, labels; closure consumables.</w:t>
      </w:r>
    </w:p>
    <w:p>
      <w:pPr>
        <w:pStyle w:val="Heading2"/>
        <w:jc w:val="left"/>
      </w:pPr>
      <w:r>
        <w:rPr>
          <w:sz w:val="24"/>
          <w:szCs w:val="24"/>
        </w:rPr>
        <w:t xml:space="preserve">O&amp;M</w:t>
      </w:r>
    </w:p>
    <w:p>
      <w:pPr>
        <w:pStyle w:val="ListParagraph"/>
        <w:numPr>
          <w:ilvl w:val="0"/>
          <w:numId w:val="1"/>
        </w:numPr>
        <w:spacing w:before="60" w:after="60"/>
      </w:pPr>
      <w:r>
        <w:t xml:space="preserve">Preventive maintenance checklist, cleaning kits, documentation updates.</w:t>
      </w:r>
    </w:p>
    <w:p>
      <w:pPr>
        <w:pStyle w:val="Heading1"/>
        <w:pageBreakBefore/>
        <w:jc w:val="left"/>
      </w:pPr>
      <w:r>
        <w:rPr>
          <w:sz w:val="24"/>
          <w:szCs w:val="24"/>
        </w:rPr>
        <w:t xml:space="preserve">Training Plan</w:t>
      </w:r>
    </w:p>
    <w:p>
      <w:pPr>
        <w:pStyle w:val="ListParagraph"/>
        <w:numPr>
          <w:ilvl w:val="0"/>
          <w:numId w:val="1"/>
        </w:numPr>
        <w:spacing w:before="60" w:after="60"/>
      </w:pPr>
      <w:r>
        <w:t xml:space="preserve">Operator module (4h): isolation/energization, labeling, inspections.</w:t>
      </w:r>
    </w:p>
    <w:p>
      <w:pPr>
        <w:pStyle w:val="ListParagraph"/>
        <w:numPr>
          <w:ilvl w:val="0"/>
          <w:numId w:val="1"/>
        </w:numPr>
        <w:spacing w:before="60" w:after="60"/>
      </w:pPr>
      <w:r>
        <w:t xml:space="preserve">Maintenance module (6h): MV termination inspection, earthing checks, FO cleaning/testing basics.</w:t>
      </w:r>
    </w:p>
    <w:p>
      <w:pPr>
        <w:pStyle w:val="ListParagraph"/>
        <w:numPr>
          <w:ilvl w:val="0"/>
          <w:numId w:val="1"/>
        </w:numPr>
        <w:spacing w:before="60" w:after="60"/>
      </w:pPr>
      <w:r>
        <w:t xml:space="preserve">Documentation &amp; HSE module (2h): records, permits, PPE, incident reporting.</w:t>
      </w:r>
    </w:p>
    <w:p>
      <w:pPr>
        <w:pStyle w:val="Heading1"/>
        <w:pageBreakBefore/>
        <w:jc w:val="left"/>
      </w:pPr>
      <w:r>
        <w:rPr>
          <w:sz w:val="24"/>
          <w:szCs w:val="24"/>
        </w:rPr>
        <w:t xml:space="preserve">Warranty &amp; SLA</w:t>
      </w:r>
    </w:p>
    <w:p>
      <w:pPr>
        <w:pStyle w:val="ListParagraph"/>
        <w:numPr>
          <w:ilvl w:val="0"/>
          <w:numId w:val="1"/>
        </w:numPr>
        <w:spacing w:before="60" w:after="60"/>
      </w:pPr>
      <w:r>
        <w:t xml:space="preserve">12 months workmanship/materials; option to extend. Response: 4h remote, 24–48h on-site; defect rectification within 5 working days typical.</w:t>
      </w:r>
    </w:p>
    <w:p>
      <w:pPr>
        <w:pStyle w:val="Heading1"/>
        <w:pageBreakBefore/>
        <w:jc w:val="left"/>
      </w:pPr>
      <w:r>
        <w:rPr>
          <w:sz w:val="24"/>
          <w:szCs w:val="24"/>
        </w:rPr>
        <w:t xml:space="preserve">Risk Matrix (Likelihood × Consequence)</w:t>
      </w:r>
    </w:p>
    <w:tbl>
      <w:tblPr>
        <w:tblW w:type="pct" w:w="100%"/>
        <w:tblBorders>
          <w:top w:val="single" w:color="DDDDDD" w:sz="1"/>
          <w:left w:val="single" w:color="DDDDDD" w:sz="1"/>
          <w:bottom w:val="single" w:color="DDDDDD" w:sz="1"/>
          <w:right w:val="single" w:color="DDDDDD" w:sz="1"/>
          <w:insideH w:val="single" w:color="EEEEEE" w:sz="1"/>
          <w:insideV w:val="single" w:color="EEEEEE" w:sz="1"/>
        </w:tblBorders>
      </w:tblPr>
      <w:tblGrid>
        <w:gridCol w:w="100"/>
        <w:gridCol w:w="100"/>
        <w:gridCol w:w="100"/>
        <w:gridCol w:w="100"/>
        <w:gridCol w:w="100"/>
      </w:tblGrid>
      <w:tr>
        <w:tc>
          <w:p>
            <w:r>
              <w:rPr>
                <w:b/>
                <w:bCs/>
              </w:rPr>
              <w:t xml:space="preserve">Risk</w:t>
            </w:r>
          </w:p>
        </w:tc>
        <w:tc>
          <w:p>
            <w:r>
              <w:rPr>
                <w:b/>
                <w:bCs/>
              </w:rPr>
              <w:t xml:space="preserve">L</w:t>
            </w:r>
          </w:p>
        </w:tc>
        <w:tc>
          <w:p>
            <w:r>
              <w:rPr>
                <w:b/>
                <w:bCs/>
              </w:rPr>
              <w:t xml:space="preserve">C</w:t>
            </w:r>
          </w:p>
        </w:tc>
        <w:tc>
          <w:p>
            <w:r>
              <w:rPr>
                <w:b/>
                <w:bCs/>
              </w:rPr>
              <w:t xml:space="preserve">Rating</w:t>
            </w:r>
          </w:p>
        </w:tc>
        <w:tc>
          <w:p>
            <w:r>
              <w:rPr>
                <w:b/>
                <w:bCs/>
              </w:rPr>
              <w:t xml:space="preserve">Mitigation</w:t>
            </w:r>
          </w:p>
        </w:tc>
      </w:tr>
      <w:tr>
        <w:tc>
          <w:p>
            <w:r>
              <w:t xml:space="preserve">Duct blockage</w:t>
            </w:r>
          </w:p>
        </w:tc>
        <w:tc>
          <w:p>
            <w:r>
              <w:t xml:space="preserve">M</w:t>
            </w:r>
          </w:p>
        </w:tc>
        <w:tc>
          <w:p>
            <w:r>
              <w:t xml:space="preserve">M</w:t>
            </w:r>
          </w:p>
        </w:tc>
        <w:tc>
          <w:p>
            <w:r>
              <w:t xml:space="preserve">M</w:t>
            </w:r>
          </w:p>
        </w:tc>
        <w:tc>
          <w:p>
            <w:r>
              <w:t xml:space="preserve">Pre-rod/CCTV; alternate route</w:t>
            </w:r>
          </w:p>
        </w:tc>
      </w:tr>
      <w:tr>
        <w:tc>
          <w:p>
            <w:r>
              <w:t xml:space="preserve">Weather delays</w:t>
            </w:r>
          </w:p>
        </w:tc>
        <w:tc>
          <w:p>
            <w:r>
              <w:t xml:space="preserve">M</w:t>
            </w:r>
          </w:p>
        </w:tc>
        <w:tc>
          <w:p>
            <w:r>
              <w:t xml:space="preserve">L</w:t>
            </w:r>
          </w:p>
        </w:tc>
        <w:tc>
          <w:p>
            <w:r>
              <w:t xml:space="preserve">M</w:t>
            </w:r>
          </w:p>
        </w:tc>
        <w:tc>
          <w:p>
            <w:r>
              <w:t xml:space="preserve">Float in programme; weather windows</w:t>
            </w:r>
          </w:p>
        </w:tc>
      </w:tr>
      <w:tr>
        <w:tc>
          <w:p>
            <w:r>
              <w:t xml:space="preserve">Material lead time</w:t>
            </w:r>
          </w:p>
        </w:tc>
        <w:tc>
          <w:p>
            <w:r>
              <w:t xml:space="preserve">H</w:t>
            </w:r>
          </w:p>
        </w:tc>
        <w:tc>
          <w:p>
            <w:r>
              <w:t xml:space="preserve">M</w:t>
            </w:r>
          </w:p>
        </w:tc>
        <w:tc>
          <w:p>
            <w:r>
              <w:t xml:space="preserve">H</w:t>
            </w:r>
          </w:p>
        </w:tc>
        <w:tc>
          <w:p>
            <w:r>
              <w:t xml:space="preserve">Early PO; vendor expediting</w:t>
            </w:r>
          </w:p>
        </w:tc>
      </w:tr>
    </w:tbl>
    <w:p>
      <w:pPr>
        <w:pStyle w:val="Heading1"/>
        <w:pageBreakBefore/>
        <w:jc w:val="left"/>
      </w:pPr>
      <w:r>
        <w:rPr>
          <w:sz w:val="24"/>
          <w:szCs w:val="24"/>
        </w:rPr>
        <w:t xml:space="preserve">Templates</w:t>
      </w:r>
    </w:p>
    <w:p>
      <w:pPr>
        <w:pStyle w:val="ListParagraph"/>
        <w:numPr>
          <w:ilvl w:val="0"/>
          <w:numId w:val="1"/>
        </w:numPr>
        <w:spacing w:before="60" w:after="60"/>
      </w:pPr>
      <w:r>
        <w:t xml:space="preserve">RFI form</w:t>
      </w:r>
    </w:p>
    <w:p>
      <w:pPr>
        <w:pStyle w:val="ListParagraph"/>
        <w:numPr>
          <w:ilvl w:val="0"/>
          <w:numId w:val="1"/>
        </w:numPr>
        <w:spacing w:before="60" w:after="60"/>
      </w:pPr>
      <w:r>
        <w:t xml:space="preserve">NCR form</w:t>
      </w:r>
    </w:p>
    <w:p>
      <w:pPr>
        <w:pStyle w:val="ListParagraph"/>
        <w:numPr>
          <w:ilvl w:val="0"/>
          <w:numId w:val="1"/>
        </w:numPr>
        <w:spacing w:before="60" w:after="60"/>
      </w:pPr>
      <w:r>
        <w:t xml:space="preserve">Change Request</w:t>
      </w:r>
    </w:p>
    <w:p>
      <w:pPr>
        <w:pStyle w:val="ListParagraph"/>
        <w:numPr>
          <w:ilvl w:val="0"/>
          <w:numId w:val="1"/>
        </w:numPr>
        <w:spacing w:before="60" w:after="60"/>
      </w:pPr>
      <w:r>
        <w:t xml:space="preserve">ITP checklist sheets</w:t>
      </w:r>
    </w:p>
    <w:p>
      <w:pPr>
        <w:pStyle w:val="ListParagraph"/>
        <w:numPr>
          <w:ilvl w:val="0"/>
          <w:numId w:val="1"/>
        </w:numPr>
        <w:spacing w:before="60" w:after="60"/>
      </w:pPr>
      <w:r>
        <w:t xml:space="preserve">Daily Site Report</w:t>
      </w:r>
    </w:p>
    <w:p>
      <w:pPr>
        <w:pStyle w:val="ListParagraph"/>
        <w:numPr>
          <w:ilvl w:val="0"/>
          <w:numId w:val="1"/>
        </w:numPr>
        <w:spacing w:before="60" w:after="60"/>
      </w:pPr>
      <w:r>
        <w:t xml:space="preserve">Toolbox Talk form</w:t>
      </w:r>
    </w:p>
    <w:p>
      <w:pPr>
        <w:pStyle w:val="Heading1"/>
        <w:pageBreakBefore/>
        <w:jc w:val="left"/>
      </w:pPr>
      <w:r>
        <w:rPr>
          <w:sz w:val="24"/>
          <w:szCs w:val="24"/>
        </w:rPr>
        <w:t xml:space="preserve">Project Management &amp; Administration</w:t>
      </w:r>
    </w:p>
    <w:p>
      <w:pPr>
        <w:pStyle w:val="Heading2"/>
        <w:jc w:val="left"/>
      </w:pPr>
      <w:r>
        <w:rPr>
          <w:sz w:val="24"/>
          <w:szCs w:val="24"/>
        </w:rPr>
        <w:t xml:space="preserve">Programme (Gantt Milestones)</w:t>
      </w:r>
    </w:p>
    <w:tbl>
      <w:tblPr>
        <w:tblW w:type="pct" w:w="100%"/>
        <w:tblBorders>
          <w:top w:val="single" w:color="DDDDDD" w:sz="1"/>
          <w:left w:val="single" w:color="DDDDDD" w:sz="1"/>
          <w:bottom w:val="single" w:color="DDDDDD" w:sz="1"/>
          <w:right w:val="single" w:color="DDDDDD" w:sz="1"/>
          <w:insideH w:val="single" w:color="EEEEEE" w:sz="1"/>
          <w:insideV w:val="single" w:color="EEEEEE" w:sz="1"/>
        </w:tblBorders>
      </w:tblPr>
      <w:tblGrid>
        <w:gridCol w:w="100"/>
        <w:gridCol w:w="100"/>
        <w:gridCol w:w="100"/>
      </w:tblGrid>
      <w:tr>
        <w:tc>
          <w:p>
            <w:r>
              <w:rPr>
                <w:b/>
                <w:bCs/>
              </w:rPr>
              <w:t xml:space="preserve">Phase</w:t>
            </w:r>
          </w:p>
        </w:tc>
        <w:tc>
          <w:p>
            <w:r>
              <w:rPr>
                <w:b/>
                <w:bCs/>
              </w:rPr>
              <w:t xml:space="preserve">Duration (wks)</w:t>
            </w:r>
          </w:p>
        </w:tc>
        <w:tc>
          <w:p>
            <w:r>
              <w:rPr>
                <w:b/>
                <w:bCs/>
              </w:rPr>
              <w:t xml:space="preserve">Notes</w:t>
            </w:r>
          </w:p>
        </w:tc>
      </w:tr>
      <w:tr>
        <w:tc>
          <w:p>
            <w:r>
              <w:t xml:space="preserve">Surveys &amp; Data Collection</w:t>
            </w:r>
          </w:p>
        </w:tc>
        <w:tc>
          <w:p>
            <w:r>
              <w:t xml:space="preserve">2</w:t>
            </w:r>
          </w:p>
        </w:tc>
        <w:tc>
          <w:p>
            <w:r>
              <w:t xml:space="preserve">Duct CTP6↔Cargo Building; rack audit; earthing</w:t>
            </w:r>
          </w:p>
        </w:tc>
      </w:tr>
      <w:tr>
        <w:tc>
          <w:p>
            <w:r>
              <w:t xml:space="preserve">Detailed Design &amp; Approvals</w:t>
            </w:r>
          </w:p>
        </w:tc>
        <w:tc>
          <w:p>
            <w:r>
              <w:t xml:space="preserve">4</w:t>
            </w:r>
          </w:p>
        </w:tc>
        <w:tc>
          <w:p>
            <w:r>
              <w:t xml:space="preserve">IFC package and ITPs</w:t>
            </w:r>
          </w:p>
        </w:tc>
      </w:tr>
      <w:tr>
        <w:tc>
          <w:p>
            <w:r>
              <w:t xml:space="preserve">Procurement &amp; Logistics</w:t>
            </w:r>
          </w:p>
        </w:tc>
        <w:tc>
          <w:p>
            <w:r>
              <w:t xml:space="preserve">6</w:t>
            </w:r>
          </w:p>
        </w:tc>
        <w:tc>
          <w:p>
            <w:r>
              <w:t xml:space="preserve">Overlaps design tail; long-leads</w:t>
            </w:r>
          </w:p>
        </w:tc>
      </w:tr>
      <w:tr>
        <w:tc>
          <w:p>
            <w:r>
              <w:t xml:space="preserve">Installation (MV+FO)</w:t>
            </w:r>
          </w:p>
        </w:tc>
        <w:tc>
          <w:p>
            <w:r>
              <w:t xml:space="preserve">6</w:t>
            </w:r>
          </w:p>
        </w:tc>
        <w:tc>
          <w:p>
            <w:r>
              <w:t xml:space="preserve">Method statements executed; RAMS</w:t>
            </w:r>
          </w:p>
        </w:tc>
      </w:tr>
      <w:tr>
        <w:tc>
          <w:p>
            <w:r>
              <w:t xml:space="preserve">Testing &amp; Commissioning</w:t>
            </w:r>
          </w:p>
        </w:tc>
        <w:tc>
          <w:p>
            <w:r>
              <w:t xml:space="preserve">2</w:t>
            </w:r>
          </w:p>
        </w:tc>
        <w:tc>
          <w:p>
            <w:r>
              <w:t xml:space="preserve">MV + FO acceptance</w:t>
            </w:r>
          </w:p>
        </w:tc>
      </w:tr>
      <w:tr>
        <w:tc>
          <w:p>
            <w:r>
              <w:t xml:space="preserve">Legalisation &amp; Closeout</w:t>
            </w:r>
          </w:p>
        </w:tc>
        <w:tc>
          <w:p>
            <w:r>
              <w:t xml:space="preserve">2</w:t>
            </w:r>
          </w:p>
        </w:tc>
        <w:tc>
          <w:p>
            <w:r>
              <w:t xml:space="preserve">Docs, O&amp;M, training, handover</w:t>
            </w:r>
          </w:p>
        </w:tc>
      </w:tr>
    </w:tbl>
    <w:p>
      <w:pPr>
        <w:pStyle w:val="Heading2"/>
        <w:jc w:val="left"/>
      </w:pPr>
      <w:r>
        <w:rPr>
          <w:sz w:val="24"/>
          <w:szCs w:val="24"/>
        </w:rPr>
        <w:t xml:space="preserve">RACI</w:t>
      </w:r>
    </w:p>
    <w:tbl>
      <w:tblPr>
        <w:tblW w:type="pct" w:w="100%"/>
        <w:tblBorders>
          <w:top w:val="single" w:color="DDDDDD" w:sz="1"/>
          <w:left w:val="single" w:color="DDDDDD" w:sz="1"/>
          <w:bottom w:val="single" w:color="DDDDDD" w:sz="1"/>
          <w:right w:val="single" w:color="DDDDDD" w:sz="1"/>
          <w:insideH w:val="single" w:color="EEEEEE" w:sz="1"/>
          <w:insideV w:val="single" w:color="EEEEEE" w:sz="1"/>
        </w:tblBorders>
      </w:tblPr>
      <w:tblGrid>
        <w:gridCol w:w="100"/>
        <w:gridCol w:w="100"/>
        <w:gridCol w:w="100"/>
        <w:gridCol w:w="100"/>
        <w:gridCol w:w="100"/>
        <w:gridCol w:w="100"/>
      </w:tblGrid>
      <w:tr>
        <w:tc>
          <w:p>
            <w:r>
              <w:rPr>
                <w:b/>
                <w:bCs/>
              </w:rPr>
              <w:t xml:space="preserve">Role</w:t>
            </w:r>
          </w:p>
        </w:tc>
        <w:tc>
          <w:p>
            <w:r>
              <w:rPr>
                <w:b/>
                <w:bCs/>
              </w:rPr>
              <w:t xml:space="preserve">Design</w:t>
            </w:r>
          </w:p>
        </w:tc>
        <w:tc>
          <w:p>
            <w:r>
              <w:rPr>
                <w:b/>
                <w:bCs/>
              </w:rPr>
              <w:t xml:space="preserve">Procure</w:t>
            </w:r>
          </w:p>
        </w:tc>
        <w:tc>
          <w:p>
            <w:r>
              <w:rPr>
                <w:b/>
                <w:bCs/>
              </w:rPr>
              <w:t xml:space="preserve">Install</w:t>
            </w:r>
          </w:p>
        </w:tc>
        <w:tc>
          <w:p>
            <w:r>
              <w:rPr>
                <w:b/>
                <w:bCs/>
              </w:rPr>
              <w:t xml:space="preserve">Test/Comm</w:t>
            </w:r>
          </w:p>
        </w:tc>
        <w:tc>
          <w:p>
            <w:r>
              <w:rPr>
                <w:b/>
                <w:bCs/>
              </w:rPr>
              <w:t xml:space="preserve">Docs/Handover</w:t>
            </w:r>
          </w:p>
        </w:tc>
      </w:tr>
      <w:tr>
        <w:tc>
          <w:p>
            <w:r>
              <w:t xml:space="preserve">Contractor</w:t>
            </w:r>
          </w:p>
        </w:tc>
        <w:tc>
          <w:p>
            <w:r>
              <w:t xml:space="preserve">R</w:t>
            </w:r>
          </w:p>
        </w:tc>
        <w:tc>
          <w:p>
            <w:r>
              <w:t xml:space="preserve">R</w:t>
            </w:r>
          </w:p>
        </w:tc>
        <w:tc>
          <w:p>
            <w:r>
              <w:t xml:space="preserve">R</w:t>
            </w:r>
          </w:p>
        </w:tc>
        <w:tc>
          <w:p>
            <w:r>
              <w:t xml:space="preserve">R</w:t>
            </w:r>
          </w:p>
        </w:tc>
        <w:tc>
          <w:p>
            <w:r>
              <w:t xml:space="preserve">R</w:t>
            </w:r>
          </w:p>
        </w:tc>
      </w:tr>
      <w:tr>
        <w:tc>
          <w:p>
            <w:r>
              <w:t xml:space="preserve">TiN PM/Tech</w:t>
            </w:r>
          </w:p>
        </w:tc>
        <w:tc>
          <w:p>
            <w:r>
              <w:t xml:space="preserve">A/C</w:t>
            </w:r>
          </w:p>
        </w:tc>
        <w:tc>
          <w:p>
            <w:r>
              <w:t xml:space="preserve">C</w:t>
            </w:r>
          </w:p>
        </w:tc>
        <w:tc>
          <w:p>
            <w:r>
              <w:t xml:space="preserve">C</w:t>
            </w:r>
          </w:p>
        </w:tc>
        <w:tc>
          <w:p>
            <w:r>
              <w:t xml:space="preserve">C</w:t>
            </w:r>
          </w:p>
        </w:tc>
        <w:tc>
          <w:p>
            <w:r>
              <w:t xml:space="preserve">A/C</w:t>
            </w:r>
          </w:p>
        </w:tc>
      </w:tr>
      <w:tr>
        <w:tc>
          <w:p>
            <w:r>
              <w:t xml:space="preserve">TiN IT/ICT</w:t>
            </w:r>
          </w:p>
        </w:tc>
        <w:tc>
          <w:p>
            <w:r>
              <w:t xml:space="preserve">C</w:t>
            </w:r>
          </w:p>
        </w:tc>
        <w:tc>
          <w:p>
            <w:r>
              <w:t xml:space="preserve">C</w:t>
            </w:r>
          </w:p>
        </w:tc>
        <w:tc>
          <w:p>
            <w:r>
              <w:t xml:space="preserve">C</w:t>
            </w:r>
          </w:p>
        </w:tc>
        <w:tc>
          <w:p>
            <w:r>
              <w:t xml:space="preserve">A/C</w:t>
            </w:r>
          </w:p>
        </w:tc>
        <w:tc>
          <w:p>
            <w:r>
              <w:t xml:space="preserve">C</w:t>
            </w:r>
          </w:p>
        </w:tc>
      </w:tr>
      <w:tr>
        <w:tc>
          <w:p>
            <w:r>
              <w:t xml:space="preserve">HSE</w:t>
            </w:r>
          </w:p>
        </w:tc>
        <w:tc>
          <w:p>
            <w:r>
              <w:t xml:space="preserve">A</w:t>
            </w:r>
          </w:p>
        </w:tc>
        <w:tc>
          <w:p>
            <w:r>
              <w:t xml:space="preserve">C</w:t>
            </w:r>
          </w:p>
        </w:tc>
        <w:tc>
          <w:p>
            <w:r>
              <w:t xml:space="preserve">A</w:t>
            </w:r>
          </w:p>
        </w:tc>
        <w:tc>
          <w:p>
            <w:r>
              <w:t xml:space="preserve">A</w:t>
            </w:r>
          </w:p>
        </w:tc>
        <w:tc>
          <w:p>
            <w:r>
              <w:t xml:space="preserve">C</w:t>
            </w:r>
          </w:p>
        </w:tc>
      </w:tr>
    </w:tbl>
    <w:p>
      <w:pPr>
        <w:pStyle w:val="Heading2"/>
        <w:jc w:val="left"/>
      </w:pPr>
      <w:r>
        <w:rPr>
          <w:sz w:val="24"/>
          <w:szCs w:val="24"/>
        </w:rPr>
        <w:t xml:space="preserve">Risk Register (Initial)</w:t>
      </w:r>
    </w:p>
    <w:tbl>
      <w:tblPr>
        <w:tblW w:type="pct" w:w="100%"/>
        <w:tblBorders>
          <w:top w:val="single" w:color="DDDDDD" w:sz="1"/>
          <w:left w:val="single" w:color="DDDDDD" w:sz="1"/>
          <w:bottom w:val="single" w:color="DDDDDD" w:sz="1"/>
          <w:right w:val="single" w:color="DDDDDD" w:sz="1"/>
          <w:insideH w:val="single" w:color="EEEEEE" w:sz="1"/>
          <w:insideV w:val="single" w:color="EEEEEE" w:sz="1"/>
        </w:tblBorders>
      </w:tblPr>
      <w:tblGrid>
        <w:gridCol w:w="100"/>
        <w:gridCol w:w="100"/>
        <w:gridCol w:w="100"/>
      </w:tblGrid>
      <w:tr>
        <w:tc>
          <w:p>
            <w:r>
              <w:rPr>
                <w:b/>
                <w:bCs/>
              </w:rPr>
              <w:t xml:space="preserve">Risk</w:t>
            </w:r>
          </w:p>
        </w:tc>
        <w:tc>
          <w:p>
            <w:r>
              <w:rPr>
                <w:b/>
                <w:bCs/>
              </w:rPr>
              <w:t xml:space="preserve">Impact</w:t>
            </w:r>
          </w:p>
        </w:tc>
        <w:tc>
          <w:p>
            <w:r>
              <w:rPr>
                <w:b/>
                <w:bCs/>
              </w:rPr>
              <w:t xml:space="preserve">Mitigation</w:t>
            </w:r>
          </w:p>
        </w:tc>
      </w:tr>
      <w:tr>
        <w:tc>
          <w:p>
            <w:r>
              <w:t xml:space="preserve">Duct congestion/water ingress</w:t>
            </w:r>
          </w:p>
        </w:tc>
        <w:tc>
          <w:p>
            <w:r>
              <w:t xml:space="preserve">Delay/route change</w:t>
            </w:r>
          </w:p>
        </w:tc>
        <w:tc>
          <w:p>
            <w:r>
              <w:t xml:space="preserve">Rod/CCTV, dewater, alt path</w:t>
            </w:r>
          </w:p>
        </w:tc>
      </w:tr>
      <w:tr>
        <w:tc>
          <w:p>
            <w:r>
              <w:t xml:space="preserve">Protection miscoordination</w:t>
            </w:r>
          </w:p>
        </w:tc>
        <w:tc>
          <w:p>
            <w:r>
              <w:t xml:space="preserve">Trips/unsafe ops</w:t>
            </w:r>
          </w:p>
        </w:tc>
        <w:tc>
          <w:p>
            <w:r>
              <w:t xml:space="preserve">Review TiN settings; coordination study</w:t>
            </w:r>
          </w:p>
        </w:tc>
      </w:tr>
      <w:tr>
        <w:tc>
          <w:p>
            <w:r>
              <w:t xml:space="preserve">FO attenuation high</w:t>
            </w:r>
          </w:p>
        </w:tc>
        <w:tc>
          <w:p>
            <w:r>
              <w:t xml:space="preserve">Link failure</w:t>
            </w:r>
          </w:p>
        </w:tc>
        <w:tc>
          <w:p>
            <w:r>
              <w:t xml:space="preserve">Splice quality, budget margin, rework</w:t>
            </w:r>
          </w:p>
        </w:tc>
      </w:tr>
      <w:tr>
        <w:tc>
          <w:p>
            <w:r>
              <w:t xml:space="preserve">Corrosion (marine)</w:t>
            </w:r>
          </w:p>
        </w:tc>
        <w:tc>
          <w:p>
            <w:r>
              <w:t xml:space="preserve">Premature failure</w:t>
            </w:r>
          </w:p>
        </w:tc>
        <w:tc>
          <w:p>
            <w:r>
              <w:t xml:space="preserve">C5M materials, IP67/68, SS hardware</w:t>
            </w:r>
          </w:p>
        </w:tc>
      </w:tr>
      <w:tr>
        <w:tc>
          <w:p>
            <w:r>
              <w:t xml:space="preserve">Ops disruption</w:t>
            </w:r>
          </w:p>
        </w:tc>
        <w:tc>
          <w:p>
            <w:r>
              <w:t xml:space="preserve">Outage risk</w:t>
            </w:r>
          </w:p>
        </w:tc>
        <w:tc>
          <w:p>
            <w:r>
              <w:t xml:space="preserve">Work windows, notices, staging</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2025-08-22T11:18:19.738Z</dcterms:created>
  <dcterms:modified xsi:type="dcterms:W3CDTF">2025-08-22T11:18:19.738Z</dcterms:modified>
</cp:coreProperties>
</file>

<file path=docProps/custom.xml><?xml version="1.0" encoding="utf-8"?>
<Properties xmlns="http://schemas.openxmlformats.org/officeDocument/2006/custom-properties" xmlns:vt="http://schemas.openxmlformats.org/officeDocument/2006/docPropsVTypes"/>
</file>