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jc w:val="left"/>
      </w:pPr>
      <w:r>
        <w:rPr>
          <w:sz w:val="24"/>
          <w:szCs w:val="24"/>
        </w:rPr>
        <w:t xml:space="preserve">STS Connections Tender – Appendix 1 V3.1 – Part A – Electrical</w:t>
      </w:r>
    </w:p>
    <w:p>
      <w:pPr>
        <w:spacing w:after="200"/>
        <w:jc w:val="left"/>
      </w:pPr>
      <w:r>
        <w:rPr>
          <w:sz w:val="24"/>
          <w:szCs w:val="24"/>
        </w:rPr>
        <w:t xml:space="preserve">Terminal Investment Namibia (TiN)</w:t>
      </w:r>
    </w:p>
    <w:p>
      <w:pPr>
        <w:spacing w:after="200"/>
        <w:jc w:val="left"/>
      </w:pPr>
      <w:r>
        <w:rPr>
          <w:sz w:val="24"/>
          <w:szCs w:val="24"/>
        </w:rPr>
        <w:t xml:space="preserve">Version: V1.0 (Draft)</w:t>
      </w:r>
    </w:p>
    <w:p>
      <w:pPr>
        <w:spacing w:after="400"/>
        <w:jc w:val="left"/>
      </w:pPr>
      <w:r>
        <w:rPr>
          <w:sz w:val="24"/>
          <w:szCs w:val="24"/>
        </w:rPr>
        <w:t xml:space="preserve">Date: 2025-08-22</w:t>
      </w:r>
    </w:p>
    <w:p>
      <w:pPr>
        <w:pageBreakBefore/>
      </w:pPr>
    </w:p>
    <w:sdt>
      <w:sdtPr>
        <w:alias w:val="Table of Contents"/>
      </w:sdtPr>
      <w:sdtContent>
        <w:p>
          <w:r>
            <w:fldChar w:fldCharType="begin" w:dirty="true"/>
            <w:instrText xml:space="preserve">TOC \h \o "1-4"</w:instrText>
            <w:fldChar w:fldCharType="separate"/>
          </w:r>
        </w:p>
        <w:p>
          <w:r>
            <w:fldChar w:fldCharType="end"/>
          </w:r>
        </w:p>
      </w:sdtContent>
    </w:sdt>
    <w:p>
      <w:pPr>
        <w:pStyle w:val="Heading1"/>
        <w:pageBreakBefore/>
        <w:jc w:val="left"/>
      </w:pPr>
      <w:r>
        <w:rPr>
          <w:sz w:val="24"/>
          <w:szCs w:val="24"/>
        </w:rPr>
        <w:t xml:space="preserve">Compliance Statement</w:t>
      </w:r>
    </w:p>
    <w:p>
      <w:pPr>
        <w:spacing w:after="200"/>
        <w:jc w:val="left"/>
      </w:pPr>
      <w:r>
        <w:rPr>
          <w:sz w:val="24"/>
          <w:szCs w:val="24"/>
        </w:rPr>
        <w:t xml:space="preserve">This offer is prepared in accordance with Appendix 1 - RFP connection of STSs V3.1. Where requirements are clarified or assumed, these are explicitly noted, and final alignment will be completed upon receipt of any addenda.</w:t>
      </w:r>
    </w:p>
    <w:p>
      <w:pPr>
        <w:pStyle w:val="Heading1"/>
        <w:pageBreakBefore/>
        <w:jc w:val="left"/>
      </w:pPr>
      <w:r>
        <w:rPr>
          <w:sz w:val="24"/>
          <w:szCs w:val="24"/>
        </w:rPr>
        <w:t xml:space="preserve">Scope Coverage (Crosswalk to Appendix 1 V3.1)</w:t>
      </w:r>
    </w:p>
    <w:p>
      <w:pPr>
        <w:pStyle w:val="Heading2"/>
        <w:jc w:val="left"/>
      </w:pPr>
      <w:r>
        <w:rPr>
          <w:sz w:val="24"/>
          <w:szCs w:val="24"/>
        </w:rPr>
        <w:t xml:space="preserve">Engineering &amp; Design</w:t>
      </w:r>
    </w:p>
    <w:p>
      <w:pPr>
        <w:pStyle w:val="ListParagraph"/>
        <w:numPr>
          <w:ilvl w:val="0"/>
          <w:numId w:val="1"/>
        </w:numPr>
        <w:spacing w:before="60" w:after="60"/>
      </w:pPr>
      <w:r>
        <w:t xml:space="preserve">MV SLD and feeder architecture (mobile substation → CTP6 → STS05/06; STS04 migration to CTP5)</w:t>
      </w:r>
    </w:p>
    <w:p>
      <w:pPr>
        <w:pStyle w:val="ListParagraph"/>
        <w:numPr>
          <w:ilvl w:val="0"/>
          <w:numId w:val="1"/>
        </w:numPr>
        <w:spacing w:before="60" w:after="60"/>
      </w:pPr>
      <w:r>
        <w:t xml:space="preserve">CTP6 and CTP5 pit GA: MV junction box and drum designs, earthing, labeling</w:t>
      </w:r>
    </w:p>
    <w:p>
      <w:pPr>
        <w:pStyle w:val="ListParagraph"/>
        <w:numPr>
          <w:ilvl w:val="0"/>
          <w:numId w:val="1"/>
        </w:numPr>
        <w:spacing w:before="60" w:after="60"/>
      </w:pPr>
      <w:r>
        <w:t xml:space="preserve">Cable sizing method, protection &amp; coordination per TiN settings</w:t>
      </w:r>
    </w:p>
    <w:p>
      <w:pPr>
        <w:pStyle w:val="ListParagraph"/>
        <w:numPr>
          <w:ilvl w:val="0"/>
          <w:numId w:val="1"/>
        </w:numPr>
        <w:spacing w:before="60" w:after="60"/>
      </w:pPr>
      <w:r>
        <w:t xml:space="preserve">FO star topology Cargo Building ↔ CTP6/CTP5; splice plans; rack elevations</w:t>
      </w:r>
    </w:p>
    <w:p>
      <w:pPr>
        <w:pStyle w:val="ListParagraph"/>
        <w:numPr>
          <w:ilvl w:val="0"/>
          <w:numId w:val="1"/>
        </w:numPr>
        <w:spacing w:before="60" w:after="60"/>
      </w:pPr>
      <w:r>
        <w:t xml:space="preserve">Network segmentation, VLAN/ACL, OT edge security</w:t>
      </w:r>
    </w:p>
    <w:p>
      <w:pPr>
        <w:pStyle w:val="ListParagraph"/>
        <w:numPr>
          <w:ilvl w:val="0"/>
          <w:numId w:val="1"/>
        </w:numPr>
        <w:spacing w:before="60" w:after="60"/>
      </w:pPr>
      <w:r>
        <w:t xml:space="preserve">Optical budget and acceptance criteria</w:t>
      </w:r>
    </w:p>
    <w:p>
      <w:pPr>
        <w:pStyle w:val="Heading2"/>
        <w:jc w:val="left"/>
      </w:pPr>
      <w:r>
        <w:rPr>
          <w:sz w:val="24"/>
          <w:szCs w:val="24"/>
        </w:rPr>
        <w:t xml:space="preserve">Procurement</w:t>
      </w:r>
    </w:p>
    <w:p>
      <w:pPr>
        <w:pStyle w:val="ListParagraph"/>
        <w:numPr>
          <w:ilvl w:val="0"/>
          <w:numId w:val="1"/>
        </w:numPr>
        <w:spacing w:before="60" w:after="60"/>
      </w:pPr>
      <w:r>
        <w:t xml:space="preserve">MV XLPE cable (IEC 60502-2), termination/joint kits, SS IP67/IK10 enclosures (C5M)</w:t>
      </w:r>
    </w:p>
    <w:p>
      <w:pPr>
        <w:pStyle w:val="ListParagraph"/>
        <w:numPr>
          <w:ilvl w:val="0"/>
          <w:numId w:val="1"/>
        </w:numPr>
        <w:spacing w:before="60" w:after="60"/>
      </w:pPr>
      <w:r>
        <w:t xml:space="preserve">OS2 9/125 μm cable, IP68 closures, LC/UPC panels/pigtails, labels</w:t>
      </w:r>
    </w:p>
    <w:p>
      <w:pPr>
        <w:pStyle w:val="ListParagraph"/>
        <w:numPr>
          <w:ilvl w:val="0"/>
          <w:numId w:val="1"/>
        </w:numPr>
        <w:spacing w:before="60" w:after="60"/>
      </w:pPr>
      <w:r>
        <w:t xml:space="preserve">Certificates of conformity and type test reports</w:t>
      </w:r>
    </w:p>
    <w:p>
      <w:pPr>
        <w:pStyle w:val="Heading2"/>
        <w:jc w:val="left"/>
      </w:pPr>
      <w:r>
        <w:rPr>
          <w:sz w:val="24"/>
          <w:szCs w:val="24"/>
        </w:rPr>
        <w:t xml:space="preserve">Installation</w:t>
      </w:r>
    </w:p>
    <w:p>
      <w:pPr>
        <w:pStyle w:val="ListParagraph"/>
        <w:numPr>
          <w:ilvl w:val="0"/>
          <w:numId w:val="1"/>
        </w:numPr>
        <w:spacing w:before="60" w:after="60"/>
      </w:pPr>
      <w:r>
        <w:t xml:space="preserve">STS04 controlled isolation at CTP6, reroute to CTP5, new JB/drum and terminations</w:t>
      </w:r>
    </w:p>
    <w:p>
      <w:pPr>
        <w:pStyle w:val="ListParagraph"/>
        <w:numPr>
          <w:ilvl w:val="0"/>
          <w:numId w:val="1"/>
        </w:numPr>
        <w:spacing w:before="60" w:after="60"/>
      </w:pPr>
      <w:r>
        <w:t xml:space="preserve">STS05/STS06 drums and JBs at CTP6; feeders from mobile substation</w:t>
      </w:r>
    </w:p>
    <w:p>
      <w:pPr>
        <w:pStyle w:val="ListParagraph"/>
        <w:numPr>
          <w:ilvl w:val="0"/>
          <w:numId w:val="1"/>
        </w:numPr>
        <w:spacing w:before="60" w:after="60"/>
      </w:pPr>
      <w:r>
        <w:t xml:space="preserve">FO pull from Cargo Building to CTP6; splice at closure; rack terminations</w:t>
      </w:r>
    </w:p>
    <w:p>
      <w:pPr>
        <w:pStyle w:val="Heading2"/>
        <w:jc w:val="left"/>
      </w:pPr>
      <w:r>
        <w:rPr>
          <w:sz w:val="24"/>
          <w:szCs w:val="24"/>
        </w:rPr>
        <w:t xml:space="preserve">Testing &amp; Commissioning</w:t>
      </w:r>
    </w:p>
    <w:p>
      <w:pPr>
        <w:pStyle w:val="ListParagraph"/>
        <w:numPr>
          <w:ilvl w:val="0"/>
          <w:numId w:val="1"/>
        </w:numPr>
        <w:spacing w:before="60" w:after="60"/>
      </w:pPr>
      <w:r>
        <w:t xml:space="preserve">MV IR/continuity, withstand/VLF as specified; protection setting verification</w:t>
      </w:r>
    </w:p>
    <w:p>
      <w:pPr>
        <w:pStyle w:val="ListParagraph"/>
        <w:numPr>
          <w:ilvl w:val="0"/>
          <w:numId w:val="1"/>
        </w:numPr>
        <w:spacing w:before="60" w:after="60"/>
      </w:pPr>
      <w:r>
        <w:t xml:space="preserve">FO OTDR 1310/1550 nm; insertion loss; polarity</w:t>
      </w:r>
    </w:p>
    <w:p>
      <w:pPr>
        <w:pStyle w:val="ListParagraph"/>
        <w:numPr>
          <w:ilvl w:val="0"/>
          <w:numId w:val="1"/>
        </w:numPr>
        <w:spacing w:before="60" w:after="60"/>
      </w:pPr>
      <w:r>
        <w:t xml:space="preserve">SCADA/Network VLAN/ACL verification and link checks</w:t>
      </w:r>
    </w:p>
    <w:p>
      <w:pPr>
        <w:pStyle w:val="Heading2"/>
        <w:jc w:val="left"/>
      </w:pPr>
      <w:r>
        <w:rPr>
          <w:sz w:val="24"/>
          <w:szCs w:val="24"/>
        </w:rPr>
        <w:t xml:space="preserve">Documentation &amp; Handover</w:t>
      </w:r>
    </w:p>
    <w:p>
      <w:pPr>
        <w:pStyle w:val="ListParagraph"/>
        <w:numPr>
          <w:ilvl w:val="0"/>
          <w:numId w:val="1"/>
        </w:numPr>
        <w:spacing w:before="60" w:after="60"/>
      </w:pPr>
      <w:r>
        <w:t xml:space="preserve">As-built DWG/PDF, splice maps, cable schedules, protection settings</w:t>
      </w:r>
    </w:p>
    <w:p>
      <w:pPr>
        <w:pStyle w:val="ListParagraph"/>
        <w:numPr>
          <w:ilvl w:val="0"/>
          <w:numId w:val="1"/>
        </w:numPr>
        <w:spacing w:before="60" w:after="60"/>
      </w:pPr>
      <w:r>
        <w:t xml:space="preserve">Test packs (MV/FO), O&amp;M manuals, training records, handover checklist</w:t>
      </w:r>
    </w:p>
    <w:p>
      <w:pPr>
        <w:pStyle w:val="ListParagraph"/>
        <w:numPr>
          <w:ilvl w:val="0"/>
          <w:numId w:val="1"/>
        </w:numPr>
        <w:spacing w:before="60" w:after="60"/>
      </w:pPr>
      <w:r>
        <w:t xml:space="preserve">Legalisation dossier per V3.1</w:t>
      </w:r>
    </w:p>
    <w:p>
      <w:pPr>
        <w:pStyle w:val="Heading2"/>
        <w:jc w:val="left"/>
      </w:pPr>
      <w:r>
        <w:rPr>
          <w:sz w:val="24"/>
          <w:szCs w:val="24"/>
        </w:rPr>
        <w:t xml:space="preserve">Project Mgmt &amp; Admin</w:t>
      </w:r>
    </w:p>
    <w:p>
      <w:pPr>
        <w:pStyle w:val="ListParagraph"/>
        <w:numPr>
          <w:ilvl w:val="0"/>
          <w:numId w:val="1"/>
        </w:numPr>
        <w:spacing w:before="60" w:after="60"/>
      </w:pPr>
      <w:r>
        <w:t xml:space="preserve">Programme (Gantt), RACI, risk register, permitting schedule</w:t>
      </w:r>
    </w:p>
    <w:p>
      <w:pPr>
        <w:pStyle w:val="ListParagraph"/>
        <w:numPr>
          <w:ilvl w:val="0"/>
          <w:numId w:val="1"/>
        </w:numPr>
        <w:spacing w:before="60" w:after="60"/>
      </w:pPr>
      <w:r>
        <w:t xml:space="preserve">Document control (10 working day review SLA), meeting cadence, escalation</w:t>
      </w:r>
    </w:p>
    <w:p>
      <w:pPr>
        <w:pStyle w:val="Heading1"/>
        <w:pageBreakBefore/>
        <w:jc w:val="left"/>
      </w:pPr>
      <w:r>
        <w:rPr>
          <w:sz w:val="24"/>
          <w:szCs w:val="24"/>
        </w:rPr>
        <w:t xml:space="preserve">Part A – Electrical Offer (Technical)</w:t>
      </w:r>
    </w:p>
    <w:p>
      <w:pPr>
        <w:pStyle w:val="Heading2"/>
        <w:jc w:val="left"/>
      </w:pPr>
      <w:r>
        <w:rPr>
          <w:sz w:val="24"/>
          <w:szCs w:val="24"/>
        </w:rPr>
        <w:t xml:space="preserve">Design Basis &amp; Standards</w:t>
      </w:r>
    </w:p>
    <w:p>
      <w:pPr>
        <w:pStyle w:val="ListParagraph"/>
        <w:numPr>
          <w:ilvl w:val="0"/>
          <w:numId w:val="1"/>
        </w:numPr>
        <w:spacing w:before="60" w:after="60"/>
      </w:pPr>
      <w:r>
        <w:t xml:space="preserve">Standards: DIN/EN/ISO; Electrical: DIN/VDE, EN, IEC; European standards prevail</w:t>
      </w:r>
    </w:p>
    <w:p>
      <w:pPr>
        <w:pStyle w:val="ListParagraph"/>
        <w:numPr>
          <w:ilvl w:val="0"/>
          <w:numId w:val="1"/>
        </w:numPr>
        <w:spacing w:before="60" w:after="60"/>
      </w:pPr>
      <w:r>
        <w:t xml:space="preserve">MV level TBC; feeder current and volt drop sized from ZPMC OEM data</w:t>
      </w:r>
    </w:p>
    <w:p>
      <w:pPr>
        <w:pStyle w:val="ListParagraph"/>
        <w:numPr>
          <w:ilvl w:val="0"/>
          <w:numId w:val="1"/>
        </w:numPr>
        <w:spacing w:before="60" w:after="60"/>
      </w:pPr>
      <w:r>
        <w:t xml:space="preserve">Earthing per IEC 61936-1; sheath bonding scheme to avoid circulating currents</w:t>
      </w:r>
    </w:p>
    <w:p>
      <w:pPr>
        <w:pStyle w:val="Heading2"/>
        <w:jc w:val="left"/>
      </w:pPr>
      <w:r>
        <w:rPr>
          <w:sz w:val="24"/>
          <w:szCs w:val="24"/>
        </w:rPr>
        <w:t xml:space="preserve">System Architecture (SLD overview)</w:t>
      </w:r>
    </w:p>
    <w:p>
      <w:pPr>
        <w:spacing w:before="120" w:after="0"/>
      </w:pPr>
      <w:r>
        <w:rPr>
          <w:sz w:val="22"/>
          <w:szCs w:val="22"/>
          <w:rFonts w:ascii="Courier New" w:cs="Courier New" w:eastAsia="Courier New" w:hAnsi="Courier New"/>
        </w:rPr>
        <w:t xml:space="preserve">[Employer MV Switchgear] --(config per TiN)--&gt; [Mobile Substation]* --&gt; Feeder(s) --&gt; [CTP6]</w:t>
      </w:r>
    </w:p>
    <w:p>
      <w:pPr>
        <w:spacing w:before="0" w:after="0"/>
      </w:pPr>
      <w:r>
        <w:rPr>
          <w:sz w:val="22"/>
          <w:szCs w:val="22"/>
          <w:rFonts w:ascii="Courier New" w:cs="Courier New" w:eastAsia="Courier New" w:hAnsi="Courier New"/>
        </w:rPr>
        <w:t xml:space="preserve">                                                                    +--&gt; [CTP6 JB+Drum → STS05]</w:t>
      </w:r>
    </w:p>
    <w:p>
      <w:pPr>
        <w:spacing w:before="0" w:after="0"/>
      </w:pPr>
      <w:r>
        <w:rPr>
          <w:sz w:val="22"/>
          <w:szCs w:val="22"/>
          <w:rFonts w:ascii="Courier New" w:cs="Courier New" w:eastAsia="Courier New" w:hAnsi="Courier New"/>
        </w:rPr>
        <w:t xml:space="preserve">                                                                    +--&gt; [CTP6 JB+Drum → STS06]</w:t>
      </w:r>
    </w:p>
    <w:p>
      <w:pPr>
        <w:spacing w:before="0" w:after="0"/>
      </w:pPr>
      <w:r>
        <w:rPr>
          <w:sz w:val="22"/>
          <w:szCs w:val="22"/>
          <w:rFonts w:ascii="Courier New" w:cs="Courier New" w:eastAsia="Courier New" w:hAnsi="Courier New"/>
        </w:rPr>
        <w:t xml:space="preserve">STS04 Migration: [CTP6 Disconnect] X → Duct reroute → [CTP5 New JB+Drum → STS04]</w:t>
      </w:r>
    </w:p>
    <w:p>
      <w:pPr>
        <w:spacing w:before="0" w:after="0"/>
      </w:pPr>
      <w:r>
        <w:rPr>
          <w:sz w:val="22"/>
          <w:szCs w:val="22"/>
          <w:rFonts w:ascii="Courier New" w:cs="Courier New" w:eastAsia="Courier New" w:hAnsi="Courier New"/>
        </w:rPr>
        <w:t xml:space="preserve">*Mobile substation for works; permanent tie-in point TBC</w:t>
      </w:r>
    </w:p>
    <w:p>
      <w:pPr>
        <w:spacing w:after="120"/>
      </w:pPr>
    </w:p>
    <w:p>
      <w:pPr>
        <w:pStyle w:val="Heading2"/>
        <w:jc w:val="left"/>
      </w:pPr>
      <w:r>
        <w:rPr>
          <w:sz w:val="24"/>
          <w:szCs w:val="24"/>
        </w:rPr>
        <w:t xml:space="preserve">CTP6/CTP5 Junction Box &amp; Drum Design</w:t>
      </w:r>
    </w:p>
    <w:p>
      <w:pPr>
        <w:pStyle w:val="ListParagraph"/>
        <w:numPr>
          <w:ilvl w:val="0"/>
          <w:numId w:val="1"/>
        </w:numPr>
        <w:spacing w:before="60" w:after="60"/>
      </w:pPr>
      <w:r>
        <w:t xml:space="preserve">Stainless enclosure IP67/IK10, C5M; padlockable; filtered breathers</w:t>
      </w:r>
    </w:p>
    <w:p>
      <w:pPr>
        <w:pStyle w:val="ListParagraph"/>
        <w:numPr>
          <w:ilvl w:val="0"/>
          <w:numId w:val="1"/>
        </w:numPr>
        <w:spacing w:before="60" w:after="60"/>
      </w:pPr>
      <w:r>
        <w:t xml:space="preserve">IN feeder termination with stress-control kits (IEC 60502-2)</w:t>
      </w:r>
    </w:p>
    <w:p>
      <w:pPr>
        <w:pStyle w:val="ListParagraph"/>
        <w:numPr>
          <w:ilvl w:val="0"/>
          <w:numId w:val="1"/>
        </w:numPr>
        <w:spacing w:before="60" w:after="60"/>
      </w:pPr>
      <w:r>
        <w:t xml:space="preserve">OUT A to STS05 drum/tail; OUT B to STS06 drum/tail (stress-control kits)</w:t>
      </w:r>
    </w:p>
    <w:p>
      <w:pPr>
        <w:pStyle w:val="ListParagraph"/>
        <w:numPr>
          <w:ilvl w:val="0"/>
          <w:numId w:val="1"/>
        </w:numPr>
        <w:spacing w:before="60" w:after="60"/>
      </w:pPr>
      <w:r>
        <w:t xml:space="preserve">Copper earth bar with test link; external earth lug to grid</w:t>
      </w:r>
    </w:p>
    <w:p>
      <w:pPr>
        <w:pStyle w:val="ListParagraph"/>
        <w:numPr>
          <w:ilvl w:val="0"/>
          <w:numId w:val="1"/>
        </w:numPr>
        <w:spacing w:before="60" w:after="60"/>
      </w:pPr>
      <w:r>
        <w:t xml:space="preserve">Engraved UV-stable labels; torque labels on terminations</w:t>
      </w:r>
    </w:p>
    <w:p>
      <w:pPr>
        <w:pStyle w:val="Heading2"/>
        <w:jc w:val="left"/>
      </w:pPr>
      <w:r>
        <w:rPr>
          <w:sz w:val="24"/>
          <w:szCs w:val="24"/>
        </w:rPr>
        <w:t xml:space="preserve">Method Statement</w:t>
      </w:r>
    </w:p>
    <w:p>
      <w:pPr>
        <w:spacing w:after="120"/>
        <w:jc w:val="left"/>
      </w:pPr>
      <w:r>
        <w:rPr>
          <w:sz w:val="24"/>
          <w:szCs w:val="24"/>
        </w:rPr>
        <w:t xml:space="preserve">Prior to any site activity, permits to work and LOTO authorizations are obtained, IFC drawings and ITPs issued, RAMS briefed to the crew (including lifting plans for drums and confined-space controls for pit work), materials inspected against CoCs, and weather-protected staging areas established.</w:t>
      </w:r>
    </w:p>
    <w:p>
      <w:pPr>
        <w:spacing w:after="120"/>
        <w:jc w:val="left"/>
      </w:pPr>
      <w:r>
        <w:rPr>
          <w:sz w:val="24"/>
          <w:szCs w:val="24"/>
        </w:rPr>
        <w:t xml:space="preserve">STS04 migration (CTP6 → CTP5): Coordinate an outage and apply LOTO at the source and at CTP6; prove dead with a calibrated tester and apply portable earths where required. Verify ducts CTP6→CTP5 by rod-and-mandrel/CCTV and dewater as needed. Install the CTP5 stainless enclosure with earth bar and test link; prepare gland plates and seal unused entries; mount the cable drum assembly with mechanical protection at exits.</w:t>
      </w:r>
    </w:p>
    <w:p>
      <w:pPr>
        <w:spacing w:after="120"/>
        <w:jc w:val="left"/>
      </w:pPr>
      <w:r>
        <w:rPr>
          <w:sz w:val="24"/>
          <w:szCs w:val="24"/>
        </w:rPr>
        <w:t xml:space="preserve">Pull and handle cable using rollers, bell mouths and approved lubricant with a capstan winch and in-line dynamometer; maintain minimum bend radius and sidewall pressure; log pull tension and length. Terminate at CTP5 per kit sequence (stress-control, insulation tube, crimped lugs with calibrated dies, sealing/anti-tracking), torque to manufacturer values, dress conductors and apply permanent phase/feeder labels.</w:t>
      </w:r>
    </w:p>
    <w:p>
      <w:pPr>
        <w:spacing w:after="120"/>
        <w:jc w:val="left"/>
      </w:pPr>
      <w:r>
        <w:rPr>
          <w:sz w:val="24"/>
          <w:szCs w:val="24"/>
        </w:rPr>
        <w:t xml:space="preserve">At CTP6, safely disconnect STS04 feeders, cap/insulate as required, update labels to reflect new routing and remove temporary earths after tests.</w:t>
      </w:r>
    </w:p>
    <w:p>
      <w:pPr>
        <w:spacing w:after="120"/>
        <w:jc w:val="left"/>
      </w:pPr>
      <w:r>
        <w:rPr>
          <w:sz w:val="24"/>
          <w:szCs w:val="24"/>
        </w:rPr>
        <w:t xml:space="preserve">STS05/STS06 new feeders at CTP6: Prepare pits and mount two JB enclosures with filtered breathers and gland plates; bond each to the earth grid with labeled test links and verify continuity (&lt; 1 Ω target). Position drums with spindle stands and braking control; pull feeders from the mobile substation to the JBs with mechanical protections at entries; complete stress-control terminations, torque and labeling per TiN schema; apply and record protection settings per TiN-approved sheet.</w:t>
      </w:r>
    </w:p>
    <w:p>
      <w:pPr>
        <w:pStyle w:val="Heading2"/>
        <w:jc w:val="left"/>
      </w:pPr>
      <w:r>
        <w:rPr>
          <w:sz w:val="24"/>
          <w:szCs w:val="24"/>
        </w:rPr>
        <w:t xml:space="preserve">Testing &amp; Commissioning</w:t>
      </w:r>
    </w:p>
    <w:p>
      <w:pPr>
        <w:spacing w:after="120"/>
        <w:jc w:val="left"/>
      </w:pPr>
      <w:r>
        <w:rPr>
          <w:sz w:val="24"/>
          <w:szCs w:val="24"/>
        </w:rPr>
        <w:t xml:space="preserve">Visual/mechanical checks: confirm enclosure IP integrity, gland seals, conductor dressing, terminal torque and labeling; verify earthing connections and test link status; review torque and pull logs for completeness.</w:t>
      </w:r>
    </w:p>
    <w:p>
      <w:pPr>
        <w:spacing w:after="120"/>
        <w:jc w:val="left"/>
      </w:pPr>
      <w:r>
        <w:rPr>
          <w:sz w:val="24"/>
          <w:szCs w:val="24"/>
        </w:rPr>
        <w:t xml:space="preserve">Insulation resistance and continuity: perform IR per conductor and to earth using a calibrated megohmmeter at the correct kV class (e.g., 5 kV DC for 6–11 kV); record temperature-corrected values vs thresholds; verify phase ID and end-to-end continuity (R1/R2 as applicable).</w:t>
      </w:r>
    </w:p>
    <w:p>
      <w:pPr>
        <w:spacing w:after="120"/>
        <w:jc w:val="left"/>
      </w:pPr>
      <w:r>
        <w:rPr>
          <w:sz w:val="24"/>
          <w:szCs w:val="24"/>
        </w:rPr>
        <w:t xml:space="preserve">VLF/withstand: conduct 0.1 Hz withstand at specified level (e.g., 2×U0) for the prescribed duration; monitor for instability or PD indications; acceptance is completion at setpoint without breakdown and with stable current profile.</w:t>
      </w:r>
    </w:p>
    <w:p>
      <w:pPr>
        <w:spacing w:after="120"/>
        <w:jc w:val="left"/>
      </w:pPr>
      <w:r>
        <w:rPr>
          <w:sz w:val="24"/>
          <w:szCs w:val="24"/>
        </w:rPr>
        <w:t xml:space="preserve">Earthing tests: measure pit-to-grid continuity (&lt; 1 Ω target) and, where required, earth resistance by clamp or 3-point method; verify sheath bonding continuity per design.</w:t>
      </w:r>
    </w:p>
    <w:p>
      <w:pPr>
        <w:spacing w:after="120"/>
        <w:jc w:val="left"/>
      </w:pPr>
      <w:r>
        <w:rPr>
          <w:sz w:val="24"/>
          <w:szCs w:val="24"/>
        </w:rPr>
        <w:t xml:space="preserve">Protection verification: secondary injection to verify pickup, time-current characteristics, instantaneous elements and lockout logic against the TiN setting sheet; check CT polarity/ratio; perform functional trip checks where feasible.</w:t>
      </w:r>
    </w:p>
    <w:p>
      <w:pPr>
        <w:spacing w:after="120"/>
        <w:jc w:val="left"/>
      </w:pPr>
      <w:r>
        <w:rPr>
          <w:sz w:val="24"/>
          <w:szCs w:val="24"/>
        </w:rPr>
        <w:t xml:space="preserve">Energization: hold a pre-energization review; remove temporary earths, restore enclosures and clear the area; energize no-load (phase rotation/voltage presence), then incremental load; perform a thermal scan after 2–4 h, rectify anomalies and re-scan if needed; compile a signed test dossier with as-built redlines.</w:t>
      </w:r>
    </w:p>
    <w:p>
      <w:pPr>
        <w:pStyle w:val="Heading2"/>
        <w:jc w:val="left"/>
      </w:pPr>
      <w:r>
        <w:rPr>
          <w:sz w:val="24"/>
          <w:szCs w:val="24"/>
        </w:rPr>
        <w:t xml:space="preserve">Acceptance Criteria</w:t>
      </w:r>
    </w:p>
    <w:p>
      <w:pPr>
        <w:pStyle w:val="ListParagraph"/>
        <w:numPr>
          <w:ilvl w:val="0"/>
          <w:numId w:val="1"/>
        </w:numPr>
        <w:spacing w:before="60" w:after="60"/>
      </w:pPr>
      <w:r>
        <w:t xml:space="preserve">IR ≥ manufacturer thresholds; no partial discharge evidence</w:t>
      </w:r>
    </w:p>
    <w:p>
      <w:pPr>
        <w:pStyle w:val="ListParagraph"/>
        <w:numPr>
          <w:ilvl w:val="0"/>
          <w:numId w:val="1"/>
        </w:numPr>
        <w:spacing w:before="60" w:after="60"/>
      </w:pPr>
      <w:r>
        <w:t xml:space="preserve">Withstand/VLF passed; protection settings signed off</w:t>
      </w:r>
    </w:p>
    <w:p>
      <w:pPr>
        <w:pStyle w:val="ListParagraph"/>
        <w:numPr>
          <w:ilvl w:val="0"/>
          <w:numId w:val="1"/>
        </w:numPr>
        <w:spacing w:before="60" w:after="60"/>
      </w:pPr>
      <w:r>
        <w:t xml:space="preserve">Earthing continuity within limits; labels complete and correct</w:t>
      </w:r>
    </w:p>
    <w:p>
      <w:pPr>
        <w:pStyle w:val="Heading2"/>
        <w:jc w:val="left"/>
      </w:pPr>
      <w:r>
        <w:rPr>
          <w:sz w:val="24"/>
          <w:szCs w:val="24"/>
        </w:rPr>
        <w:t xml:space="preserve">Executive Summary</w:t>
      </w:r>
    </w:p>
    <w:p>
      <w:pPr>
        <w:spacing w:after="120"/>
        <w:jc w:val="left"/>
      </w:pPr>
      <w:r>
        <w:rPr>
          <w:sz w:val="24"/>
          <w:szCs w:val="24"/>
        </w:rPr>
        <w:t xml:space="preserve">We propose a turnkey electrical connection scope for STS cranes in accordance with Appendix 1 – RFP V3.1. Our solution delivers safe isolation and migration of STS04 to CTP5 and new junction box and drum assemblies at CTP6 for STS05/STS06. The approach prioritizes safety (no energized work), marine-grade materials (C5M), rigorous QA/ITP, and complete documentation for legalisation.</w:t>
      </w:r>
    </w:p>
    <w:p>
      <w:pPr>
        <w:pStyle w:val="Heading2"/>
        <w:jc w:val="left"/>
      </w:pPr>
      <w:r>
        <w:rPr>
          <w:sz w:val="24"/>
          <w:szCs w:val="24"/>
        </w:rPr>
        <w:t xml:space="preserve">Engineering Design Approach</w:t>
      </w:r>
    </w:p>
    <w:p>
      <w:pPr>
        <w:spacing w:after="120"/>
        <w:jc w:val="left"/>
      </w:pPr>
      <w:r>
        <w:rPr>
          <w:sz w:val="24"/>
          <w:szCs w:val="24"/>
        </w:rPr>
        <w:t xml:space="preserve">Our electrical design begins with a clear definition of operational scenarios and design criteria agreed with TiN. We derive design current from ZPMC OEM data and confirm upstream fault levels and protection philosophy. Cable sizing considers ampacity, voltage drop, short-circuit thermal withstand, and installation conditions. Protection settings are coordinated across source breakers, feeders and any intermediate relays; outputs include a formal setting sheet, coordination curves, and remarks on selectivity and clearing times. Earthing is designed to IEC 61936-1 with explicit targets for step/touch voltage and pit-to-grid continuity; sheath bonding is specified to avoid circulating currents while maintaining fault return paths. Marine exposure is addressed through C5M-grade stainless hardware, IP67 enclosures, sealed glands, and protected routing. All terminations are specified with manufacturer torque values and permanent labeling per TiN schema, with torque logs captured in the ITP.</w:t>
      </w:r>
    </w:p>
    <w:p>
      <w:pPr>
        <w:pStyle w:val="Heading2"/>
        <w:jc w:val="left"/>
      </w:pPr>
      <w:r>
        <w:rPr>
          <w:sz w:val="24"/>
          <w:szCs w:val="24"/>
        </w:rPr>
        <w:t xml:space="preserve">Procurement Plan</w:t>
      </w:r>
    </w:p>
    <w:p>
      <w:pPr>
        <w:spacing w:after="120"/>
        <w:jc w:val="left"/>
      </w:pPr>
      <w:r>
        <w:rPr>
          <w:sz w:val="24"/>
          <w:szCs w:val="24"/>
        </w:rPr>
        <w:t xml:space="preserve">We operate a structured source-to-site process governed by a procurement plan and a live materials tracker. RFQs are issued to approved vendors with technical datasheets, standards compliance (IEC/EN), and environmental requirements (C5M, IP ratings). Bids undergo a technical evaluation against mandatory criteria (type-test reports, CoCs, warranty terms, lead times) before commercial adjudication. Purchase Orders embed quality clauses (inspection rights, documentation deliverables, packing/marking) and define hold/witness points.</w:t>
      </w:r>
    </w:p>
    <w:p>
      <w:pPr>
        <w:spacing w:after="120"/>
        <w:jc w:val="left"/>
      </w:pPr>
      <w:r>
        <w:rPr>
          <w:sz w:val="24"/>
          <w:szCs w:val="24"/>
        </w:rPr>
        <w:t xml:space="preserve">Expediting begins at award: vendors submit manufacturing schedules, inspection &amp; test plans, and submittals (drawings, labels, torque tables) for approval. Logistics is aligned to the installation sequence and outage windows; packaging specifies moisture barriers, desiccants/inhibitors for marine environments, and shock/tilt indicators. Shipments include full documentation sets (CoC, type tests, packing lists) and are insured under the agreed Incoterms. Site receiving uses an RFI process: items are inspected, logged to the materials register (including serial/lot numbers), and quarantined if nonconforming. Sensitive items (MV kits) are stored in controlled conditions; kitting aligns to ITP steps to prevent premature unboxing.</w:t>
      </w:r>
    </w:p>
    <w:p>
      <w:pPr>
        <w:pStyle w:val="Heading2"/>
        <w:jc w:val="left"/>
      </w:pPr>
      <w:r>
        <w:rPr>
          <w:sz w:val="24"/>
          <w:szCs w:val="24"/>
        </w:rPr>
        <w:t xml:space="preserve">Installation Approach</w:t>
      </w:r>
    </w:p>
    <w:p>
      <w:pPr>
        <w:spacing w:after="120"/>
        <w:jc w:val="left"/>
      </w:pPr>
      <w:r>
        <w:rPr>
          <w:sz w:val="24"/>
          <w:szCs w:val="24"/>
        </w:rPr>
        <w:t xml:space="preserve">Site works commence after mobilisation, safety induction, and permit acceptance. Each activity is governed by an approved Method Statement and task risk assessment (RAMS). Supervisors brief the team daily (TBT), confirming roles, interface constraints, and hold points. Barriers, signage, and exclusion zones are established before work; confined-space and lifting plans are enforced where applicable. Sequencing prioritizes safety and operations continuity: we stage isolations, pre-stage materials, and validate temporary works before introducing any outage. Quality is built-in: checkpoints are recorded with photos, torque/measurement logs, and redlines captured contemporaneously for as-builts. Housekeeping, environmental protections (spill kits, dewatering controls), and reinstatement are maintained throughout.</w:t>
      </w:r>
    </w:p>
    <w:p>
      <w:pPr>
        <w:pStyle w:val="Heading2"/>
        <w:jc w:val="left"/>
      </w:pPr>
      <w:r>
        <w:rPr>
          <w:sz w:val="24"/>
          <w:szCs w:val="24"/>
        </w:rPr>
        <w:t xml:space="preserve">Value Engineering</w:t>
      </w:r>
    </w:p>
    <w:p>
      <w:pPr>
        <w:spacing w:after="120"/>
        <w:jc w:val="left"/>
      </w:pPr>
      <w:r>
        <w:rPr>
          <w:sz w:val="24"/>
          <w:szCs w:val="24"/>
        </w:rPr>
        <w:t xml:space="preserve">We evaluate alternatives that reduce lifecycle cost and risk without compromising compliance. Examples include optimized enclosure sizes/material grades for C5M exposure and selection of termination kit technologies suitable for humidity and salt fog. Each option is documented with cost/schedule/maintenance impact and submitted for approval.</w:t>
      </w:r>
    </w:p>
    <w:p>
      <w:pPr>
        <w:pStyle w:val="Heading2"/>
        <w:jc w:val="left"/>
      </w:pPr>
      <w:r>
        <w:rPr>
          <w:sz w:val="24"/>
          <w:szCs w:val="24"/>
        </w:rPr>
        <w:t xml:space="preserve">Sustainability</w:t>
      </w:r>
    </w:p>
    <w:p>
      <w:pPr>
        <w:spacing w:after="120"/>
        <w:jc w:val="left"/>
      </w:pPr>
      <w:r>
        <w:rPr>
          <w:sz w:val="24"/>
          <w:szCs w:val="24"/>
        </w:rPr>
        <w:t xml:space="preserve">Our Environmental Management Plan addresses waste minimization, segregation, and responsible disposal; control of dewatering discharges; spill prevention and response; and noise/light management for adjacent operations. We prefer low-VOC consumables, reusable packaging where practical, and local sourcing to reduce transport emissions. All activities comply with TiN environmental policies and statutory requirements; incidents are logged and reviewed in weekly HSE reports.</w:t>
      </w:r>
    </w:p>
    <w:p>
      <w:pPr>
        <w:pStyle w:val="Heading2"/>
        <w:jc w:val="left"/>
      </w:pPr>
      <w:r>
        <w:rPr>
          <w:sz w:val="24"/>
          <w:szCs w:val="24"/>
        </w:rPr>
        <w:t xml:space="preserve">Interface Management</w:t>
      </w:r>
    </w:p>
    <w:p>
      <w:pPr>
        <w:spacing w:after="120"/>
        <w:jc w:val="left"/>
      </w:pPr>
      <w:r>
        <w:rPr>
          <w:sz w:val="24"/>
          <w:szCs w:val="24"/>
        </w:rPr>
        <w:t xml:space="preserve">Interfaces span Operations, Power, HSE, and external authorities. We maintain an interface register identifying owners, data dependencies (e.g., settings sheets), and approval gates. Weekly coordination meetings track look-ahead constraints and access windows; changes are channelled through the change control process with impact assessments.</w:t>
      </w:r>
    </w:p>
    <w:p>
      <w:pPr>
        <w:pStyle w:val="Heading2"/>
        <w:jc w:val="left"/>
      </w:pPr>
      <w:r>
        <w:rPr>
          <w:sz w:val="24"/>
          <w:szCs w:val="24"/>
        </w:rPr>
        <w:t xml:space="preserve">Asset Registration</w:t>
      </w:r>
    </w:p>
    <w:p>
      <w:pPr>
        <w:spacing w:after="120"/>
        <w:jc w:val="left"/>
      </w:pPr>
      <w:r>
        <w:rPr>
          <w:sz w:val="24"/>
          <w:szCs w:val="24"/>
        </w:rPr>
        <w:t xml:space="preserve">All new assets are tagged per TiN’s schema and registered into the asset register/CMMS. Tagging covers enclosures, terminations, cables, and protective devices. Serial numbers, test certificates, torque records, and location references are linked to each asset. We can provide QR-coded labels to expedite future maintenance and audits.</w:t>
      </w:r>
    </w:p>
    <w:p>
      <w:pPr>
        <w:pStyle w:val="Heading2"/>
        <w:jc w:val="left"/>
      </w:pPr>
      <w:r>
        <w:rPr>
          <w:sz w:val="24"/>
          <w:szCs w:val="24"/>
        </w:rPr>
        <w:t xml:space="preserve">Detailed Scope</w:t>
      </w:r>
    </w:p>
    <w:p>
      <w:pPr>
        <w:pStyle w:val="ListParagraph"/>
        <w:numPr>
          <w:ilvl w:val="0"/>
          <w:numId w:val="1"/>
        </w:numPr>
        <w:spacing w:before="60" w:after="60"/>
      </w:pPr>
      <w:r>
        <w:t xml:space="preserve">MV: STS04 isolation and migration to CTP5; new JBs/drums at CTP6 for STS05/06; MV terminations; earthing; labeling.</w:t>
      </w:r>
    </w:p>
    <w:p>
      <w:pPr>
        <w:pStyle w:val="ListParagraph"/>
        <w:numPr>
          <w:ilvl w:val="0"/>
          <w:numId w:val="1"/>
        </w:numPr>
        <w:spacing w:before="60" w:after="60"/>
      </w:pPr>
      <w:r>
        <w:t xml:space="preserve">Documentation: IFC/IFU drawings, ITPs, test packs, O&amp;M, training, legalisation dossier.</w:t>
      </w:r>
    </w:p>
    <w:p>
      <w:pPr>
        <w:pStyle w:val="ListParagraph"/>
        <w:numPr>
          <w:ilvl w:val="0"/>
          <w:numId w:val="1"/>
        </w:numPr>
        <w:spacing w:before="60" w:after="60"/>
      </w:pPr>
      <w:r>
        <w:t xml:space="preserve">Project Mgmt: programme, RACI, risk, meetings, change control, HSE.</w:t>
      </w:r>
    </w:p>
    <w:p>
      <w:pPr>
        <w:pStyle w:val="Heading2"/>
        <w:jc w:val="left"/>
      </w:pPr>
      <w:r>
        <w:rPr>
          <w:sz w:val="24"/>
          <w:szCs w:val="24"/>
        </w:rPr>
        <w:t xml:space="preserve">Project Deliverables</w:t>
      </w:r>
    </w:p>
    <w:p>
      <w:pPr>
        <w:pStyle w:val="ListParagraph"/>
        <w:numPr>
          <w:ilvl w:val="0"/>
          <w:numId w:val="1"/>
        </w:numPr>
        <w:spacing w:before="60" w:after="60"/>
      </w:pPr>
      <w:r>
        <w:t xml:space="preserve">Drawings: SLDs, pit GA, cable schedules, labeling schedules.</w:t>
      </w:r>
    </w:p>
    <w:p>
      <w:pPr>
        <w:pStyle w:val="ListParagraph"/>
        <w:numPr>
          <w:ilvl w:val="0"/>
          <w:numId w:val="1"/>
        </w:numPr>
        <w:spacing w:before="60" w:after="60"/>
      </w:pPr>
      <w:r>
        <w:t xml:space="preserve">Calculations: cable sizing, volt drop, protection coordination.</w:t>
      </w:r>
    </w:p>
    <w:p>
      <w:pPr>
        <w:pStyle w:val="ListParagraph"/>
        <w:numPr>
          <w:ilvl w:val="0"/>
          <w:numId w:val="1"/>
        </w:numPr>
        <w:spacing w:before="60" w:after="60"/>
      </w:pPr>
      <w:r>
        <w:t xml:space="preserve">QA/ITP: inspection/test records, factory certificates (IEC type tests), torque logs.</w:t>
      </w:r>
    </w:p>
    <w:p>
      <w:pPr>
        <w:pStyle w:val="ListParagraph"/>
        <w:numPr>
          <w:ilvl w:val="0"/>
          <w:numId w:val="1"/>
        </w:numPr>
        <w:spacing w:before="60" w:after="60"/>
      </w:pPr>
      <w:r>
        <w:t xml:space="preserve">Handover: as-built DWG/PDF, O&amp;M manuals, training records, legalisation dossier.</w:t>
      </w:r>
    </w:p>
    <w:p>
      <w:pPr>
        <w:pStyle w:val="Heading2"/>
        <w:jc w:val="left"/>
      </w:pPr>
      <w:r>
        <w:rPr>
          <w:sz w:val="24"/>
          <w:szCs w:val="24"/>
        </w:rPr>
        <w:t xml:space="preserve">Step-by-Step Plan</w:t>
      </w:r>
    </w:p>
    <w:p>
      <w:pPr>
        <w:pStyle w:val="ListParagraph"/>
        <w:numPr>
          <w:ilvl w:val="0"/>
          <w:numId w:val="1"/>
        </w:numPr>
        <w:spacing w:before="60" w:after="60"/>
      </w:pPr>
      <w:r>
        <w:t xml:space="preserve">1) Pre-Mobilisation (Week 0–2): Kick-off; pit and route surveys; safety file; permits; prelim designs; risk workshop; long-leads.</w:t>
      </w:r>
    </w:p>
    <w:p>
      <w:pPr>
        <w:pStyle w:val="ListParagraph"/>
        <w:numPr>
          <w:ilvl w:val="0"/>
          <w:numId w:val="1"/>
        </w:numPr>
        <w:spacing w:before="60" w:after="60"/>
      </w:pPr>
      <w:r>
        <w:t xml:space="preserve">2) Detailed Design &amp; Approvals (Week 2–6): IFC drawings; protection settings; ITPs; method statements; TiN approvals.</w:t>
      </w:r>
    </w:p>
    <w:p>
      <w:pPr>
        <w:pStyle w:val="ListParagraph"/>
        <w:numPr>
          <w:ilvl w:val="0"/>
          <w:numId w:val="1"/>
        </w:numPr>
        <w:spacing w:before="60" w:after="60"/>
      </w:pPr>
      <w:r>
        <w:t xml:space="preserve">3) Procurement &amp; FAT (Week 4–10): Order MV kits/enclosures; certificates; pre-assembly checks.</w:t>
      </w:r>
    </w:p>
    <w:p>
      <w:pPr>
        <w:pStyle w:val="ListParagraph"/>
        <w:numPr>
          <w:ilvl w:val="0"/>
          <w:numId w:val="1"/>
        </w:numPr>
        <w:spacing w:before="60" w:after="60"/>
      </w:pPr>
      <w:r>
        <w:t xml:space="preserve">4) Installation (Week 8–14): MV STS04 LOTO/migration; CTP6 JBs/drums; earthing; labels.</w:t>
      </w:r>
    </w:p>
    <w:p>
      <w:pPr>
        <w:pStyle w:val="ListParagraph"/>
        <w:numPr>
          <w:ilvl w:val="0"/>
          <w:numId w:val="1"/>
        </w:numPr>
        <w:spacing w:before="60" w:after="60"/>
      </w:pPr>
      <w:r>
        <w:t xml:space="preserve">5) Testing &amp; Commissioning (Week 14–16): MV IR, continuity, VLF/withstand; protection verification.</w:t>
      </w:r>
    </w:p>
    <w:p>
      <w:pPr>
        <w:pStyle w:val="ListParagraph"/>
        <w:numPr>
          <w:ilvl w:val="0"/>
          <w:numId w:val="1"/>
        </w:numPr>
        <w:spacing w:before="60" w:after="60"/>
      </w:pPr>
      <w:r>
        <w:t xml:space="preserve">6) Handover &amp; Legalisation (Week 16–18): As-builts, test packs, training, legalisation dossier; punch list close-out.</w:t>
      </w:r>
    </w:p>
    <w:p>
      <w:pPr>
        <w:pStyle w:val="Heading2"/>
        <w:jc w:val="left"/>
      </w:pPr>
      <w:r>
        <w:rPr>
          <w:sz w:val="24"/>
          <w:szCs w:val="24"/>
        </w:rPr>
        <w:t xml:space="preserve">Quality Plan &amp; ITP</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tblGrid>
      <w:tr>
        <w:tc>
          <w:p>
            <w:r>
              <w:rPr>
                <w:b/>
                <w:bCs/>
              </w:rPr>
              <w:t xml:space="preserve">Stage</w:t>
            </w:r>
          </w:p>
        </w:tc>
        <w:tc>
          <w:p>
            <w:r>
              <w:rPr>
                <w:b/>
                <w:bCs/>
              </w:rPr>
              <w:t xml:space="preserve">Checkpoint</w:t>
            </w:r>
          </w:p>
        </w:tc>
        <w:tc>
          <w:p>
            <w:r>
              <w:rPr>
                <w:b/>
                <w:bCs/>
              </w:rPr>
              <w:t xml:space="preserve">Hold/Witness</w:t>
            </w:r>
          </w:p>
        </w:tc>
        <w:tc>
          <w:p>
            <w:r>
              <w:rPr>
                <w:b/>
                <w:bCs/>
              </w:rPr>
              <w:t xml:space="preserve">Record</w:t>
            </w:r>
          </w:p>
        </w:tc>
      </w:tr>
      <w:tr>
        <w:tc>
          <w:p>
            <w:r>
              <w:t xml:space="preserve">Material Receiving</w:t>
            </w:r>
          </w:p>
        </w:tc>
        <w:tc>
          <w:p>
            <w:r>
              <w:t xml:space="preserve">CoC, visual, type tests</w:t>
            </w:r>
          </w:p>
        </w:tc>
        <w:tc>
          <w:p>
            <w:r>
              <w:t xml:space="preserve">W</w:t>
            </w:r>
          </w:p>
        </w:tc>
        <w:tc>
          <w:p>
            <w:r>
              <w:t xml:space="preserve">RFI-01</w:t>
            </w:r>
          </w:p>
        </w:tc>
      </w:tr>
      <w:tr>
        <w:tc>
          <w:p>
            <w:r>
              <w:t xml:space="preserve">JB/Drum Installation</w:t>
            </w:r>
          </w:p>
        </w:tc>
        <w:tc>
          <w:p>
            <w:r>
              <w:t xml:space="preserve">Fixings, IP rating, earthing continuity</w:t>
            </w:r>
          </w:p>
        </w:tc>
        <w:tc>
          <w:p>
            <w:r>
              <w:t xml:space="preserve">H</w:t>
            </w:r>
          </w:p>
        </w:tc>
        <w:tc>
          <w:p>
            <w:r>
              <w:t xml:space="preserve">ITR-10</w:t>
            </w:r>
          </w:p>
        </w:tc>
      </w:tr>
      <w:tr>
        <w:tc>
          <w:p>
            <w:r>
              <w:t xml:space="preserve">MV Terminations</w:t>
            </w:r>
          </w:p>
        </w:tc>
        <w:tc>
          <w:p>
            <w:r>
              <w:t xml:space="preserve">Prep/fit, torque, labels</w:t>
            </w:r>
          </w:p>
        </w:tc>
        <w:tc>
          <w:p>
            <w:r>
              <w:t xml:space="preserve">W</w:t>
            </w:r>
          </w:p>
        </w:tc>
        <w:tc>
          <w:p>
            <w:r>
              <w:t xml:space="preserve">ITR-20</w:t>
            </w:r>
          </w:p>
        </w:tc>
      </w:tr>
      <w:tr>
        <w:tc>
          <w:p>
            <w:r>
              <w:t xml:space="preserve">Testing (MV)</w:t>
            </w:r>
          </w:p>
        </w:tc>
        <w:tc>
          <w:p>
            <w:r>
              <w:t xml:space="preserve">IR/VLF</w:t>
            </w:r>
          </w:p>
        </w:tc>
        <w:tc>
          <w:p>
            <w:r>
              <w:t xml:space="preserve">H</w:t>
            </w:r>
          </w:p>
        </w:tc>
        <w:tc>
          <w:p>
            <w:r>
              <w:t xml:space="preserve">ITR-40</w:t>
            </w:r>
          </w:p>
        </w:tc>
      </w:tr>
      <w:tr>
        <w:tc>
          <w:p>
            <w:r>
              <w:t xml:space="preserve">Pre-energization Review</w:t>
            </w:r>
          </w:p>
        </w:tc>
        <w:tc>
          <w:p>
            <w:r>
              <w:t xml:space="preserve">Docs complete, permits, LOTO</w:t>
            </w:r>
          </w:p>
        </w:tc>
        <w:tc>
          <w:p>
            <w:r>
              <w:t xml:space="preserve">H</w:t>
            </w:r>
          </w:p>
        </w:tc>
        <w:tc>
          <w:p>
            <w:r>
              <w:t xml:space="preserve">ITR-50</w:t>
            </w:r>
          </w:p>
        </w:tc>
      </w:tr>
    </w:tbl>
    <w:p>
      <w:pPr>
        <w:pStyle w:val="Heading2"/>
        <w:jc w:val="left"/>
      </w:pPr>
      <w:r>
        <w:rPr>
          <w:sz w:val="24"/>
          <w:szCs w:val="24"/>
        </w:rPr>
        <w:t xml:space="preserve">HSE RAMS</w:t>
      </w:r>
    </w:p>
    <w:p>
      <w:pPr>
        <w:pStyle w:val="ListParagraph"/>
        <w:numPr>
          <w:ilvl w:val="0"/>
          <w:numId w:val="1"/>
        </w:numPr>
        <w:spacing w:before="60" w:after="60"/>
      </w:pPr>
      <w:r>
        <w:t xml:space="preserve">No energized work; LOTO mandatory; PTW process per TiN.</w:t>
      </w:r>
    </w:p>
    <w:p>
      <w:pPr>
        <w:pStyle w:val="ListParagraph"/>
        <w:numPr>
          <w:ilvl w:val="0"/>
          <w:numId w:val="1"/>
        </w:numPr>
        <w:spacing w:before="60" w:after="60"/>
      </w:pPr>
      <w:r>
        <w:t xml:space="preserve">Confined space/duct entry controls; lifting plans for drums; hot work permits if any.</w:t>
      </w:r>
    </w:p>
    <w:p>
      <w:pPr>
        <w:pStyle w:val="ListParagraph"/>
        <w:numPr>
          <w:ilvl w:val="0"/>
          <w:numId w:val="1"/>
        </w:numPr>
        <w:spacing w:before="60" w:after="60"/>
      </w:pPr>
      <w:r>
        <w:t xml:space="preserve">Environmental: dewatering controls, spill kits, waste disposal; corrosion mitigation (C5M).</w:t>
      </w:r>
    </w:p>
    <w:p>
      <w:pPr>
        <w:pStyle w:val="Heading2"/>
        <w:jc w:val="left"/>
      </w:pPr>
      <w:r>
        <w:rPr>
          <w:sz w:val="24"/>
          <w:szCs w:val="24"/>
        </w:rPr>
        <w:t xml:space="preserve">Part A – Electrical Detailed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Item</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Preliminaries (PM, HSE, QA)</w:t>
            </w:r>
          </w:p>
        </w:tc>
        <w:tc>
          <w:p>
            <w:r>
              <w:t xml:space="preserve">1</w:t>
            </w:r>
          </w:p>
        </w:tc>
        <w:tc>
          <w:p>
            <w:r>
              <w:t xml:space="preserve">Lot</w:t>
            </w:r>
          </w:p>
        </w:tc>
        <w:tc>
          <w:p>
            <w:r>
              <w:t xml:space="preserve">18,500.00</w:t>
            </w:r>
          </w:p>
        </w:tc>
        <w:tc>
          <w:p>
            <w:r>
              <w:t xml:space="preserve">18,500.00</w:t>
            </w:r>
          </w:p>
        </w:tc>
      </w:tr>
      <w:tr>
        <w:tc>
          <w:p>
            <w:r>
              <w:t xml:space="preserve">Detailed Design &amp; IFC</w:t>
            </w:r>
          </w:p>
        </w:tc>
        <w:tc>
          <w:p>
            <w:r>
              <w:t xml:space="preserve">1</w:t>
            </w:r>
          </w:p>
        </w:tc>
        <w:tc>
          <w:p>
            <w:r>
              <w:t xml:space="preserve">Lot</w:t>
            </w:r>
          </w:p>
        </w:tc>
        <w:tc>
          <w:p>
            <w:r>
              <w:t xml:space="preserve">12,000.00</w:t>
            </w:r>
          </w:p>
        </w:tc>
        <w:tc>
          <w:p>
            <w:r>
              <w:t xml:space="preserve">12,000.00</w:t>
            </w:r>
          </w:p>
        </w:tc>
      </w:tr>
      <w:tr>
        <w:tc>
          <w:p>
            <w:r>
              <w:t xml:space="preserve">MV Cable 3C XLPE (IEC 60502-2)</w:t>
            </w:r>
          </w:p>
        </w:tc>
        <w:tc>
          <w:p>
            <w:r>
              <w:t xml:space="preserve">1,200</w:t>
            </w:r>
          </w:p>
        </w:tc>
        <w:tc>
          <w:p>
            <w:r>
              <w:t xml:space="preserve">Lm</w:t>
            </w:r>
          </w:p>
        </w:tc>
        <w:tc>
          <w:p>
            <w:r>
              <w:t xml:space="preserve">85.00</w:t>
            </w:r>
          </w:p>
        </w:tc>
        <w:tc>
          <w:p>
            <w:r>
              <w:t xml:space="preserve">102,000.00</w:t>
            </w:r>
          </w:p>
        </w:tc>
      </w:tr>
      <w:tr>
        <w:tc>
          <w:p>
            <w:r>
              <w:t xml:space="preserve">MV Termination Kits</w:t>
            </w:r>
          </w:p>
        </w:tc>
        <w:tc>
          <w:p>
            <w:r>
              <w:t xml:space="preserve">12</w:t>
            </w:r>
          </w:p>
        </w:tc>
        <w:tc>
          <w:p>
            <w:r>
              <w:t xml:space="preserve">Set</w:t>
            </w:r>
          </w:p>
        </w:tc>
        <w:tc>
          <w:p>
            <w:r>
              <w:t xml:space="preserve">450.00</w:t>
            </w:r>
          </w:p>
        </w:tc>
        <w:tc>
          <w:p>
            <w:r>
              <w:t xml:space="preserve">5,400.00</w:t>
            </w:r>
          </w:p>
        </w:tc>
      </w:tr>
      <w:tr>
        <w:tc>
          <w:p>
            <w:r>
              <w:t xml:space="preserve">MV Joint Kits (spares)</w:t>
            </w:r>
          </w:p>
        </w:tc>
        <w:tc>
          <w:p>
            <w:r>
              <w:t xml:space="preserve">4</w:t>
            </w:r>
          </w:p>
        </w:tc>
        <w:tc>
          <w:p>
            <w:r>
              <w:t xml:space="preserve">Set</w:t>
            </w:r>
          </w:p>
        </w:tc>
        <w:tc>
          <w:p>
            <w:r>
              <w:t xml:space="preserve">600.00</w:t>
            </w:r>
          </w:p>
        </w:tc>
        <w:tc>
          <w:p>
            <w:r>
              <w:t xml:space="preserve">2,400.00</w:t>
            </w:r>
          </w:p>
        </w:tc>
      </w:tr>
      <w:tr>
        <w:tc>
          <w:p>
            <w:r>
              <w:t xml:space="preserve">SS JB Enclosures (C5M)</w:t>
            </w:r>
          </w:p>
        </w:tc>
        <w:tc>
          <w:p>
            <w:r>
              <w:t xml:space="preserve">3</w:t>
            </w:r>
          </w:p>
        </w:tc>
        <w:tc>
          <w:p>
            <w:r>
              <w:t xml:space="preserve">EA</w:t>
            </w:r>
          </w:p>
        </w:tc>
        <w:tc>
          <w:p>
            <w:r>
              <w:t xml:space="preserve">3,500.00</w:t>
            </w:r>
          </w:p>
        </w:tc>
        <w:tc>
          <w:p>
            <w:r>
              <w:t xml:space="preserve">10,500.00</w:t>
            </w:r>
          </w:p>
        </w:tc>
      </w:tr>
      <w:tr>
        <w:tc>
          <w:p>
            <w:r>
              <w:t xml:space="preserve">Cable Drums with tails</w:t>
            </w:r>
          </w:p>
        </w:tc>
        <w:tc>
          <w:p>
            <w:r>
              <w:t xml:space="preserve">3</w:t>
            </w:r>
          </w:p>
        </w:tc>
        <w:tc>
          <w:p>
            <w:r>
              <w:t xml:space="preserve">EA</w:t>
            </w:r>
          </w:p>
        </w:tc>
        <w:tc>
          <w:p>
            <w:r>
              <w:t xml:space="preserve">1,200.00</w:t>
            </w:r>
          </w:p>
        </w:tc>
        <w:tc>
          <w:p>
            <w:r>
              <w:t xml:space="preserve">3,600.00</w:t>
            </w:r>
          </w:p>
        </w:tc>
      </w:tr>
      <w:tr>
        <w:tc>
          <w:p>
            <w:r>
              <w:t xml:space="preserve">Earthing Kit &amp; Materials</w:t>
            </w:r>
          </w:p>
        </w:tc>
        <w:tc>
          <w:p>
            <w:r>
              <w:t xml:space="preserve">1</w:t>
            </w:r>
          </w:p>
        </w:tc>
        <w:tc>
          <w:p>
            <w:r>
              <w:t xml:space="preserve">Lot</w:t>
            </w:r>
          </w:p>
        </w:tc>
        <w:tc>
          <w:p>
            <w:r>
              <w:t xml:space="preserve">2,800.00</w:t>
            </w:r>
          </w:p>
        </w:tc>
        <w:tc>
          <w:p>
            <w:r>
              <w:t xml:space="preserve">2,800.00</w:t>
            </w:r>
          </w:p>
        </w:tc>
      </w:tr>
      <w:tr>
        <w:tc>
          <w:p>
            <w:r>
              <w:t xml:space="preserve">Surge Protection</w:t>
            </w:r>
          </w:p>
        </w:tc>
        <w:tc>
          <w:p>
            <w:r>
              <w:t xml:space="preserve">3</w:t>
            </w:r>
          </w:p>
        </w:tc>
        <w:tc>
          <w:p>
            <w:r>
              <w:t xml:space="preserve">EA</w:t>
            </w:r>
          </w:p>
        </w:tc>
        <w:tc>
          <w:p>
            <w:r>
              <w:t xml:space="preserve">450.00</w:t>
            </w:r>
          </w:p>
        </w:tc>
        <w:tc>
          <w:p>
            <w:r>
              <w:t xml:space="preserve">1,350.00</w:t>
            </w:r>
          </w:p>
        </w:tc>
      </w:tr>
      <w:tr>
        <w:tc>
          <w:p>
            <w:r>
              <w:t xml:space="preserve">Labels/Marking</w:t>
            </w:r>
          </w:p>
        </w:tc>
        <w:tc>
          <w:p>
            <w:r>
              <w:t xml:space="preserve">1</w:t>
            </w:r>
          </w:p>
        </w:tc>
        <w:tc>
          <w:p>
            <w:r>
              <w:t xml:space="preserve">Lot</w:t>
            </w:r>
          </w:p>
        </w:tc>
        <w:tc>
          <w:p>
            <w:r>
              <w:t xml:space="preserve">600.00</w:t>
            </w:r>
          </w:p>
        </w:tc>
        <w:tc>
          <w:p>
            <w:r>
              <w:t xml:space="preserve">600.00</w:t>
            </w:r>
          </w:p>
        </w:tc>
      </w:tr>
      <w:tr>
        <w:tc>
          <w:p>
            <w:r>
              <w:t xml:space="preserve">Testing Services (MV)</w:t>
            </w:r>
          </w:p>
        </w:tc>
        <w:tc>
          <w:p>
            <w:r>
              <w:t xml:space="preserve">1</w:t>
            </w:r>
          </w:p>
        </w:tc>
        <w:tc>
          <w:p>
            <w:r>
              <w:t xml:space="preserve">Lot</w:t>
            </w:r>
          </w:p>
        </w:tc>
        <w:tc>
          <w:p>
            <w:r>
              <w:t xml:space="preserve">4,500.00</w:t>
            </w:r>
          </w:p>
        </w:tc>
        <w:tc>
          <w:p>
            <w:r>
              <w:t xml:space="preserve">4,500.00</w:t>
            </w:r>
          </w:p>
        </w:tc>
      </w:tr>
      <w:tr>
        <w:tc>
          <w:p>
            <w:r>
              <w:t xml:space="preserve">Installation &amp; Commissioning</w:t>
            </w:r>
          </w:p>
        </w:tc>
        <w:tc>
          <w:p>
            <w:r>
              <w:t xml:space="preserve">1</w:t>
            </w:r>
          </w:p>
        </w:tc>
        <w:tc>
          <w:p>
            <w:r>
              <w:t xml:space="preserve">Lot</w:t>
            </w:r>
          </w:p>
        </w:tc>
        <w:tc>
          <w:p>
            <w:r>
              <w:t xml:space="preserve">38,000.00</w:t>
            </w:r>
          </w:p>
        </w:tc>
        <w:tc>
          <w:p>
            <w:r>
              <w:t xml:space="preserve">38,000.00</w:t>
            </w:r>
          </w:p>
        </w:tc>
      </w:tr>
      <w:tr>
        <w:tc>
          <w:p>
            <w:r>
              <w:t xml:space="preserve">TOTAL</w:t>
            </w:r>
          </w:p>
        </w:tc>
        <w:tc>
          <w:p>
            <w:r>
              <w:t xml:space="preserve"/>
            </w:r>
          </w:p>
        </w:tc>
        <w:tc>
          <w:p>
            <w:r>
              <w:t xml:space="preserve"/>
            </w:r>
          </w:p>
        </w:tc>
        <w:tc>
          <w:p>
            <w:r>
              <w:t xml:space="preserve"/>
            </w:r>
          </w:p>
        </w:tc>
        <w:tc>
          <w:p>
            <w:r>
              <w:t xml:space="preserve">201650.00</w:t>
            </w:r>
          </w:p>
        </w:tc>
      </w:tr>
    </w:tbl>
    <w:p>
      <w:pPr>
        <w:pStyle w:val="Heading2"/>
        <w:jc w:val="left"/>
      </w:pPr>
      <w:r>
        <w:rPr>
          <w:sz w:val="24"/>
          <w:szCs w:val="24"/>
        </w:rPr>
        <w:t xml:space="preserve">Part A – Electrical Bill of Quantities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Item</w:t>
            </w:r>
          </w:p>
        </w:tc>
        <w:tc>
          <w:p>
            <w:r>
              <w:rPr>
                <w:b/>
                <w:bCs/>
              </w:rPr>
              <w:t xml:space="preserve">Description / Spec</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MV Cable</w:t>
            </w:r>
          </w:p>
        </w:tc>
        <w:tc>
          <w:p>
            <w:r>
              <w:t xml:space="preserve">3C XLPE, IEC 60502-2, cross-section TBC, kV rating per TiN</w:t>
            </w:r>
          </w:p>
        </w:tc>
        <w:tc>
          <w:p>
            <w:r>
              <w:t xml:space="preserve">1200</w:t>
            </w:r>
          </w:p>
        </w:tc>
        <w:tc>
          <w:p>
            <w:r>
              <w:t xml:space="preserve">Lm</w:t>
            </w:r>
          </w:p>
        </w:tc>
        <w:tc>
          <w:p>
            <w:r>
              <w:t xml:space="preserve">$85.00</w:t>
            </w:r>
          </w:p>
        </w:tc>
        <w:tc>
          <w:p>
            <w:r>
              <w:t xml:space="preserve">$102000.00</w:t>
            </w:r>
          </w:p>
        </w:tc>
      </w:tr>
      <w:tr>
        <w:tc>
          <w:p>
            <w:r>
              <w:t xml:space="preserve">MV Terminations</w:t>
            </w:r>
          </w:p>
        </w:tc>
        <w:tc>
          <w:p>
            <w:r>
              <w:t xml:space="preserve">Indoor/Outdoor termination kits, stress-control, IEC type-tested</w:t>
            </w:r>
          </w:p>
        </w:tc>
        <w:tc>
          <w:p>
            <w:r>
              <w:t xml:space="preserve">12</w:t>
            </w:r>
          </w:p>
        </w:tc>
        <w:tc>
          <w:p>
            <w:r>
              <w:t xml:space="preserve">Set</w:t>
            </w:r>
          </w:p>
        </w:tc>
        <w:tc>
          <w:p>
            <w:r>
              <w:t xml:space="preserve">$450.00</w:t>
            </w:r>
          </w:p>
        </w:tc>
        <w:tc>
          <w:p>
            <w:r>
              <w:t xml:space="preserve">$5400.00</w:t>
            </w:r>
          </w:p>
        </w:tc>
      </w:tr>
      <w:tr>
        <w:tc>
          <w:p>
            <w:r>
              <w:t xml:space="preserve">MV Joints (spares)</w:t>
            </w:r>
          </w:p>
        </w:tc>
        <w:tc>
          <w:p>
            <w:r>
              <w:t xml:space="preserve">Heat/cold-shrink joint kits, IEC type-tested</w:t>
            </w:r>
          </w:p>
        </w:tc>
        <w:tc>
          <w:p>
            <w:r>
              <w:t xml:space="preserve">4</w:t>
            </w:r>
          </w:p>
        </w:tc>
        <w:tc>
          <w:p>
            <w:r>
              <w:t xml:space="preserve">Set</w:t>
            </w:r>
          </w:p>
        </w:tc>
        <w:tc>
          <w:p>
            <w:r>
              <w:t xml:space="preserve">$600.00</w:t>
            </w:r>
          </w:p>
        </w:tc>
        <w:tc>
          <w:p>
            <w:r>
              <w:t xml:space="preserve">$2400.00</w:t>
            </w:r>
          </w:p>
        </w:tc>
      </w:tr>
      <w:tr>
        <w:tc>
          <w:p>
            <w:r>
              <w:t xml:space="preserve">MV Junction Boxes</w:t>
            </w:r>
          </w:p>
        </w:tc>
        <w:tc>
          <w:p>
            <w:r>
              <w:t xml:space="preserve">SS IP67/IK10, C5M, earth bar, labels (CTP6×2, CTP5×1)</w:t>
            </w:r>
          </w:p>
        </w:tc>
        <w:tc>
          <w:p>
            <w:r>
              <w:t xml:space="preserve">3</w:t>
            </w:r>
          </w:p>
        </w:tc>
        <w:tc>
          <w:p>
            <w:r>
              <w:t xml:space="preserve">EA</w:t>
            </w:r>
          </w:p>
        </w:tc>
        <w:tc>
          <w:p>
            <w:r>
              <w:t xml:space="preserve">$3500.00</w:t>
            </w:r>
          </w:p>
        </w:tc>
        <w:tc>
          <w:p>
            <w:r>
              <w:t xml:space="preserve">$10500.00</w:t>
            </w:r>
          </w:p>
        </w:tc>
      </w:tr>
      <w:tr>
        <w:tc>
          <w:p>
            <w:r>
              <w:t xml:space="preserve">Cable Drums</w:t>
            </w:r>
          </w:p>
        </w:tc>
        <w:tc>
          <w:p>
            <w:r>
              <w:t xml:space="preserve">Marine-grade reels with IP67 tails for STS04/05/06</w:t>
            </w:r>
          </w:p>
        </w:tc>
        <w:tc>
          <w:p>
            <w:r>
              <w:t xml:space="preserve">3</w:t>
            </w:r>
          </w:p>
        </w:tc>
        <w:tc>
          <w:p>
            <w:r>
              <w:t xml:space="preserve">EA</w:t>
            </w:r>
          </w:p>
        </w:tc>
        <w:tc>
          <w:p>
            <w:r>
              <w:t xml:space="preserve">$1200.00</w:t>
            </w:r>
          </w:p>
        </w:tc>
        <w:tc>
          <w:p>
            <w:r>
              <w:t xml:space="preserve">$3600.00</w:t>
            </w:r>
          </w:p>
        </w:tc>
      </w:tr>
      <w:tr>
        <w:tc>
          <w:p>
            <w:r>
              <w:t xml:space="preserve">Earthing Kit</w:t>
            </w:r>
          </w:p>
        </w:tc>
        <w:tc>
          <w:p>
            <w:r>
              <w:t xml:space="preserve">25–50 mm² Cu, clamps, test links</w:t>
            </w:r>
          </w:p>
        </w:tc>
        <w:tc>
          <w:p>
            <w:r>
              <w:t xml:space="preserve">1</w:t>
            </w:r>
          </w:p>
        </w:tc>
        <w:tc>
          <w:p>
            <w:r>
              <w:t xml:space="preserve">Lot</w:t>
            </w:r>
          </w:p>
        </w:tc>
        <w:tc>
          <w:p>
            <w:r>
              <w:t xml:space="preserve">$2800.00</w:t>
            </w:r>
          </w:p>
        </w:tc>
        <w:tc>
          <w:p>
            <w:r>
              <w:t xml:space="preserve">$2800.00</w:t>
            </w:r>
          </w:p>
        </w:tc>
      </w:tr>
      <w:tr>
        <w:tc>
          <w:p>
            <w:r>
              <w:t xml:space="preserve">Surge Protection</w:t>
            </w:r>
          </w:p>
        </w:tc>
        <w:tc>
          <w:p>
            <w:r>
              <w:t xml:space="preserve">Per TiN policy for pit equipment</w:t>
            </w:r>
          </w:p>
        </w:tc>
        <w:tc>
          <w:p>
            <w:r>
              <w:t xml:space="preserve">3</w:t>
            </w:r>
          </w:p>
        </w:tc>
        <w:tc>
          <w:p>
            <w:r>
              <w:t xml:space="preserve">EA</w:t>
            </w:r>
          </w:p>
        </w:tc>
        <w:tc>
          <w:p>
            <w:r>
              <w:t xml:space="preserve">$450.00</w:t>
            </w:r>
          </w:p>
        </w:tc>
        <w:tc>
          <w:p>
            <w:r>
              <w:t xml:space="preserve">$1350.00</w:t>
            </w:r>
          </w:p>
        </w:tc>
      </w:tr>
      <w:tr>
        <w:tc>
          <w:p>
            <w:r>
              <w:t xml:space="preserve">Labels/Marking</w:t>
            </w:r>
          </w:p>
        </w:tc>
        <w:tc>
          <w:p>
            <w:r>
              <w:t xml:space="preserve">UV-stable engraved plates; markers</w:t>
            </w:r>
          </w:p>
        </w:tc>
        <w:tc>
          <w:p>
            <w:r>
              <w:t xml:space="preserve">1</w:t>
            </w:r>
          </w:p>
        </w:tc>
        <w:tc>
          <w:p>
            <w:r>
              <w:t xml:space="preserve">Lot</w:t>
            </w:r>
          </w:p>
        </w:tc>
        <w:tc>
          <w:p>
            <w:r>
              <w:t xml:space="preserve">$600.00</w:t>
            </w:r>
          </w:p>
        </w:tc>
        <w:tc>
          <w:p>
            <w:r>
              <w:t xml:space="preserve">$600.00</w:t>
            </w:r>
          </w:p>
        </w:tc>
      </w:tr>
      <w:tr>
        <w:tc>
          <w:p>
            <w:r>
              <w:t xml:space="preserve">Testing Services</w:t>
            </w:r>
          </w:p>
        </w:tc>
        <w:tc>
          <w:p>
            <w:r>
              <w:t xml:space="preserve">VLF/withstand, IR, certificates</w:t>
            </w:r>
          </w:p>
        </w:tc>
        <w:tc>
          <w:p>
            <w:r>
              <w:t xml:space="preserve">1</w:t>
            </w:r>
          </w:p>
        </w:tc>
        <w:tc>
          <w:p>
            <w:r>
              <w:t xml:space="preserve">Lot</w:t>
            </w:r>
          </w:p>
        </w:tc>
        <w:tc>
          <w:p>
            <w:r>
              <w:t xml:space="preserve">$4500.00</w:t>
            </w:r>
          </w:p>
        </w:tc>
        <w:tc>
          <w:p>
            <w:r>
              <w:t xml:space="preserve">$4500.00</w:t>
            </w:r>
          </w:p>
        </w:tc>
      </w:tr>
      <w:tr>
        <w:tc>
          <w:p>
            <w:r>
              <w:t xml:space="preserve">Installation &amp; Commissioning</w:t>
            </w:r>
          </w:p>
        </w:tc>
        <w:tc>
          <w:p>
            <w:r>
              <w:t xml:space="preserve">MV works labor</w:t>
            </w:r>
          </w:p>
        </w:tc>
        <w:tc>
          <w:p>
            <w:r>
              <w:t xml:space="preserve">1</w:t>
            </w:r>
          </w:p>
        </w:tc>
        <w:tc>
          <w:p>
            <w:r>
              <w:t xml:space="preserve">Lot</w:t>
            </w:r>
          </w:p>
        </w:tc>
        <w:tc>
          <w:p>
            <w:r>
              <w:t xml:space="preserve">$38000.00</w:t>
            </w:r>
          </w:p>
        </w:tc>
        <w:tc>
          <w:p>
            <w:r>
              <w:t xml:space="preserve">$38000.00</w:t>
            </w:r>
          </w:p>
        </w:tc>
      </w:tr>
      <w:tr>
        <w:tc>
          <w:p>
            <w:r>
              <w:t xml:space="preserve">TOTAL</w:t>
            </w:r>
          </w:p>
        </w:tc>
        <w:tc>
          <w:p>
            <w:r>
              <w:t xml:space="preserve"/>
            </w:r>
          </w:p>
        </w:tc>
        <w:tc>
          <w:p>
            <w:r>
              <w:t xml:space="preserve"/>
            </w:r>
          </w:p>
        </w:tc>
        <w:tc>
          <w:p>
            <w:r>
              <w:t xml:space="preserve"/>
            </w:r>
          </w:p>
        </w:tc>
        <w:tc>
          <w:p>
            <w:r>
              <w:t xml:space="preserve"/>
            </w:r>
          </w:p>
        </w:tc>
        <w:tc>
          <w:p>
            <w:r>
              <w:t xml:space="preserve">171150.00</w:t>
            </w:r>
          </w:p>
        </w:tc>
      </w:tr>
    </w:tbl>
    <w:p>
      <w:pPr>
        <w:pStyle w:val="Heading2"/>
        <w:jc w:val="left"/>
      </w:pPr>
      <w:r>
        <w:rPr>
          <w:sz w:val="24"/>
          <w:szCs w:val="24"/>
        </w:rPr>
        <w:t xml:space="preserve">Part A – Electrical Commercial Offer</w:t>
      </w:r>
    </w:p>
    <w:p>
      <w:pPr>
        <w:pStyle w:val="Heading3"/>
        <w:jc w:val="left"/>
      </w:pPr>
      <w:r>
        <w:rPr>
          <w:sz w:val="24"/>
          <w:szCs w:val="24"/>
        </w:rPr>
        <w:t xml:space="preserve">Payment Schedule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tblGrid>
      <w:tr>
        <w:tc>
          <w:p>
            <w:r>
              <w:rPr>
                <w:b/>
                <w:bCs/>
              </w:rPr>
              <w:t xml:space="preserve">Milestone</w:t>
            </w:r>
          </w:p>
        </w:tc>
      </w:tr>
      <w:tr>
        <w:tc>
          <w:p>
            <w:r>
              <w:t xml:space="preserve">20% advance</w:t>
            </w:r>
          </w:p>
        </w:tc>
      </w:tr>
      <w:tr>
        <w:tc>
          <w:p>
            <w:r>
              <w:t xml:space="preserve">30% materials on site</w:t>
            </w:r>
          </w:p>
        </w:tc>
      </w:tr>
      <w:tr>
        <w:tc>
          <w:p>
            <w:r>
              <w:t xml:space="preserve">30% substantial completion</w:t>
            </w:r>
          </w:p>
        </w:tc>
      </w:tr>
      <w:tr>
        <w:tc>
          <w:p>
            <w:r>
              <w:t xml:space="preserve">10% T&amp;C</w:t>
            </w:r>
          </w:p>
        </w:tc>
      </w:tr>
      <w:tr>
        <w:tc>
          <w:p>
            <w:r>
              <w:t xml:space="preserve">10% final handover &amp; legalisation</w:t>
            </w:r>
          </w:p>
        </w:tc>
      </w:tr>
    </w:tbl>
    <w:p>
      <w:pPr>
        <w:pStyle w:val="Heading3"/>
        <w:jc w:val="left"/>
      </w:pPr>
      <w:r>
        <w:rPr>
          <w:sz w:val="24"/>
          <w:szCs w:val="24"/>
        </w:rPr>
        <w:t xml:space="preserve">Warranty</w:t>
      </w:r>
    </w:p>
    <w:p>
      <w:pPr>
        <w:jc w:val="left"/>
      </w:pPr>
      <w:r>
        <w:rPr>
          <w:sz w:val="24"/>
          <w:szCs w:val="24"/>
        </w:rPr>
        <w:t xml:space="preserve">12 months minimum; optional 24 months</w:t>
      </w:r>
    </w:p>
    <w:p>
      <w:pPr>
        <w:pStyle w:val="Heading3"/>
        <w:jc w:val="left"/>
      </w:pPr>
      <w:r>
        <w:rPr>
          <w:sz w:val="24"/>
          <w:szCs w:val="24"/>
        </w:rPr>
        <w:t xml:space="preserve">Exclusions</w:t>
      </w:r>
    </w:p>
    <w:p>
      <w:pPr>
        <w:pStyle w:val="ListParagraph"/>
        <w:numPr>
          <w:ilvl w:val="0"/>
          <w:numId w:val="1"/>
        </w:numPr>
        <w:spacing w:before="60" w:after="60"/>
      </w:pPr>
      <w:r>
        <w:t xml:space="preserve">Permanent MV tie-in hardware if outside scope</w:t>
      </w:r>
    </w:p>
    <w:p>
      <w:pPr>
        <w:pStyle w:val="ListParagraph"/>
        <w:numPr>
          <w:ilvl w:val="0"/>
          <w:numId w:val="1"/>
        </w:numPr>
        <w:spacing w:before="60" w:after="60"/>
      </w:pPr>
      <w:r>
        <w:t xml:space="preserve">Civil works beyond pit reinstatement</w:t>
      </w:r>
    </w:p>
    <w:p>
      <w:pPr>
        <w:pStyle w:val="Heading3"/>
        <w:jc w:val="left"/>
      </w:pPr>
      <w:r>
        <w:rPr>
          <w:sz w:val="24"/>
          <w:szCs w:val="24"/>
        </w:rPr>
        <w:t xml:space="preserve">Employer-Supplied Items</w:t>
      </w:r>
    </w:p>
    <w:p>
      <w:pPr>
        <w:pStyle w:val="ListParagraph"/>
        <w:numPr>
          <w:ilvl w:val="0"/>
          <w:numId w:val="1"/>
        </w:numPr>
        <w:spacing w:before="60" w:after="60"/>
      </w:pPr>
      <w:r>
        <w:t xml:space="preserve">MV switchgear (per V3.1)</w:t>
      </w:r>
    </w:p>
    <w:p>
      <w:pPr>
        <w:pStyle w:val="Heading1"/>
        <w:pageBreakBefore/>
        <w:jc w:val="left"/>
      </w:pPr>
      <w:r>
        <w:rPr>
          <w:sz w:val="24"/>
          <w:szCs w:val="24"/>
        </w:rPr>
        <w:t xml:space="preserve">Engineering Calculations &amp; Acceptance Criteria</w:t>
      </w:r>
    </w:p>
    <w:p>
      <w:pPr>
        <w:pStyle w:val="Heading2"/>
        <w:jc w:val="left"/>
      </w:pPr>
      <w:r>
        <w:rPr>
          <w:sz w:val="24"/>
          <w:szCs w:val="24"/>
        </w:rPr>
        <w:t xml:space="preserve">MV Cable Sizing &amp; Volt Drop (example criteria)</w:t>
      </w:r>
    </w:p>
    <w:p>
      <w:pPr>
        <w:pStyle w:val="ListParagraph"/>
        <w:numPr>
          <w:ilvl w:val="0"/>
          <w:numId w:val="1"/>
        </w:numPr>
        <w:spacing w:before="60" w:after="60"/>
      </w:pPr>
      <w:r>
        <w:t xml:space="preserve">Design current Ib from ZPMC load; select cable with Iz ≥ Ib·k (derating for ambient, grouping).</w:t>
      </w:r>
    </w:p>
    <w:p>
      <w:pPr>
        <w:pStyle w:val="ListParagraph"/>
        <w:numPr>
          <w:ilvl w:val="0"/>
          <w:numId w:val="1"/>
        </w:numPr>
        <w:spacing w:before="60" w:after="60"/>
      </w:pPr>
      <w:r>
        <w:t xml:space="preserve">Short-circuit check: I²t withstand vs prospective Ik''; verify thermal/mechanical withstand per IEC 60949.</w:t>
      </w:r>
    </w:p>
    <w:p>
      <w:pPr>
        <w:pStyle w:val="ListParagraph"/>
        <w:numPr>
          <w:ilvl w:val="0"/>
          <w:numId w:val="1"/>
        </w:numPr>
        <w:spacing w:before="60" w:after="60"/>
      </w:pPr>
      <w:r>
        <w:t xml:space="preserve">Volt drop: ΔV = I·(R·cosφ + X·sinφ)·L. Acceptance: ≤ 5% at full load feeder end (project criterion), ≤ 3% typical.</w:t>
      </w:r>
    </w:p>
    <w:p>
      <w:pPr>
        <w:pStyle w:val="ListParagraph"/>
        <w:numPr>
          <w:ilvl w:val="0"/>
          <w:numId w:val="1"/>
        </w:numPr>
        <w:spacing w:before="60" w:after="60"/>
      </w:pPr>
      <w:r>
        <w:t xml:space="preserve">Termination torque per manufacturer; record in torque log.</w:t>
      </w:r>
    </w:p>
    <w:p>
      <w:pPr>
        <w:pStyle w:val="Heading2"/>
        <w:jc w:val="left"/>
      </w:pPr>
      <w:r>
        <w:rPr>
          <w:sz w:val="24"/>
          <w:szCs w:val="24"/>
        </w:rPr>
        <w:t xml:space="preserve">Earthing &amp; Bonding</w:t>
      </w:r>
    </w:p>
    <w:p>
      <w:pPr>
        <w:pStyle w:val="ListParagraph"/>
        <w:numPr>
          <w:ilvl w:val="0"/>
          <w:numId w:val="1"/>
        </w:numPr>
        <w:spacing w:before="60" w:after="60"/>
      </w:pPr>
      <w:r>
        <w:t xml:space="preserve">Target earth resistance and step/touch voltage compliance per IEC 61936-1; continuity test ≤ 1 Ω pit-to-grid.</w:t>
      </w:r>
    </w:p>
    <w:p>
      <w:pPr>
        <w:pStyle w:val="ListParagraph"/>
        <w:numPr>
          <w:ilvl w:val="0"/>
          <w:numId w:val="1"/>
        </w:numPr>
        <w:spacing w:before="60" w:after="60"/>
      </w:pPr>
      <w:r>
        <w:t xml:space="preserve">Sheath bonding scheme to avoid circulating currents; bond drums/JBs to grid with labeled test links.</w:t>
      </w:r>
    </w:p>
    <w:p>
      <w:pPr>
        <w:pStyle w:val="Heading2"/>
        <w:jc w:val="left"/>
      </w:pPr>
      <w:r>
        <w:rPr>
          <w:sz w:val="24"/>
          <w:szCs w:val="24"/>
        </w:rPr>
        <w:t xml:space="preserve">Fibre Optical Budget (worked form)</w:t>
      </w:r>
    </w:p>
    <w:p>
      <w:pPr>
        <w:pStyle w:val="ListParagraph"/>
        <w:numPr>
          <w:ilvl w:val="0"/>
          <w:numId w:val="1"/>
        </w:numPr>
        <w:spacing w:before="60" w:after="60"/>
      </w:pPr>
      <w:r>
        <w:t xml:space="preserve">Loss_total = α·L + N_c·L_c + N_s·L_s + margin.</w:t>
      </w:r>
    </w:p>
    <w:p>
      <w:pPr>
        <w:pStyle w:val="ListParagraph"/>
        <w:numPr>
          <w:ilvl w:val="0"/>
          <w:numId w:val="1"/>
        </w:numPr>
        <w:spacing w:before="60" w:after="60"/>
      </w:pPr>
      <w:r>
        <w:t xml:space="preserve">Example: α=0.35 dB/km @1310 nm, L=0.8 km, N_c=2, L_c=0.25 dB, N_s=4, L_s=0.1 dB, margin=3 dB → ≈ 4.18 dB.</w:t>
      </w:r>
    </w:p>
    <w:p>
      <w:pPr>
        <w:pStyle w:val="ListParagraph"/>
        <w:numPr>
          <w:ilvl w:val="0"/>
          <w:numId w:val="1"/>
        </w:numPr>
        <w:spacing w:before="60" w:after="60"/>
      </w:pPr>
      <w:r>
        <w:t xml:space="preserve">Acceptance: IL ≤ 2.0 dB typical for single splice/patch path; OTDR traces clean, no macro-bends; polarity verified.</w:t>
      </w:r>
    </w:p>
    <w:p>
      <w:pPr>
        <w:pStyle w:val="Heading1"/>
        <w:pageBreakBefore/>
        <w:jc w:val="left"/>
      </w:pPr>
      <w:r>
        <w:rPr>
          <w:sz w:val="24"/>
          <w:szCs w:val="24"/>
        </w:rPr>
        <w:t xml:space="preserve">Network &amp; Cybersecurity Design</w:t>
      </w:r>
    </w:p>
    <w:p>
      <w:pPr>
        <w:pStyle w:val="Heading2"/>
        <w:jc w:val="left"/>
      </w:pPr>
      <w:r>
        <w:rPr>
          <w:sz w:val="24"/>
          <w:szCs w:val="24"/>
        </w:rPr>
        <w:t xml:space="preserve">Logical Topology</w:t>
      </w:r>
    </w:p>
    <w:p>
      <w:pPr>
        <w:pStyle w:val="ListParagraph"/>
        <w:numPr>
          <w:ilvl w:val="0"/>
          <w:numId w:val="1"/>
        </w:numPr>
        <w:spacing w:before="60" w:after="60"/>
      </w:pPr>
      <w:r>
        <w:t xml:space="preserve">VLANs: 200 Mgmt, 210 STS05 OT, 220 STS06 OT; 802.1Q trunk to OT core; ACLs block inter-VLAN except mgmt jump host.</w:t>
      </w:r>
    </w:p>
    <w:p>
      <w:pPr>
        <w:pStyle w:val="Heading2"/>
        <w:jc w:val="left"/>
      </w:pPr>
      <w:r>
        <w:rPr>
          <w:sz w:val="24"/>
          <w:szCs w:val="24"/>
        </w:rPr>
        <w:t xml:space="preserve">ACL Example (illustrative)</w:t>
      </w:r>
    </w:p>
    <w:p>
      <w:pPr>
        <w:spacing w:before="120" w:after="0"/>
      </w:pPr>
      <w:r>
        <w:rPr>
          <w:sz w:val="22"/>
          <w:szCs w:val="22"/>
          <w:rFonts w:ascii="Courier New" w:cs="Courier New" w:eastAsia="Courier New" w:hAnsi="Courier New"/>
        </w:rPr>
        <w:t xml:space="preserve">deny ip vlan210 any vlan220 any</w:t>
      </w:r>
    </w:p>
    <w:p>
      <w:pPr>
        <w:spacing w:before="0" w:after="0"/>
      </w:pPr>
      <w:r>
        <w:rPr>
          <w:sz w:val="22"/>
          <w:szCs w:val="22"/>
          <w:rFonts w:ascii="Courier New" w:cs="Courier New" w:eastAsia="Courier New" w:hAnsi="Courier New"/>
        </w:rPr>
        <w:t xml:space="preserve">permit tcp vlan210 host &lt;mgmt&gt; eq 22</w:t>
      </w:r>
    </w:p>
    <w:p>
      <w:pPr>
        <w:spacing w:before="0" w:after="0"/>
      </w:pPr>
      <w:r>
        <w:rPr>
          <w:sz w:val="22"/>
          <w:szCs w:val="22"/>
          <w:rFonts w:ascii="Courier New" w:cs="Courier New" w:eastAsia="Courier New" w:hAnsi="Courier New"/>
        </w:rPr>
        <w:t xml:space="preserve">permit icmp vlan210 host &lt;ntp&gt;</w:t>
      </w:r>
    </w:p>
    <w:p>
      <w:pPr>
        <w:spacing w:before="0" w:after="0"/>
      </w:pPr>
      <w:r>
        <w:rPr>
          <w:sz w:val="22"/>
          <w:szCs w:val="22"/>
          <w:rFonts w:ascii="Courier New" w:cs="Courier New" w:eastAsia="Courier New" w:hAnsi="Courier New"/>
        </w:rPr>
        <w:t xml:space="preserve">deny ip any any log</w:t>
      </w:r>
    </w:p>
    <w:p>
      <w:pPr>
        <w:spacing w:after="120"/>
      </w:pPr>
    </w:p>
    <w:p>
      <w:pPr>
        <w:pStyle w:val="Heading2"/>
        <w:jc w:val="left"/>
      </w:pPr>
      <w:r>
        <w:rPr>
          <w:sz w:val="24"/>
          <w:szCs w:val="24"/>
        </w:rPr>
        <w:t xml:space="preserve">Services</w:t>
      </w:r>
    </w:p>
    <w:p>
      <w:pPr>
        <w:pStyle w:val="ListParagraph"/>
        <w:numPr>
          <w:ilvl w:val="0"/>
          <w:numId w:val="1"/>
        </w:numPr>
        <w:spacing w:before="60" w:after="60"/>
      </w:pPr>
      <w:r>
        <w:t xml:space="preserve">Time: NTP/PTP as per TiN; Syslog to SIEM; SNMPv3 to NMS; backups encrypted; role-based access.</w:t>
      </w:r>
    </w:p>
    <w:p>
      <w:pPr>
        <w:pStyle w:val="ListParagraph"/>
        <w:numPr>
          <w:ilvl w:val="0"/>
          <w:numId w:val="1"/>
        </w:numPr>
        <w:spacing w:before="60" w:after="60"/>
      </w:pPr>
      <w:r>
        <w:t xml:space="preserve">Security: firewall OT/IT demilitarized zone; MFA for admin; allowlist MACs on edge switches.</w:t>
      </w:r>
    </w:p>
    <w:p>
      <w:pPr>
        <w:pStyle w:val="Heading1"/>
        <w:pageBreakBefore/>
        <w:jc w:val="left"/>
      </w:pPr>
      <w:r>
        <w:rPr>
          <w:sz w:val="24"/>
          <w:szCs w:val="24"/>
        </w:rPr>
        <w:t xml:space="preserve">Hardware Bill of Materials (representative or equivalent)</w:t>
      </w:r>
    </w:p>
    <w:p>
      <w:pPr>
        <w:pStyle w:val="ListParagraph"/>
        <w:numPr>
          <w:ilvl w:val="0"/>
          <w:numId w:val="1"/>
        </w:numPr>
        <w:spacing w:before="60" w:after="60"/>
      </w:pPr>
      <w:r>
        <w:t xml:space="preserve">MV termination/joint kits (e.g., Raychem/3M, IEC 60502-2 type-tested).</w:t>
      </w:r>
    </w:p>
    <w:p>
      <w:pPr>
        <w:pStyle w:val="ListParagraph"/>
        <w:numPr>
          <w:ilvl w:val="0"/>
          <w:numId w:val="1"/>
        </w:numPr>
        <w:spacing w:before="60" w:after="60"/>
      </w:pPr>
      <w:r>
        <w:t xml:space="preserve">SS enclosures IP67/IK10, C5M (e.g., Rittal/Rose) with breathers and gland plates.</w:t>
      </w:r>
    </w:p>
    <w:p>
      <w:pPr>
        <w:pStyle w:val="ListParagraph"/>
        <w:numPr>
          <w:ilvl w:val="0"/>
          <w:numId w:val="1"/>
        </w:numPr>
        <w:spacing w:before="60" w:after="60"/>
      </w:pPr>
      <w:r>
        <w:t xml:space="preserve">OS2 24F cable (e.g., Corning/Commscope), IP68 closures with trays (e.g., 3M/Corning).</w:t>
      </w:r>
    </w:p>
    <w:p>
      <w:pPr>
        <w:pStyle w:val="ListParagraph"/>
        <w:numPr>
          <w:ilvl w:val="0"/>
          <w:numId w:val="1"/>
        </w:numPr>
        <w:spacing w:before="60" w:after="60"/>
      </w:pPr>
      <w:r>
        <w:t xml:space="preserve">LC/UPC panels, pigtails, patch cords; labeling consumables (engraved plates, sleeves).</w:t>
      </w:r>
    </w:p>
    <w:p>
      <w:pPr>
        <w:pStyle w:val="ListParagraph"/>
        <w:numPr>
          <w:ilvl w:val="0"/>
          <w:numId w:val="1"/>
        </w:numPr>
        <w:spacing w:before="60" w:after="60"/>
      </w:pPr>
      <w:r>
        <w:t xml:space="preserve">Test equipment: OTDR (e.g., EXFO MaxTester), IL meter, insulation tester, VLF set.</w:t>
      </w:r>
    </w:p>
    <w:p>
      <w:pPr>
        <w:pStyle w:val="Heading1"/>
        <w:pageBreakBefore/>
        <w:jc w:val="left"/>
      </w:pPr>
      <w:r>
        <w:rPr>
          <w:sz w:val="24"/>
          <w:szCs w:val="24"/>
        </w:rPr>
        <w:t xml:space="preserve">Software &amp; Tooling</w:t>
      </w:r>
    </w:p>
    <w:p>
      <w:pPr>
        <w:pStyle w:val="ListParagraph"/>
        <w:numPr>
          <w:ilvl w:val="0"/>
          <w:numId w:val="1"/>
        </w:numPr>
        <w:spacing w:before="60" w:after="60"/>
      </w:pPr>
      <w:r>
        <w:t xml:space="preserve">ETAP/EasyPower for coordination; AutoCAD for drawings; SharePoint/Confluence for document control.</w:t>
      </w:r>
    </w:p>
    <w:p>
      <w:pPr>
        <w:pStyle w:val="ListParagraph"/>
        <w:numPr>
          <w:ilvl w:val="0"/>
          <w:numId w:val="1"/>
        </w:numPr>
        <w:spacing w:before="60" w:after="60"/>
      </w:pPr>
      <w:r>
        <w:t xml:space="preserve">EXFO TestSuite (or equivalent) for OTDR/IL reports; checklist apps for ITP execution.</w:t>
      </w:r>
    </w:p>
    <w:p>
      <w:pPr>
        <w:pStyle w:val="Heading1"/>
        <w:pageBreakBefore/>
        <w:jc w:val="left"/>
      </w:pPr>
      <w:r>
        <w:rPr>
          <w:sz w:val="24"/>
          <w:szCs w:val="24"/>
        </w:rPr>
        <w:t xml:space="preserve">Work Breakdown Structure (WBS)</w:t>
      </w:r>
    </w:p>
    <w:p>
      <w:pPr>
        <w:pStyle w:val="ListParagraph"/>
        <w:numPr>
          <w:ilvl w:val="0"/>
          <w:numId w:val="1"/>
        </w:numPr>
        <w:spacing w:before="60" w:after="60"/>
      </w:pPr>
      <w:r>
        <w:t xml:space="preserve">1. Project Initiation – 1.1 Kick-off, 1.2 Safety file, 1.3 Survey &amp; data collection, 1.4 Risk workshop</w:t>
      </w:r>
    </w:p>
    <w:p>
      <w:pPr>
        <w:pStyle w:val="ListParagraph"/>
        <w:numPr>
          <w:ilvl w:val="0"/>
          <w:numId w:val="1"/>
        </w:numPr>
        <w:spacing w:before="60" w:after="60"/>
      </w:pPr>
      <w:r>
        <w:t xml:space="preserve">2. Design – 2.1 SLDs, 2.2 JB/Drum GA, 2.3 Cable sizing/VD, 2.4 Coordination settings, 2.5 FO splice maps, 2.6 ITPs/MoMs</w:t>
      </w:r>
    </w:p>
    <w:p>
      <w:pPr>
        <w:pStyle w:val="ListParagraph"/>
        <w:numPr>
          <w:ilvl w:val="0"/>
          <w:numId w:val="1"/>
        </w:numPr>
        <w:spacing w:before="60" w:after="60"/>
      </w:pPr>
      <w:r>
        <w:t xml:space="preserve">3. Procurement – 3.1 RFQs, 3.2 Tech eval, 3.3 POs, 3.4 FAT/certificates, 3.5 Logistics</w:t>
      </w:r>
    </w:p>
    <w:p>
      <w:pPr>
        <w:pStyle w:val="ListParagraph"/>
        <w:numPr>
          <w:ilvl w:val="0"/>
          <w:numId w:val="1"/>
        </w:numPr>
        <w:spacing w:before="60" w:after="60"/>
      </w:pPr>
      <w:r>
        <w:t xml:space="preserve">4. Installation – 4.1 MV STS04 migration, 4.2 CTP6 JBs/drums, 4.3 Earthing/labels, 4.4 FO pull/splice/terminate</w:t>
      </w:r>
    </w:p>
    <w:p>
      <w:pPr>
        <w:pStyle w:val="ListParagraph"/>
        <w:numPr>
          <w:ilvl w:val="0"/>
          <w:numId w:val="1"/>
        </w:numPr>
        <w:spacing w:before="60" w:after="60"/>
      </w:pPr>
      <w:r>
        <w:t xml:space="preserve">5. Testing &amp; Commissioning – 5.1 MV IR/VLF, 5.2 Protection verification, 5.3 FO OTDR/IL/polarity, 5.4 Integrated checks</w:t>
      </w:r>
    </w:p>
    <w:p>
      <w:pPr>
        <w:pStyle w:val="ListParagraph"/>
        <w:numPr>
          <w:ilvl w:val="0"/>
          <w:numId w:val="1"/>
        </w:numPr>
        <w:spacing w:before="60" w:after="60"/>
      </w:pPr>
      <w:r>
        <w:t xml:space="preserve">6. Handover &amp; Legalisation – 6.1 As-builts, 6.2 O&amp;M/training, 6.3 Dossier, 6.4 Punch list close</w:t>
      </w:r>
    </w:p>
    <w:p>
      <w:pPr>
        <w:pStyle w:val="Heading1"/>
        <w:pageBreakBefore/>
        <w:jc w:val="left"/>
      </w:pPr>
      <w:r>
        <w:rPr>
          <w:sz w:val="24"/>
          <w:szCs w:val="24"/>
        </w:rPr>
        <w:t xml:space="preserve">Acceptance Test Procedures (ATP) – Checklists</w:t>
      </w:r>
    </w:p>
    <w:p>
      <w:pPr>
        <w:pStyle w:val="Heading2"/>
        <w:jc w:val="left"/>
      </w:pPr>
      <w:r>
        <w:rPr>
          <w:sz w:val="24"/>
          <w:szCs w:val="24"/>
        </w:rPr>
        <w:t xml:space="preserve">MV</w:t>
      </w:r>
    </w:p>
    <w:p>
      <w:pPr>
        <w:pStyle w:val="ListParagraph"/>
        <w:numPr>
          <w:ilvl w:val="0"/>
          <w:numId w:val="1"/>
        </w:numPr>
        <w:spacing w:before="60" w:after="60"/>
      </w:pPr>
      <w:r>
        <w:t xml:space="preserve">Visual/ID checks, torque log complete, IR ≥ threshold, VLF pass, settings signed by TiN.</w:t>
      </w:r>
    </w:p>
    <w:p>
      <w:pPr>
        <w:pStyle w:val="Heading2"/>
        <w:jc w:val="left"/>
      </w:pPr>
      <w:r>
        <w:rPr>
          <w:sz w:val="24"/>
          <w:szCs w:val="24"/>
        </w:rPr>
        <w:t xml:space="preserve">FO</w:t>
      </w:r>
    </w:p>
    <w:p>
      <w:pPr>
        <w:pStyle w:val="ListParagraph"/>
        <w:numPr>
          <w:ilvl w:val="0"/>
          <w:numId w:val="1"/>
        </w:numPr>
        <w:spacing w:before="60" w:after="60"/>
      </w:pPr>
      <w:r>
        <w:t xml:space="preserve">Polarity pass, IL within limit, OTDR traces attached, labels verified to schedule.</w:t>
      </w:r>
    </w:p>
    <w:p>
      <w:pPr>
        <w:pStyle w:val="Heading2"/>
        <w:jc w:val="left"/>
      </w:pPr>
      <w:r>
        <w:rPr>
          <w:sz w:val="24"/>
          <w:szCs w:val="24"/>
        </w:rPr>
        <w:t xml:space="preserve">Documentation</w:t>
      </w:r>
    </w:p>
    <w:p>
      <w:pPr>
        <w:pStyle w:val="ListParagraph"/>
        <w:numPr>
          <w:ilvl w:val="0"/>
          <w:numId w:val="1"/>
        </w:numPr>
        <w:spacing w:before="60" w:after="60"/>
      </w:pPr>
      <w:r>
        <w:t xml:space="preserve">Drawings as-built, test packs signed, asset register updated, training delivered.</w:t>
      </w:r>
    </w:p>
    <w:p>
      <w:pPr>
        <w:pStyle w:val="Heading1"/>
        <w:pageBreakBefore/>
        <w:jc w:val="left"/>
      </w:pPr>
      <w:r>
        <w:rPr>
          <w:sz w:val="24"/>
          <w:szCs w:val="24"/>
        </w:rPr>
        <w:t xml:space="preserve">Spares &amp; O&amp;M</w:t>
      </w:r>
    </w:p>
    <w:p>
      <w:pPr>
        <w:pStyle w:val="Heading2"/>
        <w:jc w:val="left"/>
      </w:pPr>
      <w:r>
        <w:rPr>
          <w:sz w:val="24"/>
          <w:szCs w:val="24"/>
        </w:rPr>
        <w:t xml:space="preserve">MV</w:t>
      </w:r>
    </w:p>
    <w:p>
      <w:pPr>
        <w:pStyle w:val="ListParagraph"/>
        <w:numPr>
          <w:ilvl w:val="0"/>
          <w:numId w:val="1"/>
        </w:numPr>
        <w:spacing w:before="60" w:after="60"/>
      </w:pPr>
      <w:r>
        <w:t xml:space="preserve">2× termination kits, 1× joint kit, labels set, spare glands.</w:t>
      </w:r>
    </w:p>
    <w:p>
      <w:pPr>
        <w:pStyle w:val="Heading2"/>
        <w:jc w:val="left"/>
      </w:pPr>
      <w:r>
        <w:rPr>
          <w:sz w:val="24"/>
          <w:szCs w:val="24"/>
        </w:rPr>
        <w:t xml:space="preserve">FO</w:t>
      </w:r>
    </w:p>
    <w:p>
      <w:pPr>
        <w:pStyle w:val="ListParagraph"/>
        <w:numPr>
          <w:ilvl w:val="0"/>
          <w:numId w:val="1"/>
        </w:numPr>
        <w:spacing w:before="60" w:after="60"/>
      </w:pPr>
      <w:r>
        <w:t xml:space="preserve">Spare pigtails/patch cords, splice trays, labels; closure consumables.</w:t>
      </w:r>
    </w:p>
    <w:p>
      <w:pPr>
        <w:pStyle w:val="Heading2"/>
        <w:jc w:val="left"/>
      </w:pPr>
      <w:r>
        <w:rPr>
          <w:sz w:val="24"/>
          <w:szCs w:val="24"/>
        </w:rPr>
        <w:t xml:space="preserve">O&amp;M</w:t>
      </w:r>
    </w:p>
    <w:p>
      <w:pPr>
        <w:pStyle w:val="ListParagraph"/>
        <w:numPr>
          <w:ilvl w:val="0"/>
          <w:numId w:val="1"/>
        </w:numPr>
        <w:spacing w:before="60" w:after="60"/>
      </w:pPr>
      <w:r>
        <w:t xml:space="preserve">Preventive maintenance checklist, cleaning kits, documentation updates.</w:t>
      </w:r>
    </w:p>
    <w:p>
      <w:pPr>
        <w:pStyle w:val="Heading1"/>
        <w:pageBreakBefore/>
        <w:jc w:val="left"/>
      </w:pPr>
      <w:r>
        <w:rPr>
          <w:sz w:val="24"/>
          <w:szCs w:val="24"/>
        </w:rPr>
        <w:t xml:space="preserve">Training Plan</w:t>
      </w:r>
    </w:p>
    <w:p>
      <w:pPr>
        <w:pStyle w:val="ListParagraph"/>
        <w:numPr>
          <w:ilvl w:val="0"/>
          <w:numId w:val="1"/>
        </w:numPr>
        <w:spacing w:before="60" w:after="60"/>
      </w:pPr>
      <w:r>
        <w:t xml:space="preserve">Operator module (4h): isolation/energization, labeling, inspections.</w:t>
      </w:r>
    </w:p>
    <w:p>
      <w:pPr>
        <w:pStyle w:val="ListParagraph"/>
        <w:numPr>
          <w:ilvl w:val="0"/>
          <w:numId w:val="1"/>
        </w:numPr>
        <w:spacing w:before="60" w:after="60"/>
      </w:pPr>
      <w:r>
        <w:t xml:space="preserve">Maintenance module (6h): MV termination inspection, earthing checks, FO cleaning/testing basics.</w:t>
      </w:r>
    </w:p>
    <w:p>
      <w:pPr>
        <w:pStyle w:val="ListParagraph"/>
        <w:numPr>
          <w:ilvl w:val="0"/>
          <w:numId w:val="1"/>
        </w:numPr>
        <w:spacing w:before="60" w:after="60"/>
      </w:pPr>
      <w:r>
        <w:t xml:space="preserve">Documentation &amp; HSE module (2h): records, permits, PPE, incident reporting.</w:t>
      </w:r>
    </w:p>
    <w:p>
      <w:pPr>
        <w:pStyle w:val="Heading1"/>
        <w:pageBreakBefore/>
        <w:jc w:val="left"/>
      </w:pPr>
      <w:r>
        <w:rPr>
          <w:sz w:val="24"/>
          <w:szCs w:val="24"/>
        </w:rPr>
        <w:t xml:space="preserve">Warranty &amp; SLA</w:t>
      </w:r>
    </w:p>
    <w:p>
      <w:pPr>
        <w:pStyle w:val="ListParagraph"/>
        <w:numPr>
          <w:ilvl w:val="0"/>
          <w:numId w:val="1"/>
        </w:numPr>
        <w:spacing w:before="60" w:after="60"/>
      </w:pPr>
      <w:r>
        <w:t xml:space="preserve">12 months workmanship/materials; option to extend. Response: 4h remote, 24–48h on-site; defect rectification within 5 working days typical.</w:t>
      </w:r>
    </w:p>
    <w:p>
      <w:pPr>
        <w:pStyle w:val="Heading1"/>
        <w:pageBreakBefore/>
        <w:jc w:val="left"/>
      </w:pPr>
      <w:r>
        <w:rPr>
          <w:sz w:val="24"/>
          <w:szCs w:val="24"/>
        </w:rPr>
        <w:t xml:space="preserve">Risk Matrix (Likelihood × Consequence)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Risk</w:t>
            </w:r>
          </w:p>
        </w:tc>
        <w:tc>
          <w:p>
            <w:r>
              <w:rPr>
                <w:b/>
                <w:bCs/>
              </w:rPr>
              <w:t xml:space="preserve">L</w:t>
            </w:r>
          </w:p>
        </w:tc>
        <w:tc>
          <w:p>
            <w:r>
              <w:rPr>
                <w:b/>
                <w:bCs/>
              </w:rPr>
              <w:t xml:space="preserve">C</w:t>
            </w:r>
          </w:p>
        </w:tc>
        <w:tc>
          <w:p>
            <w:r>
              <w:rPr>
                <w:b/>
                <w:bCs/>
              </w:rPr>
              <w:t xml:space="preserve">Rating</w:t>
            </w:r>
          </w:p>
        </w:tc>
        <w:tc>
          <w:p>
            <w:r>
              <w:rPr>
                <w:b/>
                <w:bCs/>
              </w:rPr>
              <w:t xml:space="preserve">Mitigation</w:t>
            </w:r>
          </w:p>
        </w:tc>
      </w:tr>
      <w:tr>
        <w:tc>
          <w:p>
            <w:r>
              <w:t xml:space="preserve">Duct blockage</w:t>
            </w:r>
          </w:p>
        </w:tc>
        <w:tc>
          <w:p>
            <w:r>
              <w:t xml:space="preserve">M</w:t>
            </w:r>
          </w:p>
        </w:tc>
        <w:tc>
          <w:p>
            <w:r>
              <w:t xml:space="preserve">M</w:t>
            </w:r>
          </w:p>
        </w:tc>
        <w:tc>
          <w:p>
            <w:r>
              <w:t xml:space="preserve">M</w:t>
            </w:r>
          </w:p>
        </w:tc>
        <w:tc>
          <w:p>
            <w:r>
              <w:t xml:space="preserve">Pre-rod/CCTV; alternate route</w:t>
            </w:r>
          </w:p>
        </w:tc>
      </w:tr>
      <w:tr>
        <w:tc>
          <w:p>
            <w:r>
              <w:t xml:space="preserve">Weather delays</w:t>
            </w:r>
          </w:p>
        </w:tc>
        <w:tc>
          <w:p>
            <w:r>
              <w:t xml:space="preserve">M</w:t>
            </w:r>
          </w:p>
        </w:tc>
        <w:tc>
          <w:p>
            <w:r>
              <w:t xml:space="preserve">L</w:t>
            </w:r>
          </w:p>
        </w:tc>
        <w:tc>
          <w:p>
            <w:r>
              <w:t xml:space="preserve">M</w:t>
            </w:r>
          </w:p>
        </w:tc>
        <w:tc>
          <w:p>
            <w:r>
              <w:t xml:space="preserve">Float in programme; weather windows</w:t>
            </w:r>
          </w:p>
        </w:tc>
      </w:tr>
      <w:tr>
        <w:tc>
          <w:p>
            <w:r>
              <w:t xml:space="preserve">Material lead time</w:t>
            </w:r>
          </w:p>
        </w:tc>
        <w:tc>
          <w:p>
            <w:r>
              <w:t xml:space="preserve">H</w:t>
            </w:r>
          </w:p>
        </w:tc>
        <w:tc>
          <w:p>
            <w:r>
              <w:t xml:space="preserve">M</w:t>
            </w:r>
          </w:p>
        </w:tc>
        <w:tc>
          <w:p>
            <w:r>
              <w:t xml:space="preserve">H</w:t>
            </w:r>
          </w:p>
        </w:tc>
        <w:tc>
          <w:p>
            <w:r>
              <w:t xml:space="preserve">Early PO; vendor expediting</w:t>
            </w:r>
          </w:p>
        </w:tc>
      </w:tr>
    </w:tbl>
    <w:p>
      <w:pPr>
        <w:pStyle w:val="Heading1"/>
        <w:pageBreakBefore/>
        <w:jc w:val="left"/>
      </w:pPr>
      <w:r>
        <w:rPr>
          <w:sz w:val="24"/>
          <w:szCs w:val="24"/>
        </w:rPr>
        <w:t xml:space="preserve">Templates</w:t>
      </w:r>
    </w:p>
    <w:p>
      <w:pPr>
        <w:pStyle w:val="ListParagraph"/>
        <w:numPr>
          <w:ilvl w:val="0"/>
          <w:numId w:val="1"/>
        </w:numPr>
        <w:spacing w:before="60" w:after="60"/>
      </w:pPr>
      <w:r>
        <w:t xml:space="preserve">RFI form</w:t>
      </w:r>
    </w:p>
    <w:p>
      <w:pPr>
        <w:pStyle w:val="ListParagraph"/>
        <w:numPr>
          <w:ilvl w:val="0"/>
          <w:numId w:val="1"/>
        </w:numPr>
        <w:spacing w:before="60" w:after="60"/>
      </w:pPr>
      <w:r>
        <w:t xml:space="preserve">NCR form</w:t>
      </w:r>
    </w:p>
    <w:p>
      <w:pPr>
        <w:pStyle w:val="ListParagraph"/>
        <w:numPr>
          <w:ilvl w:val="0"/>
          <w:numId w:val="1"/>
        </w:numPr>
        <w:spacing w:before="60" w:after="60"/>
      </w:pPr>
      <w:r>
        <w:t xml:space="preserve">Change Request</w:t>
      </w:r>
    </w:p>
    <w:p>
      <w:pPr>
        <w:pStyle w:val="ListParagraph"/>
        <w:numPr>
          <w:ilvl w:val="0"/>
          <w:numId w:val="1"/>
        </w:numPr>
        <w:spacing w:before="60" w:after="60"/>
      </w:pPr>
      <w:r>
        <w:t xml:space="preserve">ITP checklist sheets</w:t>
      </w:r>
    </w:p>
    <w:p>
      <w:pPr>
        <w:pStyle w:val="ListParagraph"/>
        <w:numPr>
          <w:ilvl w:val="0"/>
          <w:numId w:val="1"/>
        </w:numPr>
        <w:spacing w:before="60" w:after="60"/>
      </w:pPr>
      <w:r>
        <w:t xml:space="preserve">Daily Site Report</w:t>
      </w:r>
    </w:p>
    <w:p>
      <w:pPr>
        <w:pStyle w:val="ListParagraph"/>
        <w:numPr>
          <w:ilvl w:val="0"/>
          <w:numId w:val="1"/>
        </w:numPr>
        <w:spacing w:before="60" w:after="60"/>
      </w:pPr>
      <w:r>
        <w:t xml:space="preserve">Toolbox Talk form</w:t>
      </w:r>
    </w:p>
    <w:p>
      <w:pPr>
        <w:pStyle w:val="Heading1"/>
        <w:pageBreakBefore/>
        <w:jc w:val="left"/>
      </w:pPr>
      <w:r>
        <w:rPr>
          <w:sz w:val="24"/>
          <w:szCs w:val="24"/>
        </w:rPr>
        <w:t xml:space="preserve">Project Management &amp; Administration</w:t>
      </w:r>
    </w:p>
    <w:p>
      <w:pPr>
        <w:pStyle w:val="Heading2"/>
        <w:jc w:val="left"/>
      </w:pPr>
      <w:r>
        <w:rPr>
          <w:sz w:val="24"/>
          <w:szCs w:val="24"/>
        </w:rPr>
        <w:t xml:space="preserve">Programme (Gantt Milestones)</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tblGrid>
      <w:tr>
        <w:tc>
          <w:p>
            <w:r>
              <w:rPr>
                <w:b/>
                <w:bCs/>
              </w:rPr>
              <w:t xml:space="preserve">Phase</w:t>
            </w:r>
          </w:p>
        </w:tc>
        <w:tc>
          <w:p>
            <w:r>
              <w:rPr>
                <w:b/>
                <w:bCs/>
              </w:rPr>
              <w:t xml:space="preserve">Duration (wks)</w:t>
            </w:r>
          </w:p>
        </w:tc>
        <w:tc>
          <w:p>
            <w:r>
              <w:rPr>
                <w:b/>
                <w:bCs/>
              </w:rPr>
              <w:t xml:space="preserve">Notes</w:t>
            </w:r>
          </w:p>
        </w:tc>
      </w:tr>
      <w:tr>
        <w:tc>
          <w:p>
            <w:r>
              <w:t xml:space="preserve">Surveys &amp; Data Collection</w:t>
            </w:r>
          </w:p>
        </w:tc>
        <w:tc>
          <w:p>
            <w:r>
              <w:t xml:space="preserve">2</w:t>
            </w:r>
          </w:p>
        </w:tc>
        <w:tc>
          <w:p>
            <w:r>
              <w:t xml:space="preserve">Duct CTP6↔Cargo Building; rack audit; earthing</w:t>
            </w:r>
          </w:p>
        </w:tc>
      </w:tr>
      <w:tr>
        <w:tc>
          <w:p>
            <w:r>
              <w:t xml:space="preserve">Detailed Design &amp; Approvals</w:t>
            </w:r>
          </w:p>
        </w:tc>
        <w:tc>
          <w:p>
            <w:r>
              <w:t xml:space="preserve">4</w:t>
            </w:r>
          </w:p>
        </w:tc>
        <w:tc>
          <w:p>
            <w:r>
              <w:t xml:space="preserve">IFC package and ITPs</w:t>
            </w:r>
          </w:p>
        </w:tc>
      </w:tr>
      <w:tr>
        <w:tc>
          <w:p>
            <w:r>
              <w:t xml:space="preserve">Procurement &amp; Logistics</w:t>
            </w:r>
          </w:p>
        </w:tc>
        <w:tc>
          <w:p>
            <w:r>
              <w:t xml:space="preserve">6</w:t>
            </w:r>
          </w:p>
        </w:tc>
        <w:tc>
          <w:p>
            <w:r>
              <w:t xml:space="preserve">Overlaps design tail; long-leads</w:t>
            </w:r>
          </w:p>
        </w:tc>
      </w:tr>
      <w:tr>
        <w:tc>
          <w:p>
            <w:r>
              <w:t xml:space="preserve">Installation (MV+FO)</w:t>
            </w:r>
          </w:p>
        </w:tc>
        <w:tc>
          <w:p>
            <w:r>
              <w:t xml:space="preserve">6</w:t>
            </w:r>
          </w:p>
        </w:tc>
        <w:tc>
          <w:p>
            <w:r>
              <w:t xml:space="preserve">Method statements executed; RAMS</w:t>
            </w:r>
          </w:p>
        </w:tc>
      </w:tr>
      <w:tr>
        <w:tc>
          <w:p>
            <w:r>
              <w:t xml:space="preserve">Testing &amp; Commissioning</w:t>
            </w:r>
          </w:p>
        </w:tc>
        <w:tc>
          <w:p>
            <w:r>
              <w:t xml:space="preserve">2</w:t>
            </w:r>
          </w:p>
        </w:tc>
        <w:tc>
          <w:p>
            <w:r>
              <w:t xml:space="preserve">MV + FO acceptance</w:t>
            </w:r>
          </w:p>
        </w:tc>
      </w:tr>
      <w:tr>
        <w:tc>
          <w:p>
            <w:r>
              <w:t xml:space="preserve">Legalisation &amp; Closeout</w:t>
            </w:r>
          </w:p>
        </w:tc>
        <w:tc>
          <w:p>
            <w:r>
              <w:t xml:space="preserve">2</w:t>
            </w:r>
          </w:p>
        </w:tc>
        <w:tc>
          <w:p>
            <w:r>
              <w:t xml:space="preserve">Docs, O&amp;M, training, handover</w:t>
            </w:r>
          </w:p>
        </w:tc>
      </w:tr>
    </w:tbl>
    <w:p>
      <w:pPr>
        <w:pStyle w:val="Heading2"/>
        <w:jc w:val="left"/>
      </w:pPr>
      <w:r>
        <w:rPr>
          <w:sz w:val="24"/>
          <w:szCs w:val="24"/>
        </w:rPr>
        <w:t xml:space="preserve">RACI</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Role</w:t>
            </w:r>
          </w:p>
        </w:tc>
        <w:tc>
          <w:p>
            <w:r>
              <w:rPr>
                <w:b/>
                <w:bCs/>
              </w:rPr>
              <w:t xml:space="preserve">Design</w:t>
            </w:r>
          </w:p>
        </w:tc>
        <w:tc>
          <w:p>
            <w:r>
              <w:rPr>
                <w:b/>
                <w:bCs/>
              </w:rPr>
              <w:t xml:space="preserve">Procure</w:t>
            </w:r>
          </w:p>
        </w:tc>
        <w:tc>
          <w:p>
            <w:r>
              <w:rPr>
                <w:b/>
                <w:bCs/>
              </w:rPr>
              <w:t xml:space="preserve">Install</w:t>
            </w:r>
          </w:p>
        </w:tc>
        <w:tc>
          <w:p>
            <w:r>
              <w:rPr>
                <w:b/>
                <w:bCs/>
              </w:rPr>
              <w:t xml:space="preserve">Test/Comm</w:t>
            </w:r>
          </w:p>
        </w:tc>
        <w:tc>
          <w:p>
            <w:r>
              <w:rPr>
                <w:b/>
                <w:bCs/>
              </w:rPr>
              <w:t xml:space="preserve">Docs/Handover</w:t>
            </w:r>
          </w:p>
        </w:tc>
      </w:tr>
      <w:tr>
        <w:tc>
          <w:p>
            <w:r>
              <w:t xml:space="preserve">Contractor</w:t>
            </w:r>
          </w:p>
        </w:tc>
        <w:tc>
          <w:p>
            <w:r>
              <w:t xml:space="preserve">R</w:t>
            </w:r>
          </w:p>
        </w:tc>
        <w:tc>
          <w:p>
            <w:r>
              <w:t xml:space="preserve">R</w:t>
            </w:r>
          </w:p>
        </w:tc>
        <w:tc>
          <w:p>
            <w:r>
              <w:t xml:space="preserve">R</w:t>
            </w:r>
          </w:p>
        </w:tc>
        <w:tc>
          <w:p>
            <w:r>
              <w:t xml:space="preserve">R</w:t>
            </w:r>
          </w:p>
        </w:tc>
        <w:tc>
          <w:p>
            <w:r>
              <w:t xml:space="preserve">R</w:t>
            </w:r>
          </w:p>
        </w:tc>
      </w:tr>
      <w:tr>
        <w:tc>
          <w:p>
            <w:r>
              <w:t xml:space="preserve">TiN PM/Tech</w:t>
            </w:r>
          </w:p>
        </w:tc>
        <w:tc>
          <w:p>
            <w:r>
              <w:t xml:space="preserve">A/C</w:t>
            </w:r>
          </w:p>
        </w:tc>
        <w:tc>
          <w:p>
            <w:r>
              <w:t xml:space="preserve">C</w:t>
            </w:r>
          </w:p>
        </w:tc>
        <w:tc>
          <w:p>
            <w:r>
              <w:t xml:space="preserve">C</w:t>
            </w:r>
          </w:p>
        </w:tc>
        <w:tc>
          <w:p>
            <w:r>
              <w:t xml:space="preserve">C</w:t>
            </w:r>
          </w:p>
        </w:tc>
        <w:tc>
          <w:p>
            <w:r>
              <w:t xml:space="preserve">A/C</w:t>
            </w:r>
          </w:p>
        </w:tc>
      </w:tr>
      <w:tr>
        <w:tc>
          <w:p>
            <w:r>
              <w:t xml:space="preserve">TiN IT/ICT</w:t>
            </w:r>
          </w:p>
        </w:tc>
        <w:tc>
          <w:p>
            <w:r>
              <w:t xml:space="preserve">C</w:t>
            </w:r>
          </w:p>
        </w:tc>
        <w:tc>
          <w:p>
            <w:r>
              <w:t xml:space="preserve">C</w:t>
            </w:r>
          </w:p>
        </w:tc>
        <w:tc>
          <w:p>
            <w:r>
              <w:t xml:space="preserve">C</w:t>
            </w:r>
          </w:p>
        </w:tc>
        <w:tc>
          <w:p>
            <w:r>
              <w:t xml:space="preserve">A/C</w:t>
            </w:r>
          </w:p>
        </w:tc>
        <w:tc>
          <w:p>
            <w:r>
              <w:t xml:space="preserve">C</w:t>
            </w:r>
          </w:p>
        </w:tc>
      </w:tr>
      <w:tr>
        <w:tc>
          <w:p>
            <w:r>
              <w:t xml:space="preserve">HSE</w:t>
            </w:r>
          </w:p>
        </w:tc>
        <w:tc>
          <w:p>
            <w:r>
              <w:t xml:space="preserve">A</w:t>
            </w:r>
          </w:p>
        </w:tc>
        <w:tc>
          <w:p>
            <w:r>
              <w:t xml:space="preserve">C</w:t>
            </w:r>
          </w:p>
        </w:tc>
        <w:tc>
          <w:p>
            <w:r>
              <w:t xml:space="preserve">A</w:t>
            </w:r>
          </w:p>
        </w:tc>
        <w:tc>
          <w:p>
            <w:r>
              <w:t xml:space="preserve">A</w:t>
            </w:r>
          </w:p>
        </w:tc>
        <w:tc>
          <w:p>
            <w:r>
              <w:t xml:space="preserve">C</w:t>
            </w:r>
          </w:p>
        </w:tc>
      </w:tr>
    </w:tbl>
    <w:p>
      <w:pPr>
        <w:pStyle w:val="Heading2"/>
        <w:jc w:val="left"/>
      </w:pPr>
      <w:r>
        <w:rPr>
          <w:sz w:val="24"/>
          <w:szCs w:val="24"/>
        </w:rPr>
        <w:t xml:space="preserve">Risk Register (Initial)</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tblGrid>
      <w:tr>
        <w:tc>
          <w:p>
            <w:r>
              <w:rPr>
                <w:b/>
                <w:bCs/>
              </w:rPr>
              <w:t xml:space="preserve">Risk</w:t>
            </w:r>
          </w:p>
        </w:tc>
        <w:tc>
          <w:p>
            <w:r>
              <w:rPr>
                <w:b/>
                <w:bCs/>
              </w:rPr>
              <w:t xml:space="preserve">Impact</w:t>
            </w:r>
          </w:p>
        </w:tc>
        <w:tc>
          <w:p>
            <w:r>
              <w:rPr>
                <w:b/>
                <w:bCs/>
              </w:rPr>
              <w:t xml:space="preserve">Mitigation</w:t>
            </w:r>
          </w:p>
        </w:tc>
      </w:tr>
      <w:tr>
        <w:tc>
          <w:p>
            <w:r>
              <w:t xml:space="preserve">Duct congestion/water ingress</w:t>
            </w:r>
          </w:p>
        </w:tc>
        <w:tc>
          <w:p>
            <w:r>
              <w:t xml:space="preserve">Delay/route change</w:t>
            </w:r>
          </w:p>
        </w:tc>
        <w:tc>
          <w:p>
            <w:r>
              <w:t xml:space="preserve">Rod/CCTV, dewater, alt path</w:t>
            </w:r>
          </w:p>
        </w:tc>
      </w:tr>
      <w:tr>
        <w:tc>
          <w:p>
            <w:r>
              <w:t xml:space="preserve">Protection miscoordination</w:t>
            </w:r>
          </w:p>
        </w:tc>
        <w:tc>
          <w:p>
            <w:r>
              <w:t xml:space="preserve">Trips/unsafe ops</w:t>
            </w:r>
          </w:p>
        </w:tc>
        <w:tc>
          <w:p>
            <w:r>
              <w:t xml:space="preserve">Review TiN settings; coordination study</w:t>
            </w:r>
          </w:p>
        </w:tc>
      </w:tr>
      <w:tr>
        <w:tc>
          <w:p>
            <w:r>
              <w:t xml:space="preserve">FO attenuation high</w:t>
            </w:r>
          </w:p>
        </w:tc>
        <w:tc>
          <w:p>
            <w:r>
              <w:t xml:space="preserve">Link failure</w:t>
            </w:r>
          </w:p>
        </w:tc>
        <w:tc>
          <w:p>
            <w:r>
              <w:t xml:space="preserve">Splice quality, budget margin, rework</w:t>
            </w:r>
          </w:p>
        </w:tc>
      </w:tr>
      <w:tr>
        <w:tc>
          <w:p>
            <w:r>
              <w:t xml:space="preserve">Corrosion (marine)</w:t>
            </w:r>
          </w:p>
        </w:tc>
        <w:tc>
          <w:p>
            <w:r>
              <w:t xml:space="preserve">Premature failure</w:t>
            </w:r>
          </w:p>
        </w:tc>
        <w:tc>
          <w:p>
            <w:r>
              <w:t xml:space="preserve">C5M materials, IP67/68, SS hardware</w:t>
            </w:r>
          </w:p>
        </w:tc>
      </w:tr>
      <w:tr>
        <w:tc>
          <w:p>
            <w:r>
              <w:t xml:space="preserve">Ops disruption</w:t>
            </w:r>
          </w:p>
        </w:tc>
        <w:tc>
          <w:p>
            <w:r>
              <w:t xml:space="preserve">Outage risk</w:t>
            </w:r>
          </w:p>
        </w:tc>
        <w:tc>
          <w:p>
            <w:r>
              <w:t xml:space="preserve">Work windows, notices, staging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2025-08-22T11:18:19.724Z</dcterms:created>
  <dcterms:modified xsi:type="dcterms:W3CDTF">2025-08-22T11:18:19.724Z</dcterms:modified>
</cp:coreProperties>
</file>

<file path=docProps/custom.xml><?xml version="1.0" encoding="utf-8"?>
<Properties xmlns="http://schemas.openxmlformats.org/officeDocument/2006/custom-properties" xmlns:vt="http://schemas.openxmlformats.org/officeDocument/2006/docPropsVTypes"/>
</file>