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STS Tender V3.1 – Electrical</w:t>
      </w:r>
    </w:p>
    <w:bookmarkStart w:id="33" w:name="X8afa8e6db1b045a0e2386bd6939b3c9383decf7"/>
    <w:p>
      <w:pPr>
        <w:pStyle w:val="Heading1"/>
      </w:pPr>
      <w:r>
        <w:t xml:space="preserve">STS Connections Tender – Appendix 1 V3.1 — Electrical Offer (Standalone)</w:t>
      </w:r>
    </w:p>
    <w:p>
      <w:pPr>
        <w:pStyle w:val="FirstParagraph"/>
      </w:pPr>
      <w:r>
        <w:t xml:space="preserve">Client: Terminal Investment Namibia (TiN)</w:t>
      </w:r>
      <w:r>
        <w:t xml:space="preserve"> </w:t>
      </w:r>
      <w:r>
        <w:t xml:space="preserve">Version: V1.0 (Draft)</w:t>
      </w:r>
      <w:r>
        <w:t xml:space="preserve"> </w:t>
      </w:r>
      <w:r>
        <w:t xml:space="preserve">Date: 2025-08-20</w:t>
      </w:r>
    </w:p>
    <w:p>
      <w:r>
        <w:pict>
          <v:rect style="width:0;height:1.5pt" o:hralign="center" o:hrstd="t" o:hr="t"/>
        </w:pict>
      </w:r>
    </w:p>
    <w:bookmarkStart w:id="20" w:name="executive-summary"/>
    <w:p>
      <w:pPr>
        <w:pStyle w:val="Heading2"/>
      </w:pPr>
      <w:r>
        <w:t xml:space="preserve">Executive Summary</w:t>
      </w:r>
    </w:p>
    <w:p>
      <w:pPr>
        <w:pStyle w:val="FirstParagraph"/>
      </w:pPr>
      <w:r>
        <w:t xml:space="preserve">Selex Engineering proposes a turnkey electrical connection program for the STS cranes fully aligned to Appendix 1 – RFP V3.1. We will safely migrate STS04 to CTP5 and deliver new MV junction box and drum assemblies at CTP6 for STS05/STS06, with protection settings coordinated to TiN policy and evidence-led quality throughout. The outcome is a compliant, testable, and maintainable MV system readied for legalisation without rework.</w:t>
      </w:r>
    </w:p>
    <w:p>
      <w:pPr>
        <w:pStyle w:val="Compact"/>
        <w:numPr>
          <w:ilvl w:val="0"/>
          <w:numId w:val="1001"/>
        </w:numPr>
      </w:pPr>
      <w:r>
        <w:t xml:space="preserve">What we will do differently</w:t>
      </w:r>
    </w:p>
    <w:p>
      <w:pPr>
        <w:pStyle w:val="Compact"/>
        <w:numPr>
          <w:ilvl w:val="1"/>
          <w:numId w:val="1002"/>
        </w:numPr>
      </w:pPr>
      <w:r>
        <w:t xml:space="preserve">Zero‑energized‑work policy: staged isolations, LOTO, and mobile substation use to avoid live interventions.</w:t>
      </w:r>
    </w:p>
    <w:p>
      <w:pPr>
        <w:pStyle w:val="Compact"/>
        <w:numPr>
          <w:ilvl w:val="1"/>
          <w:numId w:val="1002"/>
        </w:numPr>
      </w:pPr>
      <w:r>
        <w:t xml:space="preserve">Interface governance: single source of truth drawings, labeled term schedules, and hold/witness points mapped to ITRs.</w:t>
      </w:r>
    </w:p>
    <w:p>
      <w:pPr>
        <w:pStyle w:val="Compact"/>
        <w:numPr>
          <w:ilvl w:val="1"/>
          <w:numId w:val="1002"/>
        </w:numPr>
      </w:pPr>
      <w:r>
        <w:t xml:space="preserve">Evidence‑driven QA: photo logs, torque records, IR/VLF traces, and settings sign‑off attached to each activity.</w:t>
      </w:r>
    </w:p>
    <w:p>
      <w:pPr>
        <w:pStyle w:val="Compact"/>
        <w:numPr>
          <w:ilvl w:val="1"/>
          <w:numId w:val="1002"/>
        </w:numPr>
      </w:pPr>
      <w:r>
        <w:t xml:space="preserve">Constructability‑first sequencing: pit hardware prefabrication, dry‑fit and FAT of assemblies before site works.</w:t>
      </w:r>
    </w:p>
    <w:p>
      <w:pPr>
        <w:pStyle w:val="Compact"/>
        <w:numPr>
          <w:ilvl w:val="1"/>
          <w:numId w:val="1002"/>
        </w:numPr>
      </w:pPr>
      <w:r>
        <w:t xml:space="preserve">Traceability and labeling: TIA‑606 schema, unique IDs, and 48‑hour updates to asset register/as‑builts.</w:t>
      </w:r>
    </w:p>
    <w:p>
      <w:pPr>
        <w:pStyle w:val="Compact"/>
        <w:numPr>
          <w:ilvl w:val="0"/>
          <w:numId w:val="1001"/>
        </w:numPr>
      </w:pPr>
      <w:r>
        <w:t xml:space="preserve">How we will deliver professionally</w:t>
      </w:r>
    </w:p>
    <w:p>
      <w:pPr>
        <w:pStyle w:val="Compact"/>
        <w:numPr>
          <w:ilvl w:val="1"/>
          <w:numId w:val="1003"/>
        </w:numPr>
      </w:pPr>
      <w:r>
        <w:t xml:space="preserve">Dedicated PMO: baseline Gantt, RACI, risk register, change control, and daily site diary with progress photos.</w:t>
      </w:r>
    </w:p>
    <w:p>
      <w:pPr>
        <w:pStyle w:val="Compact"/>
        <w:numPr>
          <w:ilvl w:val="1"/>
          <w:numId w:val="1003"/>
        </w:numPr>
      </w:pPr>
      <w:r>
        <w:t xml:space="preserve">Safety &amp; permitting: PTW workflow, LOTO, confined‑space controls, lifting plans, and toolbox talks pre‑task.</w:t>
      </w:r>
    </w:p>
    <w:p>
      <w:pPr>
        <w:pStyle w:val="Compact"/>
        <w:numPr>
          <w:ilvl w:val="1"/>
          <w:numId w:val="1003"/>
        </w:numPr>
      </w:pPr>
      <w:r>
        <w:t xml:space="preserve">Technical assurance: IDC/IDR with TiN, independent checker reviews, and pre‑commissioning checklists.</w:t>
      </w:r>
    </w:p>
    <w:p>
      <w:pPr>
        <w:pStyle w:val="Compact"/>
        <w:numPr>
          <w:ilvl w:val="1"/>
          <w:numId w:val="1003"/>
        </w:numPr>
      </w:pPr>
      <w:r>
        <w:t xml:space="preserve">Acceptance readiness: ATPs linked to ITRs; clear pass/fail criteria for IR, VLF, protection setting verification.</w:t>
      </w:r>
    </w:p>
    <w:p>
      <w:pPr>
        <w:pStyle w:val="Compact"/>
        <w:numPr>
          <w:ilvl w:val="1"/>
          <w:numId w:val="1003"/>
        </w:numPr>
      </w:pPr>
      <w:r>
        <w:t xml:space="preserve">Handover pack quality: red‑lined to as‑built, calibrated instrument certificates, O&amp;M, training records, and legalisation dossier.</w:t>
      </w:r>
    </w:p>
    <w:p>
      <w:pPr>
        <w:pStyle w:val="Compact"/>
        <w:numPr>
          <w:ilvl w:val="0"/>
          <w:numId w:val="1001"/>
        </w:numPr>
      </w:pPr>
      <w:r>
        <w:t xml:space="preserve">Why Selex Engineering</w:t>
      </w:r>
    </w:p>
    <w:p>
      <w:pPr>
        <w:pStyle w:val="Compact"/>
        <w:numPr>
          <w:ilvl w:val="1"/>
          <w:numId w:val="1004"/>
        </w:numPr>
      </w:pPr>
      <w:r>
        <w:t xml:space="preserve">Proven STS electrification experience: MV cable works, protection coordination, and port‑grade hardware in marine environments.</w:t>
      </w:r>
    </w:p>
    <w:p>
      <w:pPr>
        <w:pStyle w:val="Compact"/>
        <w:numPr>
          <w:ilvl w:val="1"/>
          <w:numId w:val="1004"/>
        </w:numPr>
      </w:pPr>
      <w:r>
        <w:t xml:space="preserve">Multidisciplinary strength: MV power, FO backbone, and SCADA/OT integration delivered as one coordinated scope.</w:t>
      </w:r>
    </w:p>
    <w:p>
      <w:pPr>
        <w:pStyle w:val="Compact"/>
        <w:numPr>
          <w:ilvl w:val="1"/>
          <w:numId w:val="1004"/>
        </w:numPr>
      </w:pPr>
      <w:r>
        <w:t xml:space="preserve">Mature templates and supply chain: standard ITPs/ATPs, checklists, and qualified vendors reduce schedule and defects.</w:t>
      </w:r>
    </w:p>
    <w:p>
      <w:pPr>
        <w:pStyle w:val="Compact"/>
        <w:numPr>
          <w:ilvl w:val="1"/>
          <w:numId w:val="1004"/>
        </w:numPr>
      </w:pPr>
      <w:r>
        <w:t xml:space="preserve">Lessons‑learned culture: prior port projects inform outage planning, interface control, and labeling that eases maintenance.</w:t>
      </w:r>
    </w:p>
    <w:bookmarkEnd w:id="20"/>
    <w:bookmarkStart w:id="21" w:name="compliance-statement"/>
    <w:p>
      <w:pPr>
        <w:pStyle w:val="Heading2"/>
      </w:pPr>
      <w:r>
        <w:t xml:space="preserve">Compliance Statement</w:t>
      </w:r>
    </w:p>
    <w:p>
      <w:pPr>
        <w:pStyle w:val="FirstParagraph"/>
      </w:pPr>
      <w:r>
        <w:t xml:space="preserve">This offer is prepared in accordance with Appendix 1 - RFP connection of STSs V3.1. Where requirements are clarified or assumed, these are explicitly noted. Final alignment will be completed after review of any addenda and receipt of final design inputs.</w:t>
      </w:r>
    </w:p>
    <w:bookmarkEnd w:id="21"/>
    <w:bookmarkStart w:id="22" w:name="delivery-commitments-snapshot-electrical"/>
    <w:p>
      <w:pPr>
        <w:pStyle w:val="Heading2"/>
      </w:pPr>
      <w:r>
        <w:t xml:space="preserve">Delivery Commitments Snapshot — Electrical</w:t>
      </w:r>
    </w:p>
    <w:p>
      <w:pPr>
        <w:pStyle w:val="Compact"/>
        <w:numPr>
          <w:ilvl w:val="0"/>
          <w:numId w:val="1005"/>
        </w:numPr>
      </w:pPr>
      <w:r>
        <w:t xml:space="preserve">Safety: zero‑energized‑work policy; PTW/LOTO; confined‑space and lifting controls; stop‑work authority. See</w:t>
      </w:r>
      <w:r>
        <w:t xml:space="preserve"> </w:t>
      </w:r>
      <w:r>
        <w:rPr>
          <w:rStyle w:val="VerbatimChar"/>
        </w:rPr>
        <w:t xml:space="preserve">## Method Statement</w:t>
      </w:r>
      <w:r>
        <w:t xml:space="preserve"> </w:t>
      </w:r>
      <w:r>
        <w:t xml:space="preserve">and</w:t>
      </w:r>
      <w:r>
        <w:t xml:space="preserve"> </w:t>
      </w:r>
      <w:r>
        <w:rPr>
          <w:rStyle w:val="VerbatimChar"/>
        </w:rPr>
        <w:t xml:space="preserve">## HSE &amp; RAMS Summary</w:t>
      </w:r>
      <w:r>
        <w:t xml:space="preserve">.</w:t>
      </w:r>
    </w:p>
    <w:p>
      <w:pPr>
        <w:pStyle w:val="Compact"/>
        <w:numPr>
          <w:ilvl w:val="0"/>
          <w:numId w:val="1005"/>
        </w:numPr>
      </w:pPr>
      <w:r>
        <w:t xml:space="preserve">Quality &amp; Evidence: 100% ITP checkpoint adherence with photo/trace/torque logs; calibrated instruments tracked in ITRs. See</w:t>
      </w:r>
      <w:r>
        <w:t xml:space="preserve"> </w:t>
      </w:r>
      <w:r>
        <w:rPr>
          <w:rStyle w:val="VerbatimChar"/>
        </w:rPr>
        <w:t xml:space="preserve">## Quality Plan &amp; ITP (Summary — Electrical)</w:t>
      </w:r>
      <w:r>
        <w:t xml:space="preserve"> </w:t>
      </w:r>
      <w:r>
        <w:t xml:space="preserve">and</w:t>
      </w:r>
      <w:r>
        <w:t xml:space="preserve"> </w:t>
      </w:r>
      <w:r>
        <w:rPr>
          <w:rStyle w:val="VerbatimChar"/>
        </w:rPr>
        <w:t xml:space="preserve">## Acceptance Test Procedures (ATP)</w:t>
      </w:r>
      <w:r>
        <w:t xml:space="preserve">.</w:t>
      </w:r>
    </w:p>
    <w:p>
      <w:pPr>
        <w:pStyle w:val="Compact"/>
        <w:numPr>
          <w:ilvl w:val="0"/>
          <w:numId w:val="1005"/>
        </w:numPr>
      </w:pPr>
      <w:r>
        <w:t xml:space="preserve">Acceptance Readiness: pass/fail criteria for IR/VLF, earthing continuity and protection verification met before energization. See</w:t>
      </w:r>
      <w:r>
        <w:t xml:space="preserve"> </w:t>
      </w:r>
      <w:r>
        <w:rPr>
          <w:rStyle w:val="VerbatimChar"/>
        </w:rPr>
        <w:t xml:space="preserve">## Acceptance Criteria</w:t>
      </w:r>
      <w:r>
        <w:t xml:space="preserve"> </w:t>
      </w:r>
      <w:r>
        <w:t xml:space="preserve">and</w:t>
      </w:r>
      <w:r>
        <w:t xml:space="preserve"> </w:t>
      </w:r>
      <w:r>
        <w:rPr>
          <w:rStyle w:val="VerbatimChar"/>
        </w:rPr>
        <w:t xml:space="preserve">## Testing &amp; Commissioning</w:t>
      </w:r>
      <w:r>
        <w:t xml:space="preserve">.</w:t>
      </w:r>
    </w:p>
    <w:p>
      <w:pPr>
        <w:pStyle w:val="Compact"/>
        <w:numPr>
          <w:ilvl w:val="0"/>
          <w:numId w:val="1005"/>
        </w:numPr>
      </w:pPr>
      <w:r>
        <w:t xml:space="preserve">Traceability &amp; Labeling: TIA‑606 schema across assets; asset register and as‑builts updated within 48 hours of field change. See</w:t>
      </w:r>
      <w:r>
        <w:t xml:space="preserve"> </w:t>
      </w:r>
      <w:r>
        <w:rPr>
          <w:rStyle w:val="VerbatimChar"/>
        </w:rPr>
        <w:t xml:space="preserve">### Labeling Schema (Electrical)</w:t>
      </w:r>
      <w:r>
        <w:t xml:space="preserve"> </w:t>
      </w:r>
      <w:r>
        <w:t xml:space="preserve">and</w:t>
      </w:r>
      <w:r>
        <w:t xml:space="preserve"> </w:t>
      </w:r>
      <w:r>
        <w:rPr>
          <w:rStyle w:val="VerbatimChar"/>
        </w:rPr>
        <w:t xml:space="preserve">## Asset Registration &amp; Tagging</w:t>
      </w:r>
      <w:r>
        <w:t xml:space="preserve">.</w:t>
      </w:r>
    </w:p>
    <w:p>
      <w:pPr>
        <w:pStyle w:val="Compact"/>
        <w:numPr>
          <w:ilvl w:val="0"/>
          <w:numId w:val="1005"/>
        </w:numPr>
      </w:pPr>
      <w:r>
        <w:t xml:space="preserve">Documentation SLAs: document review ≤ 10 working days; witness invites ≥ 48h prior; decisions/minutes issued within 24h. See</w:t>
      </w:r>
      <w:r>
        <w:t xml:space="preserve"> </w:t>
      </w:r>
      <w:r>
        <w:rPr>
          <w:rStyle w:val="VerbatimChar"/>
        </w:rPr>
        <w:t xml:space="preserve">## KPIs &amp; Acceptance SLAs</w:t>
      </w:r>
      <w:r>
        <w:t xml:space="preserve"> </w:t>
      </w:r>
      <w:r>
        <w:t xml:space="preserve">and</w:t>
      </w:r>
      <w:r>
        <w:t xml:space="preserve"> </w:t>
      </w:r>
      <w:r>
        <w:rPr>
          <w:rStyle w:val="VerbatimChar"/>
        </w:rPr>
        <w:t xml:space="preserve">## Project Management &amp; Administration</w:t>
      </w:r>
      <w:r>
        <w:t xml:space="preserve">.</w:t>
      </w:r>
    </w:p>
    <w:p>
      <w:pPr>
        <w:pStyle w:val="Compact"/>
        <w:numPr>
          <w:ilvl w:val="0"/>
          <w:numId w:val="1005"/>
        </w:numPr>
      </w:pPr>
      <w:r>
        <w:t xml:space="preserve">Interfaces &amp; Governance: weekly coordination and monthly steering with KPIs (HSE, schedule, quality, risks); change control applied to all scope changes. See</w:t>
      </w:r>
      <w:r>
        <w:t xml:space="preserve"> </w:t>
      </w:r>
      <w:r>
        <w:rPr>
          <w:rStyle w:val="VerbatimChar"/>
        </w:rPr>
        <w:t xml:space="preserve">## RACI</w:t>
      </w:r>
      <w:r>
        <w:t xml:space="preserve"> </w:t>
      </w:r>
      <w:r>
        <w:t xml:space="preserve">and</w:t>
      </w:r>
      <w:r>
        <w:t xml:space="preserve"> </w:t>
      </w:r>
      <w:r>
        <w:rPr>
          <w:rStyle w:val="VerbatimChar"/>
        </w:rPr>
        <w:t xml:space="preserve">## Interface &amp; Stakeholder Management</w:t>
      </w:r>
      <w:r>
        <w:t xml:space="preserve">.</w:t>
      </w:r>
    </w:p>
    <w:bookmarkEnd w:id="22"/>
    <w:bookmarkStart w:id="23" w:name="delivery-workflow-map-ascii"/>
    <w:p>
      <w:pPr>
        <w:pStyle w:val="Heading2"/>
      </w:pPr>
      <w:r>
        <w:t xml:space="preserve">Delivery Workflow Map (ASCII)</w:t>
      </w:r>
    </w:p>
    <w:p>
      <w:pPr>
        <w:pStyle w:val="SourceCode"/>
      </w:pPr>
      <w:r>
        <w:rPr>
          <w:rStyle w:val="VerbatimChar"/>
        </w:rPr>
        <w:t xml:space="preserve">[Kick-off &amp; Surveys] -&gt; [Design &amp; IDC/IDR] -&gt; [Procurement/Expedite]</w:t>
      </w:r>
      <w:r>
        <w:br/>
      </w:r>
      <w:r>
        <w:rPr>
          <w:rStyle w:val="VerbatimChar"/>
        </w:rPr>
        <w:t xml:space="preserve">        H/W                    H/W                      |</w:t>
      </w:r>
      <w:r>
        <w:br/>
      </w:r>
      <w:r>
        <w:rPr>
          <w:rStyle w:val="VerbatimChar"/>
        </w:rPr>
        <w:t xml:space="preserve">                     [Installation (Method Statements, RAMS)]</w:t>
      </w:r>
      <w:r>
        <w:br/>
      </w:r>
      <w:r>
        <w:rPr>
          <w:rStyle w:val="VerbatimChar"/>
        </w:rPr>
        <w:t xml:space="preserve">                                  H/W -&gt; [T&amp;C: IR/VLF, Protection]</w:t>
      </w:r>
      <w:r>
        <w:br/>
      </w:r>
      <w:r>
        <w:rPr>
          <w:rStyle w:val="VerbatimChar"/>
        </w:rPr>
        <w:t xml:space="preserve">                                                  H/W -&gt; [Handover &amp; Legalisation]</w:t>
      </w:r>
      <w:r>
        <w:br/>
      </w:r>
      <w:r>
        <w:br/>
      </w:r>
      <w:r>
        <w:rPr>
          <w:rStyle w:val="VerbatimChar"/>
        </w:rPr>
        <w:t xml:space="preserve">Keys: H/W = Hold/Witness (ITR-10/20/30/40/50); Approvals: IFC, Settings Sheet; Docs: test packs, as-builts, O&amp;M, legalisation dossier</w:t>
      </w:r>
    </w:p>
    <w:bookmarkEnd w:id="23"/>
    <w:bookmarkStart w:id="31" w:name="compliance-matrix-appendix-1-rfp-v3.1"/>
    <w:p>
      <w:pPr>
        <w:pStyle w:val="Heading2"/>
      </w:pPr>
      <w:r>
        <w:t xml:space="preserve">Compliance Matrix (Appendix 1 – RFP V3.1)</w:t>
      </w:r>
    </w:p>
    <w:p>
      <w:pPr>
        <w:pStyle w:val="FirstParagraph"/>
      </w:pPr>
      <w:r>
        <w:t xml:space="preserve">Legend: C = Compliant, PC = Partially Compliant, D = Deviation</w:t>
      </w:r>
    </w:p>
    <w:bookmarkStart w:id="24" w:name="a-technical-design"/>
    <w:p>
      <w:pPr>
        <w:pStyle w:val="Heading3"/>
      </w:pPr>
      <w:r>
        <w:t xml:space="preserve">A) Technical &amp; Design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RFP Clause</w:t>
            </w:r>
          </w:p>
        </w:tc>
        <w:tc>
          <w:tcPr/>
          <w:p>
            <w:pPr>
              <w:pStyle w:val="Compact"/>
            </w:pPr>
            <w:r>
              <w:t xml:space="preserve">Requirement</w:t>
            </w:r>
          </w:p>
        </w:tc>
        <w:tc>
          <w:tcPr/>
          <w:p>
            <w:pPr>
              <w:pStyle w:val="Compact"/>
            </w:pPr>
            <w:r>
              <w:t xml:space="preserve">Where addressed</w:t>
            </w:r>
          </w:p>
        </w:tc>
        <w:tc>
          <w:tcPr/>
          <w:p>
            <w:pPr>
              <w:pStyle w:val="Compact"/>
            </w:pPr>
            <w:r>
              <w:t xml:space="preserve">Compliance</w:t>
            </w:r>
          </w:p>
        </w:tc>
        <w:tc>
          <w:tcPr/>
          <w:p>
            <w:pPr>
              <w:pStyle w:val="Compact"/>
            </w:pPr>
            <w:r>
              <w:t xml:space="preserve">Notes</w:t>
            </w:r>
          </w:p>
        </w:tc>
      </w:tr>
      <w:tr>
        <w:tc>
          <w:tcPr/>
          <w:p>
            <w:pPr>
              <w:pStyle w:val="Compact"/>
            </w:pPr>
            <w:r>
              <w:t xml:space="preserve">[Pending-A1]</w:t>
            </w:r>
          </w:p>
        </w:tc>
        <w:tc>
          <w:tcPr/>
          <w:p>
            <w:pPr>
              <w:pStyle w:val="Compact"/>
            </w:pPr>
            <w:r>
              <w:t xml:space="preserve">MV level and earthing approach</w:t>
            </w:r>
          </w:p>
        </w:tc>
        <w:tc>
          <w:tcPr/>
          <w:p>
            <w:pPr>
              <w:pStyle w:val="Compact"/>
            </w:pPr>
            <w:r>
              <w:t xml:space="preserve">Assumptions &amp; Clarifications (Electrical); Protection Coordination</w:t>
            </w:r>
          </w:p>
        </w:tc>
        <w:tc>
          <w:tcPr/>
          <w:p>
            <w:pPr>
              <w:pStyle w:val="Compact"/>
            </w:pPr>
            <w:r>
              <w:t xml:space="preserve">PC</w:t>
            </w:r>
          </w:p>
        </w:tc>
        <w:tc>
          <w:tcPr/>
          <w:p>
            <w:pPr>
              <w:pStyle w:val="Compact"/>
            </w:pPr>
            <w:r>
              <w:t xml:space="preserve">MV level 11 kV to be confirmed by TiN; earthing per IEC 61936-1</w:t>
            </w:r>
          </w:p>
        </w:tc>
      </w:tr>
      <w:tr>
        <w:tc>
          <w:tcPr/>
          <w:p>
            <w:pPr>
              <w:pStyle w:val="Compact"/>
            </w:pPr>
            <w:r>
              <w:t xml:space="preserve">[Pending-A2]</w:t>
            </w:r>
          </w:p>
        </w:tc>
        <w:tc>
          <w:tcPr/>
          <w:p>
            <w:pPr>
              <w:pStyle w:val="Compact"/>
            </w:pPr>
            <w:r>
              <w:t xml:space="preserve">System architecture and SLD</w:t>
            </w:r>
          </w:p>
        </w:tc>
        <w:tc>
          <w:tcPr/>
          <w:p>
            <w:pPr>
              <w:pStyle w:val="Compact"/>
            </w:pPr>
            <w:r>
              <w:t xml:space="preserve">System Architecture; CTP6/CTP5 Junction Box &amp; Drum Design</w:t>
            </w:r>
          </w:p>
        </w:tc>
        <w:tc>
          <w:tcPr/>
          <w:p>
            <w:pPr>
              <w:pStyle w:val="Compact"/>
            </w:pPr>
            <w:r>
              <w:t xml:space="preserve">C</w:t>
            </w:r>
          </w:p>
        </w:tc>
        <w:tc>
          <w:tcPr/>
          <w:p>
            <w:pPr>
              <w:pStyle w:val="Compact"/>
            </w:pPr>
            <w:r>
              <w:t xml:space="preserve">Mobile works supply and permanent tie-in covered</w:t>
            </w:r>
          </w:p>
        </w:tc>
      </w:tr>
    </w:tbl>
    <w:bookmarkEnd w:id="24"/>
    <w:bookmarkStart w:id="25" w:name="b-method-statement-sequencing"/>
    <w:p>
      <w:pPr>
        <w:pStyle w:val="Heading3"/>
      </w:pPr>
      <w:r>
        <w:t xml:space="preserve">B) Method Statement &amp; Sequencing</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RFP Clause</w:t>
            </w:r>
          </w:p>
        </w:tc>
        <w:tc>
          <w:tcPr/>
          <w:p>
            <w:pPr>
              <w:pStyle w:val="Compact"/>
            </w:pPr>
            <w:r>
              <w:t xml:space="preserve">Requirement</w:t>
            </w:r>
          </w:p>
        </w:tc>
        <w:tc>
          <w:tcPr/>
          <w:p>
            <w:pPr>
              <w:pStyle w:val="Compact"/>
            </w:pPr>
            <w:r>
              <w:t xml:space="preserve">Where addressed</w:t>
            </w:r>
          </w:p>
        </w:tc>
        <w:tc>
          <w:tcPr/>
          <w:p>
            <w:pPr>
              <w:pStyle w:val="Compact"/>
            </w:pPr>
            <w:r>
              <w:t xml:space="preserve">Compliance</w:t>
            </w:r>
          </w:p>
        </w:tc>
        <w:tc>
          <w:tcPr/>
          <w:p>
            <w:pPr>
              <w:pStyle w:val="Compact"/>
            </w:pPr>
            <w:r>
              <w:t xml:space="preserve">Notes</w:t>
            </w:r>
          </w:p>
        </w:tc>
      </w:tr>
      <w:tr>
        <w:tc>
          <w:tcPr/>
          <w:p>
            <w:pPr>
              <w:pStyle w:val="Compact"/>
            </w:pPr>
            <w:r>
              <w:t xml:space="preserve">[Pending-B1]</w:t>
            </w:r>
          </w:p>
        </w:tc>
        <w:tc>
          <w:tcPr/>
          <w:p>
            <w:pPr>
              <w:pStyle w:val="Compact"/>
            </w:pPr>
            <w:r>
              <w:t xml:space="preserve">Installation methodology and sequencing</w:t>
            </w:r>
          </w:p>
        </w:tc>
        <w:tc>
          <w:tcPr/>
          <w:p>
            <w:pPr>
              <w:pStyle w:val="Compact"/>
            </w:pPr>
            <w:r>
              <w:t xml:space="preserve">Method Statement</w:t>
            </w:r>
          </w:p>
        </w:tc>
        <w:tc>
          <w:tcPr/>
          <w:p>
            <w:pPr>
              <w:pStyle w:val="Compact"/>
            </w:pPr>
            <w:r>
              <w:t xml:space="preserve">C</w:t>
            </w:r>
          </w:p>
        </w:tc>
        <w:tc>
          <w:tcPr/>
          <w:p>
            <w:pPr>
              <w:pStyle w:val="Compact"/>
            </w:pPr>
            <w:r>
              <w:t xml:space="preserve">Zero-energized-work; constructability-first</w:t>
            </w:r>
          </w:p>
        </w:tc>
      </w:tr>
    </w:tbl>
    <w:bookmarkEnd w:id="25"/>
    <w:bookmarkStart w:id="26" w:name="c-testing-commissioning"/>
    <w:p>
      <w:pPr>
        <w:pStyle w:val="Heading3"/>
      </w:pPr>
      <w:r>
        <w:t xml:space="preserve">C) Testing &amp; Commissioning</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RFP Clause</w:t>
            </w:r>
          </w:p>
        </w:tc>
        <w:tc>
          <w:tcPr/>
          <w:p>
            <w:pPr>
              <w:pStyle w:val="Compact"/>
            </w:pPr>
            <w:r>
              <w:t xml:space="preserve">Requirement</w:t>
            </w:r>
          </w:p>
        </w:tc>
        <w:tc>
          <w:tcPr/>
          <w:p>
            <w:pPr>
              <w:pStyle w:val="Compact"/>
            </w:pPr>
            <w:r>
              <w:t xml:space="preserve">Where addressed</w:t>
            </w:r>
          </w:p>
        </w:tc>
        <w:tc>
          <w:tcPr/>
          <w:p>
            <w:pPr>
              <w:pStyle w:val="Compact"/>
            </w:pPr>
            <w:r>
              <w:t xml:space="preserve">Compliance</w:t>
            </w:r>
          </w:p>
        </w:tc>
        <w:tc>
          <w:tcPr/>
          <w:p>
            <w:pPr>
              <w:pStyle w:val="Compact"/>
            </w:pPr>
            <w:r>
              <w:t xml:space="preserve">Notes</w:t>
            </w:r>
          </w:p>
        </w:tc>
      </w:tr>
      <w:tr>
        <w:tc>
          <w:tcPr/>
          <w:p>
            <w:pPr>
              <w:pStyle w:val="Compact"/>
            </w:pPr>
            <w:r>
              <w:t xml:space="preserve">[Pending-C1]</w:t>
            </w:r>
          </w:p>
        </w:tc>
        <w:tc>
          <w:tcPr/>
          <w:p>
            <w:pPr>
              <w:pStyle w:val="Compact"/>
            </w:pPr>
            <w:r>
              <w:t xml:space="preserve">Factory &amp; Site Acceptance Tests</w:t>
            </w:r>
          </w:p>
        </w:tc>
        <w:tc>
          <w:tcPr/>
          <w:p>
            <w:pPr>
              <w:pStyle w:val="Compact"/>
            </w:pPr>
            <w:r>
              <w:t xml:space="preserve">End-to-End FAT; End-to-End SAT; Acceptance Criteria</w:t>
            </w:r>
          </w:p>
        </w:tc>
        <w:tc>
          <w:tcPr/>
          <w:p>
            <w:pPr>
              <w:pStyle w:val="Compact"/>
            </w:pPr>
            <w:r>
              <w:t xml:space="preserve">C</w:t>
            </w:r>
          </w:p>
        </w:tc>
        <w:tc>
          <w:tcPr/>
          <w:p>
            <w:pPr>
              <w:pStyle w:val="Compact"/>
            </w:pPr>
            <w:r>
              <w:t xml:space="preserve">Secondary injection; IR; VLF 0.1 Hz @ 2×U0</w:t>
            </w:r>
          </w:p>
        </w:tc>
      </w:tr>
      <w:tr>
        <w:tc>
          <w:tcPr/>
          <w:p>
            <w:pPr>
              <w:pStyle w:val="Compact"/>
            </w:pPr>
            <w:r>
              <w:t xml:space="preserve">[Pending-C2]</w:t>
            </w:r>
          </w:p>
        </w:tc>
        <w:tc>
          <w:tcPr/>
          <w:p>
            <w:pPr>
              <w:pStyle w:val="Compact"/>
            </w:pPr>
            <w:r>
              <w:t xml:space="preserve">MV cable test requirements</w:t>
            </w:r>
          </w:p>
        </w:tc>
        <w:tc>
          <w:tcPr/>
          <w:p>
            <w:pPr>
              <w:pStyle w:val="Compact"/>
            </w:pPr>
            <w:r>
              <w:t xml:space="preserve">Testing &amp; Commissioning</w:t>
            </w:r>
          </w:p>
        </w:tc>
        <w:tc>
          <w:tcPr/>
          <w:p>
            <w:pPr>
              <w:pStyle w:val="Compact"/>
            </w:pPr>
            <w:r>
              <w:t xml:space="preserve">C</w:t>
            </w:r>
          </w:p>
        </w:tc>
        <w:tc>
          <w:tcPr/>
          <w:p>
            <w:pPr>
              <w:pStyle w:val="Compact"/>
            </w:pPr>
            <w:r>
              <w:t xml:space="preserve">Withstand/VLF, continuity, phase ID</w:t>
            </w:r>
          </w:p>
        </w:tc>
      </w:tr>
    </w:tbl>
    <w:bookmarkEnd w:id="26"/>
    <w:bookmarkStart w:id="27" w:name="d-qaitp-hse"/>
    <w:p>
      <w:pPr>
        <w:pStyle w:val="Heading3"/>
      </w:pPr>
      <w:r>
        <w:t xml:space="preserve">D) QA/ITP &amp; HSE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RFP Clause</w:t>
            </w:r>
          </w:p>
        </w:tc>
        <w:tc>
          <w:tcPr/>
          <w:p>
            <w:pPr>
              <w:pStyle w:val="Compact"/>
            </w:pPr>
            <w:r>
              <w:t xml:space="preserve">Requirement</w:t>
            </w:r>
          </w:p>
        </w:tc>
        <w:tc>
          <w:tcPr/>
          <w:p>
            <w:pPr>
              <w:pStyle w:val="Compact"/>
            </w:pPr>
            <w:r>
              <w:t xml:space="preserve">Where addressed</w:t>
            </w:r>
          </w:p>
        </w:tc>
        <w:tc>
          <w:tcPr/>
          <w:p>
            <w:pPr>
              <w:pStyle w:val="Compact"/>
            </w:pPr>
            <w:r>
              <w:t xml:space="preserve">Compliance</w:t>
            </w:r>
          </w:p>
        </w:tc>
        <w:tc>
          <w:tcPr/>
          <w:p>
            <w:pPr>
              <w:pStyle w:val="Compact"/>
            </w:pPr>
            <w:r>
              <w:t xml:space="preserve">Notes</w:t>
            </w:r>
          </w:p>
        </w:tc>
      </w:tr>
      <w:tr>
        <w:tc>
          <w:tcPr/>
          <w:p>
            <w:pPr>
              <w:pStyle w:val="Compact"/>
            </w:pPr>
            <w:r>
              <w:t xml:space="preserve">[Pending-D1]</w:t>
            </w:r>
          </w:p>
        </w:tc>
        <w:tc>
          <w:tcPr/>
          <w:p>
            <w:pPr>
              <w:pStyle w:val="Compact"/>
            </w:pPr>
            <w:r>
              <w:t xml:space="preserve">Quality plan, ITP and evidence</w:t>
            </w:r>
          </w:p>
        </w:tc>
        <w:tc>
          <w:tcPr/>
          <w:p>
            <w:pPr>
              <w:pStyle w:val="Compact"/>
            </w:pPr>
            <w:r>
              <w:t xml:space="preserve">Documentation &amp; Handover Plan; Acceptance Criteria</w:t>
            </w:r>
          </w:p>
        </w:tc>
        <w:tc>
          <w:tcPr/>
          <w:p>
            <w:pPr>
              <w:pStyle w:val="Compact"/>
            </w:pPr>
            <w:r>
              <w:t xml:space="preserve">C</w:t>
            </w:r>
          </w:p>
        </w:tc>
        <w:tc>
          <w:tcPr/>
          <w:p>
            <w:pPr>
              <w:pStyle w:val="Compact"/>
            </w:pPr>
            <w:r>
              <w:t xml:space="preserve">ITRs, photo evidence, traceability</w:t>
            </w:r>
          </w:p>
        </w:tc>
      </w:tr>
      <w:tr>
        <w:tc>
          <w:tcPr/>
          <w:p>
            <w:pPr>
              <w:pStyle w:val="Compact"/>
            </w:pPr>
            <w:r>
              <w:t xml:space="preserve">[Pending-D2]</w:t>
            </w:r>
          </w:p>
        </w:tc>
        <w:tc>
          <w:tcPr/>
          <w:p>
            <w:pPr>
              <w:pStyle w:val="Compact"/>
            </w:pPr>
            <w:r>
              <w:t xml:space="preserve">HSE, permits, RAMS</w:t>
            </w:r>
          </w:p>
        </w:tc>
        <w:tc>
          <w:tcPr/>
          <w:p>
            <w:pPr>
              <w:pStyle w:val="Compact"/>
            </w:pPr>
            <w:r>
              <w:t xml:space="preserve">Method Statement; Project Management &amp; Administration</w:t>
            </w:r>
          </w:p>
        </w:tc>
        <w:tc>
          <w:tcPr/>
          <w:p>
            <w:pPr>
              <w:pStyle w:val="Compact"/>
            </w:pPr>
            <w:r>
              <w:t xml:space="preserve">C</w:t>
            </w:r>
          </w:p>
        </w:tc>
        <w:tc>
          <w:tcPr/>
          <w:p>
            <w:pPr>
              <w:pStyle w:val="Compact"/>
            </w:pPr>
            <w:r>
              <w:t xml:space="preserve">PTW/LOTO; lifting plans; confined space controls</w:t>
            </w:r>
          </w:p>
        </w:tc>
      </w:tr>
    </w:tbl>
    <w:bookmarkEnd w:id="27"/>
    <w:bookmarkStart w:id="28" w:name="e-documentation-training-legalisation"/>
    <w:p>
      <w:pPr>
        <w:pStyle w:val="Heading3"/>
      </w:pPr>
      <w:r>
        <w:t xml:space="preserve">E) Documentation, Training &amp; Legalisation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RFP Clause</w:t>
            </w:r>
          </w:p>
        </w:tc>
        <w:tc>
          <w:tcPr/>
          <w:p>
            <w:pPr>
              <w:pStyle w:val="Compact"/>
            </w:pPr>
            <w:r>
              <w:t xml:space="preserve">Requirement</w:t>
            </w:r>
          </w:p>
        </w:tc>
        <w:tc>
          <w:tcPr/>
          <w:p>
            <w:pPr>
              <w:pStyle w:val="Compact"/>
            </w:pPr>
            <w:r>
              <w:t xml:space="preserve">Where addressed</w:t>
            </w:r>
          </w:p>
        </w:tc>
        <w:tc>
          <w:tcPr/>
          <w:p>
            <w:pPr>
              <w:pStyle w:val="Compact"/>
            </w:pPr>
            <w:r>
              <w:t xml:space="preserve">Compliance</w:t>
            </w:r>
          </w:p>
        </w:tc>
        <w:tc>
          <w:tcPr/>
          <w:p>
            <w:pPr>
              <w:pStyle w:val="Compact"/>
            </w:pPr>
            <w:r>
              <w:t xml:space="preserve">Notes</w:t>
            </w:r>
          </w:p>
        </w:tc>
      </w:tr>
      <w:tr>
        <w:tc>
          <w:tcPr/>
          <w:p>
            <w:pPr>
              <w:pStyle w:val="Compact"/>
            </w:pPr>
            <w:r>
              <w:t xml:space="preserve">[Pending-E1]</w:t>
            </w:r>
          </w:p>
        </w:tc>
        <w:tc>
          <w:tcPr/>
          <w:p>
            <w:pPr>
              <w:pStyle w:val="Compact"/>
            </w:pPr>
            <w:r>
              <w:t xml:space="preserve">Handover dossier &amp; legalisation</w:t>
            </w:r>
          </w:p>
        </w:tc>
        <w:tc>
          <w:tcPr/>
          <w:p>
            <w:pPr>
              <w:pStyle w:val="Compact"/>
            </w:pPr>
            <w:r>
              <w:t xml:space="preserve">Documentation &amp; Handover Plan</w:t>
            </w:r>
          </w:p>
        </w:tc>
        <w:tc>
          <w:tcPr/>
          <w:p>
            <w:pPr>
              <w:pStyle w:val="Compact"/>
            </w:pPr>
            <w:r>
              <w:t xml:space="preserve">C</w:t>
            </w:r>
          </w:p>
        </w:tc>
        <w:tc>
          <w:tcPr/>
          <w:p>
            <w:pPr>
              <w:pStyle w:val="Compact"/>
            </w:pPr>
            <w:r>
              <w:t xml:space="preserve">As-builts, test packs, approvals</w:t>
            </w:r>
          </w:p>
        </w:tc>
      </w:tr>
      <w:tr>
        <w:tc>
          <w:tcPr/>
          <w:p>
            <w:pPr>
              <w:pStyle w:val="Compact"/>
            </w:pPr>
            <w:r>
              <w:t xml:space="preserve">[Pending-E2]</w:t>
            </w:r>
          </w:p>
        </w:tc>
        <w:tc>
          <w:tcPr/>
          <w:p>
            <w:pPr>
              <w:pStyle w:val="Compact"/>
            </w:pPr>
            <w:r>
              <w:t xml:space="preserve">Training deliverables</w:t>
            </w:r>
          </w:p>
        </w:tc>
        <w:tc>
          <w:tcPr/>
          <w:p>
            <w:pPr>
              <w:pStyle w:val="Compact"/>
            </w:pPr>
            <w:r>
              <w:t xml:space="preserve">Training Artefacts</w:t>
            </w:r>
          </w:p>
        </w:tc>
        <w:tc>
          <w:tcPr/>
          <w:p>
            <w:pPr>
              <w:pStyle w:val="Compact"/>
            </w:pPr>
            <w:r>
              <w:t xml:space="preserve">C</w:t>
            </w:r>
          </w:p>
        </w:tc>
        <w:tc>
          <w:tcPr/>
          <w:p>
            <w:pPr>
              <w:pStyle w:val="Compact"/>
            </w:pPr>
            <w:r>
              <w:t xml:space="preserve">Slides, checklists, attendance</w:t>
            </w:r>
          </w:p>
        </w:tc>
      </w:tr>
    </w:tbl>
    <w:bookmarkEnd w:id="28"/>
    <w:bookmarkStart w:id="29" w:name="f-programme-milestones"/>
    <w:p>
      <w:pPr>
        <w:pStyle w:val="Heading3"/>
      </w:pPr>
      <w:r>
        <w:t xml:space="preserve">F) Programme &amp; Milestones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RFP Clause</w:t>
            </w:r>
          </w:p>
        </w:tc>
        <w:tc>
          <w:tcPr/>
          <w:p>
            <w:pPr>
              <w:pStyle w:val="Compact"/>
            </w:pPr>
            <w:r>
              <w:t xml:space="preserve">Requirement</w:t>
            </w:r>
          </w:p>
        </w:tc>
        <w:tc>
          <w:tcPr/>
          <w:p>
            <w:pPr>
              <w:pStyle w:val="Compact"/>
            </w:pPr>
            <w:r>
              <w:t xml:space="preserve">Where addressed</w:t>
            </w:r>
          </w:p>
        </w:tc>
        <w:tc>
          <w:tcPr/>
          <w:p>
            <w:pPr>
              <w:pStyle w:val="Compact"/>
            </w:pPr>
            <w:r>
              <w:t xml:space="preserve">Compliance</w:t>
            </w:r>
          </w:p>
        </w:tc>
        <w:tc>
          <w:tcPr/>
          <w:p>
            <w:pPr>
              <w:pStyle w:val="Compact"/>
            </w:pPr>
            <w:r>
              <w:t xml:space="preserve">Notes</w:t>
            </w:r>
          </w:p>
        </w:tc>
      </w:tr>
      <w:tr>
        <w:tc>
          <w:tcPr/>
          <w:p>
            <w:pPr>
              <w:pStyle w:val="Compact"/>
            </w:pPr>
            <w:r>
              <w:t xml:space="preserve">[Pending-F1]</w:t>
            </w:r>
          </w:p>
        </w:tc>
        <w:tc>
          <w:tcPr/>
          <w:p>
            <w:pPr>
              <w:pStyle w:val="Compact"/>
            </w:pPr>
            <w:r>
              <w:t xml:space="preserve">Baseline programme &amp; reporting</w:t>
            </w:r>
          </w:p>
        </w:tc>
        <w:tc>
          <w:tcPr/>
          <w:p>
            <w:pPr>
              <w:pStyle w:val="Compact"/>
            </w:pPr>
            <w:r>
              <w:t xml:space="preserve">Programme (Gantt Milestones)</w:t>
            </w:r>
          </w:p>
        </w:tc>
        <w:tc>
          <w:tcPr/>
          <w:p>
            <w:pPr>
              <w:pStyle w:val="Compact"/>
            </w:pPr>
            <w:r>
              <w:t xml:space="preserve">C</w:t>
            </w:r>
          </w:p>
        </w:tc>
        <w:tc>
          <w:tcPr/>
          <w:p>
            <w:pPr>
              <w:pStyle w:val="Compact"/>
            </w:pPr>
            <w:r>
              <w:t xml:space="preserve">Baseline + look-ahead cadence</w:t>
            </w:r>
          </w:p>
        </w:tc>
      </w:tr>
    </w:tbl>
    <w:bookmarkEnd w:id="29"/>
    <w:bookmarkStart w:id="30" w:name="g-commercial-terms"/>
    <w:p>
      <w:pPr>
        <w:pStyle w:val="Heading3"/>
      </w:pPr>
      <w:r>
        <w:t xml:space="preserve">G) Commercial Terms</w:t>
      </w:r>
    </w:p>
    <w:p>
      <w:pPr>
        <w:pStyle w:val="FirstParagraph"/>
      </w:pPr>
      <w:r>
        <w:t xml:space="preserve">RFP Clause | Requirement | Where addressed | Compliance | Notes |</w:t>
      </w:r>
      <w:r>
        <w:br/>
      </w:r>
      <w:r>
        <w:t xml:space="preserve">[Pending-G1] | Warranty &amp; SLAs | Warranty &amp; SLA | C | 12 months (option 24); response/restore/rectify |</w:t>
      </w:r>
      <w:r>
        <w:br/>
      </w:r>
      <w:r>
        <w:t xml:space="preserve">[Pending-G2] | Employer-supplied items | Protection Coordination; Commercial summary | C | UniGear ZS1 per V3.1 |</w:t>
      </w:r>
    </w:p>
    <w:p>
      <w:r>
        <w:pict>
          <v:rect style="width:0;height:1.5pt" o:hralign="center" o:hrstd="t" o:hr="t"/>
        </w:pict>
      </w:r>
    </w:p>
    <w:bookmarkEnd w:id="30"/>
    <w:bookmarkEnd w:id="31"/>
    <w:bookmarkStart w:id="32" w:name="scope-coverage-electrical"/>
    <w:p>
      <w:pPr>
        <w:pStyle w:val="Heading2"/>
      </w:pPr>
      <w:r>
        <w:t xml:space="preserve">Scope Coverage — Electrical</w:t>
      </w:r>
    </w:p>
    <w:p>
      <w:pPr>
        <w:pStyle w:val="Compact"/>
        <w:numPr>
          <w:ilvl w:val="0"/>
          <w:numId w:val="1006"/>
        </w:numPr>
      </w:pPr>
      <w:r>
        <w:t xml:space="preserve">Engineering &amp; Design</w:t>
      </w:r>
    </w:p>
    <w:p>
      <w:pPr>
        <w:pStyle w:val="Compact"/>
        <w:numPr>
          <w:ilvl w:val="1"/>
          <w:numId w:val="1007"/>
        </w:numPr>
      </w:pPr>
      <w:r>
        <w:t xml:space="preserve">MV SLD and feeder architecture (mobile substation → CTP6 → STS05/STS06; STS04 migration to CTP5)</w:t>
      </w:r>
    </w:p>
    <w:p>
      <w:pPr>
        <w:pStyle w:val="Compact"/>
        <w:numPr>
          <w:ilvl w:val="1"/>
          <w:numId w:val="1007"/>
        </w:numPr>
      </w:pPr>
      <w:r>
        <w:t xml:space="preserve">CTP6 and CTP5 pit GA: MV junction box and drum designs, earthing, labeling</w:t>
      </w:r>
    </w:p>
    <w:p>
      <w:pPr>
        <w:pStyle w:val="Compact"/>
        <w:numPr>
          <w:ilvl w:val="1"/>
          <w:numId w:val="1007"/>
        </w:numPr>
      </w:pPr>
      <w:r>
        <w:t xml:space="preserve">Cable sizing method; protection &amp; coordination per TiN settings</w:t>
      </w:r>
    </w:p>
    <w:p>
      <w:pPr>
        <w:pStyle w:val="Compact"/>
        <w:numPr>
          <w:ilvl w:val="1"/>
          <w:numId w:val="1007"/>
        </w:numPr>
      </w:pPr>
      <w:r>
        <w:t xml:space="preserve">Earthing per IEC 61936-1; sheath bonding scheme</w:t>
      </w:r>
    </w:p>
    <w:p>
      <w:pPr>
        <w:pStyle w:val="Compact"/>
        <w:numPr>
          <w:ilvl w:val="0"/>
          <w:numId w:val="1006"/>
        </w:numPr>
      </w:pPr>
      <w:r>
        <w:t xml:space="preserve">Procurement</w:t>
      </w:r>
    </w:p>
    <w:p>
      <w:pPr>
        <w:pStyle w:val="Compact"/>
        <w:numPr>
          <w:ilvl w:val="1"/>
          <w:numId w:val="1008"/>
        </w:numPr>
      </w:pPr>
      <w:r>
        <w:t xml:space="preserve">MV XLPE cable (IEC 60502-2), termination/joint kits, SS IP67/IK10 enclosures (C5M)</w:t>
      </w:r>
    </w:p>
    <w:p>
      <w:pPr>
        <w:pStyle w:val="Compact"/>
        <w:numPr>
          <w:ilvl w:val="1"/>
          <w:numId w:val="1008"/>
        </w:numPr>
      </w:pPr>
      <w:r>
        <w:t xml:space="preserve">Certificates of conformity and type test reports</w:t>
      </w:r>
    </w:p>
    <w:p>
      <w:pPr>
        <w:pStyle w:val="Compact"/>
        <w:numPr>
          <w:ilvl w:val="0"/>
          <w:numId w:val="1006"/>
        </w:numPr>
      </w:pPr>
      <w:r>
        <w:t xml:space="preserve">Installation</w:t>
      </w:r>
    </w:p>
    <w:p>
      <w:pPr>
        <w:pStyle w:val="Compact"/>
        <w:numPr>
          <w:ilvl w:val="1"/>
          <w:numId w:val="1009"/>
        </w:numPr>
      </w:pPr>
      <w:r>
        <w:t xml:space="preserve">STS04 controlled isolation at CTP6, reroute to CTP5, new JB/drum and terminations</w:t>
      </w:r>
    </w:p>
    <w:p>
      <w:pPr>
        <w:pStyle w:val="Compact"/>
        <w:numPr>
          <w:ilvl w:val="1"/>
          <w:numId w:val="1009"/>
        </w:numPr>
      </w:pPr>
      <w:r>
        <w:t xml:space="preserve">STS05/STS06 drums and JBs at CTP6; feeders from mobile substation</w:t>
      </w:r>
    </w:p>
    <w:p>
      <w:pPr>
        <w:pStyle w:val="Compact"/>
        <w:numPr>
          <w:ilvl w:val="0"/>
          <w:numId w:val="1006"/>
        </w:numPr>
      </w:pPr>
      <w:r>
        <w:t xml:space="preserve">Testing &amp; Commissioning</w:t>
      </w:r>
    </w:p>
    <w:p>
      <w:pPr>
        <w:pStyle w:val="Compact"/>
        <w:numPr>
          <w:ilvl w:val="1"/>
          <w:numId w:val="1010"/>
        </w:numPr>
      </w:pPr>
      <w:r>
        <w:t xml:space="preserve">MV IR/continuity, withstand/VLF; protection setting verification</w:t>
      </w:r>
    </w:p>
    <w:p>
      <w:pPr>
        <w:pStyle w:val="Compact"/>
        <w:numPr>
          <w:ilvl w:val="0"/>
          <w:numId w:val="1006"/>
        </w:numPr>
      </w:pPr>
      <w:r>
        <w:t xml:space="preserve">Documentation &amp; Handover</w:t>
      </w:r>
    </w:p>
    <w:p>
      <w:pPr>
        <w:pStyle w:val="Compact"/>
        <w:numPr>
          <w:ilvl w:val="1"/>
          <w:numId w:val="1011"/>
        </w:numPr>
      </w:pPr>
      <w:r>
        <w:t xml:space="preserve">As-built DWG/PDF, cable schedules, protection settings</w:t>
      </w:r>
    </w:p>
    <w:p>
      <w:pPr>
        <w:pStyle w:val="Compact"/>
        <w:numPr>
          <w:ilvl w:val="1"/>
          <w:numId w:val="1011"/>
        </w:numPr>
      </w:pPr>
      <w:r>
        <w:t xml:space="preserve">Test packs (MV), O&amp;M manuals, training records, handover checklist</w:t>
      </w:r>
    </w:p>
    <w:p>
      <w:pPr>
        <w:pStyle w:val="Compact"/>
        <w:numPr>
          <w:ilvl w:val="1"/>
          <w:numId w:val="1011"/>
        </w:numPr>
      </w:pPr>
      <w:r>
        <w:t xml:space="preserve">Legalisation dossier per V3.1</w:t>
      </w:r>
    </w:p>
    <w:p>
      <w:pPr>
        <w:pStyle w:val="Compact"/>
        <w:numPr>
          <w:ilvl w:val="0"/>
          <w:numId w:val="1006"/>
        </w:numPr>
      </w:pPr>
      <w:r>
        <w:t xml:space="preserve">Project Mgmt &amp; Admin</w:t>
      </w:r>
    </w:p>
    <w:p>
      <w:pPr>
        <w:pStyle w:val="Compact"/>
        <w:numPr>
          <w:ilvl w:val="1"/>
          <w:numId w:val="1012"/>
        </w:numPr>
      </w:pPr>
      <w:r>
        <w:t xml:space="preserve">Programme (Gantt), RACI, risk register, permitting schedule</w:t>
      </w:r>
    </w:p>
    <w:p>
      <w:pPr>
        <w:pStyle w:val="Compact"/>
        <w:numPr>
          <w:ilvl w:val="1"/>
          <w:numId w:val="1012"/>
        </w:numPr>
      </w:pPr>
      <w:r>
        <w:t xml:space="preserve">Document control (10 working day review SLA), meeting cadence, escalation</w:t>
      </w:r>
    </w:p>
    <w:p>
      <w:r>
        <w:pict>
          <v:rect style="width:0;height:1.5pt" o:hralign="center" o:hrstd="t" o:hr="t"/>
        </w:pict>
      </w:r>
    </w:p>
    <w:bookmarkEnd w:id="32"/>
    <w:bookmarkEnd w:id="33"/>
    <w:bookmarkStart w:id="126" w:name="part-a-electrical-offer-technical"/>
    <w:p>
      <w:pPr>
        <w:pStyle w:val="Heading1"/>
      </w:pPr>
      <w:r>
        <w:t xml:space="preserve">Part A – Electrical Offer (Technical)</w:t>
      </w:r>
    </w:p>
    <w:bookmarkStart w:id="34" w:name="design-basis-standards"/>
    <w:p>
      <w:pPr>
        <w:pStyle w:val="Heading2"/>
      </w:pPr>
      <w:r>
        <w:t xml:space="preserve">Design Basis &amp; Standards</w:t>
      </w:r>
    </w:p>
    <w:p>
      <w:pPr>
        <w:pStyle w:val="Compact"/>
        <w:numPr>
          <w:ilvl w:val="0"/>
          <w:numId w:val="1013"/>
        </w:numPr>
      </w:pPr>
      <w:r>
        <w:t xml:space="preserve">Standards: DIN/EN/ISO; Electrical: DIN/VDE, EN, IEC; European standards prevail.</w:t>
      </w:r>
    </w:p>
    <w:p>
      <w:pPr>
        <w:pStyle w:val="Compact"/>
        <w:numPr>
          <w:ilvl w:val="0"/>
          <w:numId w:val="1013"/>
        </w:numPr>
      </w:pPr>
      <w:r>
        <w:t xml:space="preserve">MV level: 11 kV (informed guess based on TiN protection settings and UniGear ZS1 12/20 kV class panels indicating 11 kV site standard; pending TiN confirmation); feeder current/volt drop sized from ZPMC OEM data and TiN system parameters.</w:t>
      </w:r>
    </w:p>
    <w:p>
      <w:pPr>
        <w:pStyle w:val="Compact"/>
        <w:numPr>
          <w:ilvl w:val="0"/>
          <w:numId w:val="1013"/>
        </w:numPr>
      </w:pPr>
      <w:r>
        <w:t xml:space="preserve">Earthing per IEC 61936-1; sheath bonding scheme to avoid circulating currents.</w:t>
      </w:r>
    </w:p>
    <w:bookmarkEnd w:id="34"/>
    <w:bookmarkStart w:id="36" w:name="system-architecture-sld-overview"/>
    <w:p>
      <w:pPr>
        <w:pStyle w:val="Heading2"/>
      </w:pPr>
      <w:r>
        <w:t xml:space="preserve">System Architecture (SLD overview)</w:t>
      </w:r>
    </w:p>
    <w:p>
      <w:pPr>
        <w:pStyle w:val="SourceCode"/>
      </w:pPr>
      <w:r>
        <w:rPr>
          <w:rStyle w:val="VerbatimChar"/>
        </w:rPr>
        <w:t xml:space="preserve">[Employer MV Switchgear] --(config per TiN)--&gt; [Mobile Substation]* --&gt; Feeder(s) --&gt; [CTP6]</w:t>
      </w:r>
      <w:r>
        <w:br/>
      </w:r>
      <w:r>
        <w:rPr>
          <w:rStyle w:val="VerbatimChar"/>
        </w:rPr>
        <w:t xml:space="preserve">                                                                   +--&gt; [CTP6 JB+Drum → STS05]</w:t>
      </w:r>
      <w:r>
        <w:br/>
      </w:r>
      <w:r>
        <w:rPr>
          <w:rStyle w:val="VerbatimChar"/>
        </w:rPr>
        <w:t xml:space="preserve">                                                                   +--&gt; [CTP6 JB+Drum → STS06]</w:t>
      </w:r>
      <w:r>
        <w:br/>
      </w:r>
      <w:r>
        <w:rPr>
          <w:rStyle w:val="VerbatimChar"/>
        </w:rPr>
        <w:t xml:space="preserve">STS04 Migration: [CTP6 Disconnect] X → Duct reroute → [CTP5 New JB+Drum → STS04]</w:t>
      </w:r>
      <w:r>
        <w:br/>
      </w:r>
      <w:r>
        <w:rPr>
          <w:rStyle w:val="VerbatimChar"/>
        </w:rPr>
        <w:t xml:space="preserve">*Mobile substation for works; permanent tie-in at Cargo Building MV switchgear (informed guess: nearest MV board with spare feeder per Terminal Layout and protection sheet; shortest route per layout sheets 4–5; pending TiN confirmation)</w:t>
      </w:r>
    </w:p>
    <w:bookmarkStart w:id="35" w:name="X9cc20da58d196319403cdd7a89df9e7969b7e5c"/>
    <w:p>
      <w:pPr>
        <w:pStyle w:val="Heading3"/>
      </w:pPr>
      <w:r>
        <w:t xml:space="preserve">Overall Architecture (Electrical + SCADA + Telecomms)</w:t>
      </w:r>
    </w:p>
    <w:p>
      <w:pPr>
        <w:pStyle w:val="SourceCode"/>
      </w:pPr>
      <w:r>
        <w:rPr>
          <w:rStyle w:val="VerbatimChar"/>
        </w:rPr>
        <w:t xml:space="preserve">                               [Control Room / NOC]</w:t>
      </w:r>
      <w:r>
        <w:br/>
      </w:r>
      <w:r>
        <w:rPr>
          <w:rStyle w:val="VerbatimChar"/>
        </w:rPr>
        <w:t xml:space="preserve">                               +-------------------+</w:t>
      </w:r>
      <w:r>
        <w:br/>
      </w:r>
      <w:r>
        <w:rPr>
          <w:rStyle w:val="VerbatimChar"/>
        </w:rPr>
        <w:t xml:space="preserve">                               |  SCADA Servers    |</w:t>
      </w:r>
      <w:r>
        <w:br/>
      </w:r>
      <w:r>
        <w:rPr>
          <w:rStyle w:val="VerbatimChar"/>
        </w:rPr>
        <w:t xml:space="preserve">                               |  Historian / HMI  |</w:t>
      </w:r>
      <w:r>
        <w:br/>
      </w:r>
      <w:r>
        <w:rPr>
          <w:rStyle w:val="VerbatimChar"/>
        </w:rPr>
        <w:t xml:space="preserve">                               +---------+---------+</w:t>
      </w:r>
      <w:r>
        <w:br/>
      </w:r>
      <w:r>
        <w:rPr>
          <w:rStyle w:val="VerbatimChar"/>
        </w:rPr>
        <w:t xml:space="preserve">                                         |</w:t>
      </w:r>
      <w:r>
        <w:br/>
      </w:r>
      <w:r>
        <w:rPr>
          <w:rStyle w:val="VerbatimChar"/>
        </w:rPr>
        <w:t xml:space="preserve">                                      FO/L2 (OT)</w:t>
      </w:r>
      <w:r>
        <w:br/>
      </w:r>
      <w:r>
        <w:rPr>
          <w:rStyle w:val="VerbatimChar"/>
        </w:rPr>
        <w:t xml:space="preserve">                                         |</w:t>
      </w:r>
      <w:r>
        <w:br/>
      </w:r>
      <w:r>
        <w:rPr>
          <w:rStyle w:val="VerbatimChar"/>
        </w:rPr>
        <w:t xml:space="preserve">                           +-------------v-------------+</w:t>
      </w:r>
      <w:r>
        <w:br/>
      </w:r>
      <w:r>
        <w:rPr>
          <w:rStyle w:val="VerbatimChar"/>
        </w:rPr>
        <w:t xml:space="preserve">                           |     OT Core Switch        |</w:t>
      </w:r>
      <w:r>
        <w:br/>
      </w:r>
      <w:r>
        <w:rPr>
          <w:rStyle w:val="VerbatimChar"/>
        </w:rPr>
        <w:t xml:space="preserve">                           | (Layer-2/3, VLANs, NTP)   |</w:t>
      </w:r>
      <w:r>
        <w:br/>
      </w:r>
      <w:r>
        <w:rPr>
          <w:rStyle w:val="VerbatimChar"/>
        </w:rPr>
        <w:t xml:space="preserve">                           +-------------+-------------+</w:t>
      </w:r>
      <w:r>
        <w:br/>
      </w:r>
      <w:r>
        <w:rPr>
          <w:rStyle w:val="VerbatimChar"/>
        </w:rPr>
        <w:t xml:space="preserve">                                         |</w:t>
      </w:r>
      <w:r>
        <w:br/>
      </w:r>
      <w:r>
        <w:rPr>
          <w:rStyle w:val="VerbatimChar"/>
        </w:rPr>
        <w:t xml:space="preserve">                              FO/L2 or IEC-61850 MMS</w:t>
      </w:r>
      <w:r>
        <w:br/>
      </w:r>
      <w:r>
        <w:rPr>
          <w:rStyle w:val="VerbatimChar"/>
        </w:rPr>
        <w:t xml:space="preserve">                                         |</w:t>
      </w:r>
      <w:r>
        <w:br/>
      </w:r>
      <w:r>
        <w:rPr>
          <w:rStyle w:val="VerbatimChar"/>
        </w:rPr>
        <w:t xml:space="preserve">             +---------------------------v---------------------------+</w:t>
      </w:r>
      <w:r>
        <w:br/>
      </w:r>
      <w:r>
        <w:rPr>
          <w:rStyle w:val="VerbatimChar"/>
        </w:rPr>
        <w:t xml:space="preserve">             |                 SCADA Gateway / RTU                  |</w:t>
      </w:r>
      <w:r>
        <w:br/>
      </w:r>
      <w:r>
        <w:rPr>
          <w:rStyle w:val="VerbatimChar"/>
        </w:rPr>
        <w:t xml:space="preserve">             | (Dry Contacts / 61850 Goose, Time Sync, Security)    |</w:t>
      </w:r>
      <w:r>
        <w:br/>
      </w:r>
      <w:r>
        <w:rPr>
          <w:rStyle w:val="VerbatimChar"/>
        </w:rPr>
        <w:t xml:space="preserve">             +-----------+-------------------------------+-----------+</w:t>
      </w:r>
      <w:r>
        <w:br/>
      </w:r>
      <w:r>
        <w:rPr>
          <w:rStyle w:val="VerbatimChar"/>
        </w:rPr>
        <w:t xml:space="preserve">                         |                               |</w:t>
      </w:r>
      <w:r>
        <w:br/>
      </w:r>
      <w:r>
        <w:rPr>
          <w:rStyle w:val="VerbatimChar"/>
        </w:rPr>
        <w:t xml:space="preserve">                      DI/DO                        FO (Mgmt/Telemetry)</w:t>
      </w:r>
      <w:r>
        <w:br/>
      </w:r>
      <w:r>
        <w:rPr>
          <w:rStyle w:val="VerbatimChar"/>
        </w:rPr>
        <w:t xml:space="preserve">                         |                               |</w:t>
      </w:r>
      <w:r>
        <w:br/>
      </w:r>
      <w:r>
        <w:rPr>
          <w:rStyle w:val="VerbatimChar"/>
        </w:rPr>
        <w:t xml:space="preserve">  ==============================================================================================</w:t>
      </w:r>
      <w:r>
        <w:br/>
      </w:r>
      <w:r>
        <w:rPr>
          <w:rStyle w:val="VerbatimChar"/>
        </w:rPr>
        <w:t xml:space="preserve">  ELECTRICAL FEEDERS (11 kV, informed guess per UniGear ZS1 12/20 kV class and TiN settings)</w:t>
      </w:r>
      <w:r>
        <w:br/>
      </w:r>
      <w:r>
        <w:rPr>
          <w:rStyle w:val="VerbatimChar"/>
        </w:rPr>
        <w:t xml:space="preserve">  ----------------------------------------------------------------------------------------------</w:t>
      </w:r>
      <w:r>
        <w:br/>
      </w:r>
      <w:r>
        <w:rPr>
          <w:rStyle w:val="VerbatimChar"/>
        </w:rPr>
        <w:t xml:space="preserve">          [Employer MV Switchgear @ Cargo Building]  &lt;--- permanent tie-in (informed guess)</w:t>
      </w:r>
      <w:r>
        <w:br/>
      </w:r>
      <w:r>
        <w:rPr>
          <w:rStyle w:val="VerbatimChar"/>
        </w:rPr>
        <w:t xml:space="preserve">                     |   (Feeder Fxx, 11 kV)     \</w:t>
      </w:r>
      <w:r>
        <w:br/>
      </w:r>
      <w:r>
        <w:rPr>
          <w:rStyle w:val="VerbatimChar"/>
        </w:rPr>
        <w:t xml:space="preserve">                     |                            \ (for works)</w:t>
      </w:r>
      <w:r>
        <w:br/>
      </w:r>
      <w:r>
        <w:rPr>
          <w:rStyle w:val="VerbatimChar"/>
        </w:rPr>
        <w:t xml:space="preserve">                     |                             \--&gt; [Mobile Substation]</w:t>
      </w:r>
      <w:r>
        <w:br/>
      </w:r>
      <w:r>
        <w:rPr>
          <w:rStyle w:val="VerbatimChar"/>
        </w:rPr>
        <w:t xml:space="preserve">                     |                                      |</w:t>
      </w:r>
      <w:r>
        <w:br/>
      </w:r>
      <w:r>
        <w:rPr>
          <w:rStyle w:val="VerbatimChar"/>
        </w:rPr>
        <w:t xml:space="preserve">                     |                                      +--&gt; Feeder to [CTP6]</w:t>
      </w:r>
      <w:r>
        <w:br/>
      </w:r>
      <w:r>
        <w:rPr>
          <w:rStyle w:val="VerbatimChar"/>
        </w:rPr>
        <w:t xml:space="preserve">                     |</w:t>
      </w:r>
      <w:r>
        <w:br/>
      </w:r>
      <w:r>
        <w:rPr>
          <w:rStyle w:val="VerbatimChar"/>
        </w:rPr>
        <w:t xml:space="preserve">                     |-------------------------- MV Cable Route (in ducts) ---------------------. </w:t>
      </w:r>
      <w:r>
        <w:br/>
      </w:r>
      <w:r>
        <w:rPr>
          <w:rStyle w:val="VerbatimChar"/>
        </w:rPr>
        <w:t xml:space="preserve">                                                                                               |</w:t>
      </w:r>
      <w:r>
        <w:br/>
      </w:r>
      <w:r>
        <w:rPr>
          <w:rStyle w:val="VerbatimChar"/>
        </w:rPr>
        <w:t xml:space="preserve">                                                                                               v</w:t>
      </w:r>
      <w:r>
        <w:br/>
      </w:r>
      <w:r>
        <w:rPr>
          <w:rStyle w:val="VerbatimChar"/>
        </w:rPr>
        <w:t xml:space="preserve">                                        +-------------------+          +-------------------+</w:t>
      </w:r>
      <w:r>
        <w:br/>
      </w:r>
      <w:r>
        <w:rPr>
          <w:rStyle w:val="VerbatimChar"/>
        </w:rPr>
        <w:t xml:space="preserve">                                        |  CTP6 MV JB  A    |          |  CTP6 MV JB  B    |</w:t>
      </w:r>
      <w:r>
        <w:br/>
      </w:r>
      <w:r>
        <w:rPr>
          <w:rStyle w:val="VerbatimChar"/>
        </w:rPr>
        <w:t xml:space="preserve">                                        |  + Cable Drum --&gt; |---------&gt;|  + Cable Drum --&gt; |-----&gt; STS06</w:t>
      </w:r>
      <w:r>
        <w:br/>
      </w:r>
      <w:r>
        <w:rPr>
          <w:rStyle w:val="VerbatimChar"/>
        </w:rPr>
        <w:t xml:space="preserve">                                        |  STS05            |          |  STS06            |</w:t>
      </w:r>
      <w:r>
        <w:br/>
      </w:r>
      <w:r>
        <w:rPr>
          <w:rStyle w:val="VerbatimChar"/>
        </w:rPr>
        <w:t xml:space="preserve">                                        +-------------------+          +-------------------+</w:t>
      </w:r>
      <w:r>
        <w:br/>
      </w:r>
      <w:r>
        <w:rPr>
          <w:rStyle w:val="VerbatimChar"/>
        </w:rPr>
        <w:t xml:space="preserve">                                                    |</w:t>
      </w:r>
      <w:r>
        <w:br/>
      </w:r>
      <w:r>
        <w:rPr>
          <w:rStyle w:val="VerbatimChar"/>
        </w:rPr>
        <w:t xml:space="preserve">                                                    | (STS04 migration path)</w:t>
      </w:r>
      <w:r>
        <w:br/>
      </w:r>
      <w:r>
        <w:rPr>
          <w:rStyle w:val="VerbatimChar"/>
        </w:rPr>
        <w:t xml:space="preserve">                                                    |    X  [CTP6 existing STS04 disconnect]</w:t>
      </w:r>
      <w:r>
        <w:br/>
      </w:r>
      <w:r>
        <w:rPr>
          <w:rStyle w:val="VerbatimChar"/>
        </w:rPr>
        <w:t xml:space="preserve">                                                    v</w:t>
      </w:r>
      <w:r>
        <w:br/>
      </w:r>
      <w:r>
        <w:rPr>
          <w:rStyle w:val="VerbatimChar"/>
        </w:rPr>
        <w:t xml:space="preserve">                                           +-------------------+</w:t>
      </w:r>
      <w:r>
        <w:br/>
      </w:r>
      <w:r>
        <w:rPr>
          <w:rStyle w:val="VerbatimChar"/>
        </w:rPr>
        <w:t xml:space="preserve">                                           |  CTP5 MV JB       |</w:t>
      </w:r>
      <w:r>
        <w:br/>
      </w:r>
      <w:r>
        <w:rPr>
          <w:rStyle w:val="VerbatimChar"/>
        </w:rPr>
        <w:t xml:space="preserve">                                           |  + Cable Drum --&gt; |-----&gt; STS04</w:t>
      </w:r>
      <w:r>
        <w:br/>
      </w:r>
      <w:r>
        <w:rPr>
          <w:rStyle w:val="VerbatimChar"/>
        </w:rPr>
        <w:t xml:space="preserve">                                           +-------------------+</w:t>
      </w:r>
      <w:r>
        <w:br/>
      </w:r>
      <w:r>
        <w:br/>
      </w:r>
      <w:r>
        <w:rPr>
          <w:rStyle w:val="VerbatimChar"/>
        </w:rPr>
        <w:t xml:space="preserve">  ==============================================================================================</w:t>
      </w:r>
      <w:r>
        <w:br/>
      </w:r>
      <w:r>
        <w:rPr>
          <w:rStyle w:val="VerbatimChar"/>
        </w:rPr>
        <w:t xml:space="preserve">  TELECOMMS (Passive FO) — OS2 9/125 μm, 24F, duct-grade dielectric</w:t>
      </w:r>
      <w:r>
        <w:br/>
      </w:r>
      <w:r>
        <w:rPr>
          <w:rStyle w:val="VerbatimChar"/>
        </w:rPr>
        <w:t xml:space="preserve">  ----------------------------------------------------------------------------------------------</w:t>
      </w:r>
      <w:r>
        <w:br/>
      </w:r>
      <w:r>
        <w:rPr>
          <w:rStyle w:val="VerbatimChar"/>
        </w:rPr>
        <w:t xml:space="preserve">   [Cargo Building FO Rack (LC/UPC Panels)]</w:t>
      </w:r>
      <w:r>
        <w:br/>
      </w:r>
      <w:r>
        <w:rPr>
          <w:rStyle w:val="VerbatimChar"/>
        </w:rPr>
        <w:t xml:space="preserve">                     |</w:t>
      </w:r>
      <w:r>
        <w:br/>
      </w:r>
      <w:r>
        <w:rPr>
          <w:rStyle w:val="VerbatimChar"/>
        </w:rPr>
        <w:t xml:space="preserve">                     | OS2 24F Backbone (in same duct corridor, ref. Layout Sheets 4–5)</w:t>
      </w:r>
      <w:r>
        <w:br/>
      </w:r>
      <w:r>
        <w:rPr>
          <w:rStyle w:val="VerbatimChar"/>
        </w:rPr>
        <w:t xml:space="preserve">                     v</w:t>
      </w:r>
      <w:r>
        <w:br/>
      </w:r>
      <w:r>
        <w:rPr>
          <w:rStyle w:val="VerbatimChar"/>
        </w:rPr>
        <w:t xml:space="preserve">             +------------------+             +------------------+</w:t>
      </w:r>
      <w:r>
        <w:br/>
      </w:r>
      <w:r>
        <w:rPr>
          <w:rStyle w:val="VerbatimChar"/>
        </w:rPr>
        <w:t xml:space="preserve">             |  FO Closure #1   |-------------|  FO Closure #2   |--- OT Core Switch / Gateway</w:t>
      </w:r>
      <w:r>
        <w:br/>
      </w:r>
      <w:r>
        <w:rPr>
          <w:rStyle w:val="VerbatimChar"/>
        </w:rPr>
        <w:t xml:space="preserve">             |  (splice trays)  |             |  (splice trays)  |    (Mgmt/Telemetry VLANs)</w:t>
      </w:r>
      <w:r>
        <w:br/>
      </w:r>
      <w:r>
        <w:rPr>
          <w:rStyle w:val="VerbatimChar"/>
        </w:rPr>
        <w:t xml:space="preserve">             +------------------+             +------------------+</w:t>
      </w:r>
      <w:r>
        <w:br/>
      </w:r>
      <w:r>
        <w:rPr>
          <w:rStyle w:val="VerbatimChar"/>
        </w:rPr>
        <w:t xml:space="preserve">                        |                               |</w:t>
      </w:r>
      <w:r>
        <w:br/>
      </w:r>
      <w:r>
        <w:rPr>
          <w:rStyle w:val="VerbatimChar"/>
        </w:rPr>
        <w:t xml:space="preserve">                        | patch/pigtails                | patch/pigtails</w:t>
      </w:r>
      <w:r>
        <w:br/>
      </w:r>
      <w:r>
        <w:rPr>
          <w:rStyle w:val="VerbatimChar"/>
        </w:rPr>
        <w:t xml:space="preserve">                        v                               v</w:t>
      </w:r>
      <w:r>
        <w:br/>
      </w:r>
      <w:r>
        <w:rPr>
          <w:rStyle w:val="VerbatimChar"/>
        </w:rPr>
        <w:t xml:space="preserve">             [Cargo Building Panels]           [OT/Control Integration]</w:t>
      </w:r>
    </w:p>
    <w:p>
      <w:pPr>
        <w:pStyle w:val="SourceCode"/>
      </w:pPr>
      <w:r>
        <w:rPr>
          <w:rStyle w:val="VerbatimChar"/>
        </w:rPr>
        <w:t xml:space="preserve">................................ Proposed Works (this tender) ................................</w:t>
      </w:r>
      <w:r>
        <w:br/>
      </w:r>
      <w:r>
        <w:rPr>
          <w:rStyle w:val="VerbatimChar"/>
        </w:rPr>
        <w:t xml:space="preserve">: - New CTP6 MV JB A/B with Cable Drums to STS05/STS06</w:t>
      </w:r>
      <w:r>
        <w:br/>
      </w:r>
      <w:r>
        <w:rPr>
          <w:rStyle w:val="VerbatimChar"/>
        </w:rPr>
        <w:t xml:space="preserve">: - New CTP5 MV JB with Cable Drum to STS04 (migration)</w:t>
      </w:r>
      <w:r>
        <w:br/>
      </w:r>
      <w:r>
        <w:rPr>
          <w:rStyle w:val="VerbatimChar"/>
        </w:rPr>
        <w:t xml:space="preserve">: - MV Termination Kits; IR + VLF Withstand Testing; Labels/Tags (TIA-606)</w:t>
      </w:r>
      <w:r>
        <w:br/>
      </w:r>
      <w:r>
        <w:rPr>
          <w:rStyle w:val="VerbatimChar"/>
        </w:rPr>
        <w:t xml:space="preserve">: - Earthing kit; Surge protection at pits; Documentation &amp; ITP execution</w:t>
      </w:r>
      <w:r>
        <w:br/>
      </w:r>
      <w:r>
        <w:rPr>
          <w:rStyle w:val="VerbatimChar"/>
        </w:rPr>
        <w:t xml:space="preserve">: - OS2 24F FO backbone, IP68 closures, LC/UPC rack panels, pigtails/patch cords</w:t>
      </w:r>
      <w:r>
        <w:br/>
      </w:r>
      <w:r>
        <w:rPr>
          <w:rStyle w:val="VerbatimChar"/>
        </w:rPr>
        <w:t xml:space="preserve">: - Permanent tie-in @ Cargo Building MV switchgear (informed guess; shortest route and</w:t>
      </w:r>
      <w:r>
        <w:br/>
      </w:r>
      <w:r>
        <w:rPr>
          <w:rStyle w:val="VerbatimChar"/>
        </w:rPr>
        <w:t xml:space="preserve">:   spare feeder per Terminal Layout and protection sheet; pending TiN confirmation)</w:t>
      </w:r>
      <w:r>
        <w:br/>
      </w:r>
      <w:r>
        <w:rPr>
          <w:rStyle w:val="VerbatimChar"/>
        </w:rPr>
        <w:t xml:space="preserve">..............................................................................................</w:t>
      </w:r>
    </w:p>
    <w:bookmarkEnd w:id="35"/>
    <w:bookmarkEnd w:id="36"/>
    <w:bookmarkStart w:id="55" w:name="X3b5bee4cb2b21a9eaf128f81027126a0be5484a"/>
    <w:p>
      <w:pPr>
        <w:pStyle w:val="Heading2"/>
      </w:pPr>
      <w:r>
        <w:t xml:space="preserve">Solution Strategy &amp; Reference Architecture (Electrical)</w:t>
      </w:r>
    </w:p>
    <w:p>
      <w:pPr>
        <w:pStyle w:val="FirstParagraph"/>
      </w:pPr>
      <w:r>
        <w:t xml:space="preserve">Our strategy is to stage safe isolation and migration (STS04 → CTP5) and implement new MV feeder terminations for STS05/06 at CTP6, governed by zero-energized-work, strong interface control, and evidence-driven quality.</w:t>
      </w:r>
    </w:p>
    <w:bookmarkStart w:id="37" w:name="reference-sld-detailed-view"/>
    <w:p>
      <w:pPr>
        <w:pStyle w:val="Heading3"/>
      </w:pPr>
      <w:r>
        <w:t xml:space="preserve">Reference SLD – Detailed View</w:t>
      </w:r>
    </w:p>
    <w:p>
      <w:pPr>
        <w:pStyle w:val="SourceCode"/>
      </w:pPr>
      <w:r>
        <w:rPr>
          <w:rStyle w:val="VerbatimChar"/>
        </w:rPr>
        <w:t xml:space="preserve">[Employer MV Switchgear @ Cargo Building] — 11 kV</w:t>
      </w:r>
      <w:r>
        <w:br/>
      </w:r>
      <w:r>
        <w:rPr>
          <w:rStyle w:val="VerbatimChar"/>
        </w:rPr>
        <w:t xml:space="preserve">     |  Feeder Fxx (OC/EF, UV; UniGear ZS1 12/20 kV class)</w:t>
      </w:r>
      <w:r>
        <w:br/>
      </w:r>
      <w:r>
        <w:rPr>
          <w:rStyle w:val="VerbatimChar"/>
        </w:rPr>
        <w:t xml:space="preserve">     |--CT/VT--&gt; [Protection Relays] --(settings per TiN)--&gt;</w:t>
      </w:r>
      <w:r>
        <w:br/>
      </w:r>
      <w:r>
        <w:rPr>
          <w:rStyle w:val="VerbatimChar"/>
        </w:rPr>
        <w:t xml:space="preserve">     v</w:t>
      </w:r>
      <w:r>
        <w:br/>
      </w:r>
      <w:r>
        <w:rPr>
          <w:rStyle w:val="VerbatimChar"/>
        </w:rPr>
        <w:t xml:space="preserve">  [Mobile Substation (for works)]</w:t>
      </w:r>
      <w:r>
        <w:br/>
      </w:r>
      <w:r>
        <w:rPr>
          <w:rStyle w:val="VerbatimChar"/>
        </w:rPr>
        <w:t xml:space="preserve">     |</w:t>
      </w:r>
      <w:r>
        <w:br/>
      </w:r>
      <w:r>
        <w:rPr>
          <w:rStyle w:val="VerbatimChar"/>
        </w:rPr>
        <w:t xml:space="preserve">     +--&gt; Feeder #1 --&gt; [CTP6 MV JB A] --&gt; [Cable Drum] --&gt; STS05</w:t>
      </w:r>
      <w:r>
        <w:br/>
      </w:r>
      <w:r>
        <w:rPr>
          <w:rStyle w:val="VerbatimChar"/>
        </w:rPr>
        <w:t xml:space="preserve">     |</w:t>
      </w:r>
      <w:r>
        <w:br/>
      </w:r>
      <w:r>
        <w:rPr>
          <w:rStyle w:val="VerbatimChar"/>
        </w:rPr>
        <w:t xml:space="preserve">     +--&gt; Feeder #2 --&gt; [CTP6 MV JB B] --&gt; [Cable Drum] --&gt; STS06</w:t>
      </w:r>
      <w:r>
        <w:br/>
      </w:r>
      <w:r>
        <w:br/>
      </w:r>
      <w:r>
        <w:rPr>
          <w:rStyle w:val="VerbatimChar"/>
        </w:rPr>
        <w:t xml:space="preserve">  STS04 Migration (permanent path):</w:t>
      </w:r>
      <w:r>
        <w:br/>
      </w:r>
      <w:r>
        <w:rPr>
          <w:rStyle w:val="VerbatimChar"/>
        </w:rPr>
        <w:t xml:space="preserve">     [CTP6 existing] X (isolate) -&gt; duct reroute -&gt; [CTP5 MV JB] -&gt; [Cable Drum] -&gt; STS04</w:t>
      </w:r>
      <w:r>
        <w:br/>
      </w:r>
      <w:r>
        <w:br/>
      </w:r>
      <w:r>
        <w:rPr>
          <w:rStyle w:val="VerbatimChar"/>
        </w:rPr>
        <w:t xml:space="preserve">  --------------------------- Optional / Recommended ---------------------------</w:t>
      </w:r>
      <w:r>
        <w:br/>
      </w:r>
      <w:r>
        <w:rPr>
          <w:rStyle w:val="VerbatimChar"/>
        </w:rPr>
        <w:t xml:space="preserve">  - Redundancy: provision spare cores / second feeder stub at CTP6 for future dual-feed</w:t>
      </w:r>
      <w:r>
        <w:br/>
      </w:r>
      <w:r>
        <w:rPr>
          <w:rStyle w:val="VerbatimChar"/>
        </w:rPr>
        <w:t xml:space="preserve">  - Testing: IR 5 kV and VLF 0.1 Hz @ 2×U0; record temp-corrected values, torque logs</w:t>
      </w:r>
      <w:r>
        <w:br/>
      </w:r>
      <w:r>
        <w:rPr>
          <w:rStyle w:val="VerbatimChar"/>
        </w:rPr>
        <w:t xml:space="preserve">  - Labeling &amp; Earthing: TIA-606 labels; earthing test links; surge protection at pits</w:t>
      </w:r>
      <w:r>
        <w:br/>
      </w:r>
      <w:r>
        <w:rPr>
          <w:rStyle w:val="VerbatimChar"/>
        </w:rPr>
        <w:t xml:space="preserve">  ------------------------------------------------------------------------------</w:t>
      </w:r>
    </w:p>
    <w:bookmarkEnd w:id="37"/>
    <w:bookmarkStart w:id="38" w:name="design-principles"/>
    <w:p>
      <w:pPr>
        <w:pStyle w:val="Heading3"/>
      </w:pPr>
      <w:r>
        <w:t xml:space="preserve">Design Principles</w:t>
      </w:r>
    </w:p>
    <w:p>
      <w:pPr>
        <w:pStyle w:val="Compact"/>
        <w:numPr>
          <w:ilvl w:val="0"/>
          <w:numId w:val="1014"/>
        </w:numPr>
      </w:pPr>
      <w:r>
        <w:t xml:space="preserve">Safety-first: PTW/LOTO, no live work, staged energization.</w:t>
      </w:r>
    </w:p>
    <w:p>
      <w:pPr>
        <w:pStyle w:val="Compact"/>
        <w:numPr>
          <w:ilvl w:val="0"/>
          <w:numId w:val="1014"/>
        </w:numPr>
      </w:pPr>
      <w:r>
        <w:t xml:space="preserve">Marine-grade resilience: C5M hardware, IP67/IK10 enclosures, sealed glanding.</w:t>
      </w:r>
    </w:p>
    <w:p>
      <w:pPr>
        <w:pStyle w:val="Compact"/>
        <w:numPr>
          <w:ilvl w:val="0"/>
          <w:numId w:val="1014"/>
        </w:numPr>
      </w:pPr>
      <w:r>
        <w:t xml:space="preserve">Testability: torque logs, IR/VLF, settings verification with witnessed hold points.</w:t>
      </w:r>
    </w:p>
    <w:p>
      <w:pPr>
        <w:pStyle w:val="Compact"/>
        <w:numPr>
          <w:ilvl w:val="0"/>
          <w:numId w:val="1014"/>
        </w:numPr>
      </w:pPr>
      <w:r>
        <w:t xml:space="preserve">Traceability: labels, as-builts, asset register updates within 48 hours of change.</w:t>
      </w:r>
    </w:p>
    <w:bookmarkEnd w:id="38"/>
    <w:bookmarkStart w:id="54" w:name="design-diagrams-appendices-links"/>
    <w:p>
      <w:pPr>
        <w:pStyle w:val="Heading3"/>
      </w:pPr>
      <w:r>
        <w:t xml:space="preserve">Design Diagrams &amp; Appendices (links)</w:t>
      </w:r>
    </w:p>
    <w:p>
      <w:pPr>
        <w:pStyle w:val="Compact"/>
        <w:numPr>
          <w:ilvl w:val="0"/>
          <w:numId w:val="1015"/>
        </w:numPr>
      </w:pPr>
      <w:r>
        <w:t xml:space="preserve">Electrical Installation Layout Plan (Sheet 4 of 9):</w:t>
      </w:r>
      <w:r>
        <w:t xml:space="preserve"> </w:t>
      </w:r>
      <w:hyperlink r:id="rId39">
        <w:r>
          <w:rPr>
            <w:rStyle w:val="Hyperlink"/>
          </w:rPr>
          <w:t xml:space="preserve">open</w:t>
        </w:r>
      </w:hyperlink>
    </w:p>
    <w:p>
      <w:pPr>
        <w:pStyle w:val="Compact"/>
        <w:numPr>
          <w:ilvl w:val="0"/>
          <w:numId w:val="1015"/>
        </w:numPr>
      </w:pPr>
      <w:r>
        <w:t xml:space="preserve">Electrical Installation Layout Plan (Sheet 5 of 9):</w:t>
      </w:r>
      <w:r>
        <w:t xml:space="preserve"> </w:t>
      </w:r>
      <w:hyperlink r:id="rId40">
        <w:r>
          <w:rPr>
            <w:rStyle w:val="Hyperlink"/>
          </w:rPr>
          <w:t xml:space="preserve">open</w:t>
        </w:r>
      </w:hyperlink>
    </w:p>
    <w:bookmarkStart w:id="53" w:name="Xa241f918efcdff0e0053cdbadbe3c11cffa039d"/>
    <w:p>
      <w:pPr>
        <w:pStyle w:val="Heading4"/>
      </w:pPr>
      <w:r>
        <w:t xml:space="preserve">Plan-View Route Schematic (derived from sheets 4–5)</w:t>
      </w:r>
    </w:p>
    <w:p>
      <w:pPr>
        <w:pStyle w:val="SourceCode"/>
      </w:pPr>
      <w:r>
        <w:rPr>
          <w:rStyle w:val="VerbatimChar"/>
        </w:rPr>
        <w:t xml:space="preserve"> [Employer MV Switchgear @ Cargo Building]</w:t>
      </w:r>
      <w:r>
        <w:br/>
      </w:r>
      <w:r>
        <w:rPr>
          <w:rStyle w:val="VerbatimChar"/>
        </w:rPr>
        <w:t xml:space="preserve">            |</w:t>
      </w:r>
      <w:r>
        <w:br/>
      </w:r>
      <w:r>
        <w:rPr>
          <w:rStyle w:val="VerbatimChar"/>
        </w:rPr>
        <w:t xml:space="preserve">            |  (approx. 1.2 km total MV across works)</w:t>
      </w:r>
      <w:r>
        <w:br/>
      </w:r>
      <w:r>
        <w:rPr>
          <w:rStyle w:val="VerbatimChar"/>
        </w:rPr>
        <w:t xml:space="preserve">            v</w:t>
      </w:r>
      <w:r>
        <w:br/>
      </w:r>
      <w:r>
        <w:rPr>
          <w:rStyle w:val="VerbatimChar"/>
        </w:rPr>
        <w:t xml:space="preserve">      [Mobile Substation]</w:t>
      </w:r>
      <w:r>
        <w:br/>
      </w:r>
      <w:r>
        <w:rPr>
          <w:rStyle w:val="VerbatimChar"/>
        </w:rPr>
        <w:t xml:space="preserve">            |</w:t>
      </w:r>
      <w:r>
        <w:br/>
      </w:r>
      <w:r>
        <w:rPr>
          <w:rStyle w:val="VerbatimChar"/>
        </w:rPr>
        <w:t xml:space="preserve">            +-----&gt; [CTP6 Pit A] -- JB-A -- Drum/Tail --&gt; STS05</w:t>
      </w:r>
      <w:r>
        <w:br/>
      </w:r>
      <w:r>
        <w:rPr>
          <w:rStyle w:val="VerbatimChar"/>
        </w:rPr>
        <w:t xml:space="preserve">            |</w:t>
      </w:r>
      <w:r>
        <w:br/>
      </w:r>
      <w:r>
        <w:rPr>
          <w:rStyle w:val="VerbatimChar"/>
        </w:rPr>
        <w:t xml:space="preserve">            +-----&gt; [CTP6 Pit B] -- JB-B -- Drum/Tail --&gt; STS06</w:t>
      </w:r>
      <w:r>
        <w:br/>
      </w:r>
      <w:r>
        <w:br/>
      </w:r>
      <w:r>
        <w:rPr>
          <w:rStyle w:val="VerbatimChar"/>
        </w:rPr>
        <w:t xml:space="preserve">  STS04 Migration:</w:t>
      </w:r>
      <w:r>
        <w:br/>
      </w:r>
      <w:r>
        <w:rPr>
          <w:rStyle w:val="VerbatimChar"/>
        </w:rPr>
        <w:t xml:space="preserve">    [CTP6 Disconnect] X  -&gt; duct reroute -&gt;  [CTP5 Pit] -- JB -- Drum/Tail --&gt; STS04</w:t>
      </w:r>
      <w:r>
        <w:br/>
      </w:r>
      <w:r>
        <w:br/>
      </w:r>
      <w:r>
        <w:rPr>
          <w:rStyle w:val="VerbatimChar"/>
        </w:rPr>
        <w:t xml:space="preserve"> Notes:</w:t>
      </w:r>
      <w:r>
        <w:br/>
      </w:r>
      <w:r>
        <w:rPr>
          <w:rStyle w:val="VerbatimChar"/>
        </w:rPr>
        <w:t xml:space="preserve">  - Routing and pit positions per Electrical Installation Layout Plans (Sheets 4–5) and Terminal Layout.</w:t>
      </w:r>
      <w:r>
        <w:br/>
      </w:r>
      <w:r>
        <w:rPr>
          <w:rStyle w:val="VerbatimChar"/>
        </w:rPr>
        <w:t xml:space="preserve">  - Final lengths and pit IDs to be field-verified; schematic for review orientation.</w:t>
      </w:r>
    </w:p>
    <w:p>
      <w:pPr>
        <w:pStyle w:val="Compact"/>
        <w:numPr>
          <w:ilvl w:val="0"/>
          <w:numId w:val="1016"/>
        </w:numPr>
      </w:pPr>
      <w:r>
        <w:t xml:space="preserve">Communication duct layout (Sheet 4 of 9):</w:t>
      </w:r>
      <w:r>
        <w:t xml:space="preserve"> </w:t>
      </w:r>
      <w:hyperlink r:id="rId41">
        <w:r>
          <w:rPr>
            <w:rStyle w:val="Hyperlink"/>
          </w:rPr>
          <w:t xml:space="preserve">open</w:t>
        </w:r>
      </w:hyperlink>
    </w:p>
    <w:p>
      <w:pPr>
        <w:pStyle w:val="Compact"/>
        <w:numPr>
          <w:ilvl w:val="0"/>
          <w:numId w:val="1016"/>
        </w:numPr>
      </w:pPr>
      <w:r>
        <w:t xml:space="preserve">Communication duct layout (Sheet 5 of 9):</w:t>
      </w:r>
      <w:r>
        <w:t xml:space="preserve"> </w:t>
      </w:r>
      <w:hyperlink r:id="rId42">
        <w:r>
          <w:rPr>
            <w:rStyle w:val="Hyperlink"/>
          </w:rPr>
          <w:t xml:space="preserve">open</w:t>
        </w:r>
      </w:hyperlink>
    </w:p>
    <w:p>
      <w:pPr>
        <w:pStyle w:val="Compact"/>
        <w:numPr>
          <w:ilvl w:val="0"/>
          <w:numId w:val="1016"/>
        </w:numPr>
      </w:pPr>
      <w:r>
        <w:t xml:space="preserve">Terminal Layout:</w:t>
      </w:r>
      <w:r>
        <w:t xml:space="preserve"> </w:t>
      </w:r>
      <w:hyperlink r:id="rId43">
        <w:r>
          <w:rPr>
            <w:rStyle w:val="Hyperlink"/>
          </w:rPr>
          <w:t xml:space="preserve">open</w:t>
        </w:r>
      </w:hyperlink>
    </w:p>
    <w:p>
      <w:pPr>
        <w:pStyle w:val="Compact"/>
        <w:numPr>
          <w:ilvl w:val="0"/>
          <w:numId w:val="1016"/>
        </w:numPr>
      </w:pPr>
      <w:r>
        <w:t xml:space="preserve">Protolon cable datasheet:</w:t>
      </w:r>
      <w:r>
        <w:t xml:space="preserve"> </w:t>
      </w:r>
      <w:hyperlink r:id="rId44">
        <w:r>
          <w:rPr>
            <w:rStyle w:val="Hyperlink"/>
          </w:rPr>
          <w:t xml:space="preserve">open</w:t>
        </w:r>
      </w:hyperlink>
    </w:p>
    <w:p>
      <w:pPr>
        <w:pStyle w:val="Compact"/>
        <w:numPr>
          <w:ilvl w:val="0"/>
          <w:numId w:val="1016"/>
        </w:numPr>
      </w:pPr>
      <w:r>
        <w:t xml:space="preserve">Prysmian Protolon (SMK) LWL:</w:t>
      </w:r>
      <w:r>
        <w:t xml:space="preserve"> </w:t>
      </w:r>
      <w:hyperlink r:id="rId45">
        <w:r>
          <w:rPr>
            <w:rStyle w:val="Hyperlink"/>
          </w:rPr>
          <w:t xml:space="preserve">open</w:t>
        </w:r>
      </w:hyperlink>
    </w:p>
    <w:p>
      <w:pPr>
        <w:pStyle w:val="Compact"/>
        <w:numPr>
          <w:ilvl w:val="0"/>
          <w:numId w:val="1016"/>
        </w:numPr>
      </w:pPr>
      <w:r>
        <w:t xml:space="preserve">STS Main transformer datasheet:</w:t>
      </w:r>
      <w:r>
        <w:t xml:space="preserve"> </w:t>
      </w:r>
      <w:hyperlink r:id="rId46">
        <w:r>
          <w:rPr>
            <w:rStyle w:val="Hyperlink"/>
          </w:rPr>
          <w:t xml:space="preserve">open</w:t>
        </w:r>
      </w:hyperlink>
    </w:p>
    <w:p>
      <w:pPr>
        <w:pStyle w:val="Compact"/>
        <w:numPr>
          <w:ilvl w:val="0"/>
          <w:numId w:val="1016"/>
        </w:numPr>
      </w:pPr>
      <w:r>
        <w:t xml:space="preserve">STS Auxiliary transformer datasheet:</w:t>
      </w:r>
      <w:r>
        <w:t xml:space="preserve"> </w:t>
      </w:r>
      <w:hyperlink r:id="rId47">
        <w:r>
          <w:rPr>
            <w:rStyle w:val="Hyperlink"/>
          </w:rPr>
          <w:t xml:space="preserve">open</w:t>
        </w:r>
      </w:hyperlink>
    </w:p>
    <w:p>
      <w:pPr>
        <w:pStyle w:val="Compact"/>
        <w:numPr>
          <w:ilvl w:val="0"/>
          <w:numId w:val="1016"/>
        </w:numPr>
      </w:pPr>
      <w:r>
        <w:t xml:space="preserve">ABB Cast coil dry-type transformer:</w:t>
      </w:r>
      <w:r>
        <w:t xml:space="preserve"> </w:t>
      </w:r>
      <w:hyperlink r:id="rId48">
        <w:r>
          <w:rPr>
            <w:rStyle w:val="Hyperlink"/>
          </w:rPr>
          <w:t xml:space="preserve">open</w:t>
        </w:r>
      </w:hyperlink>
    </w:p>
    <w:p>
      <w:pPr>
        <w:pStyle w:val="Compact"/>
        <w:numPr>
          <w:ilvl w:val="0"/>
          <w:numId w:val="1016"/>
        </w:numPr>
      </w:pPr>
      <w:r>
        <w:t xml:space="preserve">TiN STS MV switchgear protection setting values:</w:t>
      </w:r>
      <w:r>
        <w:t xml:space="preserve"> </w:t>
      </w:r>
      <w:hyperlink r:id="rId49">
        <w:r>
          <w:rPr>
            <w:rStyle w:val="Hyperlink"/>
          </w:rPr>
          <w:t xml:space="preserve">open</w:t>
        </w:r>
      </w:hyperlink>
    </w:p>
    <w:p>
      <w:pPr>
        <w:pStyle w:val="Compact"/>
        <w:numPr>
          <w:ilvl w:val="0"/>
          <w:numId w:val="1016"/>
        </w:numPr>
      </w:pPr>
      <w:r>
        <w:t xml:space="preserve">Protection Relay:</w:t>
      </w:r>
      <w:r>
        <w:t xml:space="preserve"> </w:t>
      </w:r>
      <w:hyperlink r:id="rId50">
        <w:r>
          <w:rPr>
            <w:rStyle w:val="Hyperlink"/>
          </w:rPr>
          <w:t xml:space="preserve">open</w:t>
        </w:r>
      </w:hyperlink>
    </w:p>
    <w:p>
      <w:pPr>
        <w:pStyle w:val="Compact"/>
        <w:numPr>
          <w:ilvl w:val="0"/>
          <w:numId w:val="1016"/>
        </w:numPr>
      </w:pPr>
      <w:r>
        <w:t xml:space="preserve">UniGear ZS1:</w:t>
      </w:r>
      <w:r>
        <w:t xml:space="preserve"> </w:t>
      </w:r>
      <w:hyperlink r:id="rId51">
        <w:r>
          <w:rPr>
            <w:rStyle w:val="Hyperlink"/>
          </w:rPr>
          <w:t xml:space="preserve">open</w:t>
        </w:r>
      </w:hyperlink>
    </w:p>
    <w:p>
      <w:pPr>
        <w:pStyle w:val="Compact"/>
        <w:numPr>
          <w:ilvl w:val="0"/>
          <w:numId w:val="1016"/>
        </w:numPr>
      </w:pPr>
      <w:r>
        <w:t xml:space="preserve">TiN Short-circuit current calculation – MV trailing cable 50mm²:</w:t>
      </w:r>
      <w:r>
        <w:t xml:space="preserve"> </w:t>
      </w:r>
      <w:hyperlink r:id="rId52">
        <w:r>
          <w:rPr>
            <w:rStyle w:val="Hyperlink"/>
          </w:rPr>
          <w:t xml:space="preserve">open</w:t>
        </w:r>
      </w:hyperlink>
    </w:p>
    <w:bookmarkEnd w:id="53"/>
    <w:bookmarkEnd w:id="54"/>
    <w:bookmarkEnd w:id="55"/>
    <w:bookmarkStart w:id="56" w:name="assumptions-clarifications-electrical"/>
    <w:p>
      <w:pPr>
        <w:pStyle w:val="Heading2"/>
      </w:pPr>
      <w:r>
        <w:t xml:space="preserve">Assumptions &amp; Clarifications (Electrical)</w:t>
      </w:r>
    </w:p>
    <w:p>
      <w:pPr>
        <w:pStyle w:val="Compact"/>
        <w:numPr>
          <w:ilvl w:val="0"/>
          <w:numId w:val="1017"/>
        </w:numPr>
      </w:pPr>
      <w:r>
        <w:t xml:space="preserve">MV level: 11 kV standard inferred from TiN settings and UniGear ZS1 12/20 kV class; final confirmation required from TiN.</w:t>
      </w:r>
    </w:p>
    <w:p>
      <w:pPr>
        <w:pStyle w:val="Compact"/>
        <w:numPr>
          <w:ilvl w:val="0"/>
          <w:numId w:val="1017"/>
        </w:numPr>
      </w:pPr>
      <w:r>
        <w:t xml:space="preserve">Permanent tie-in: assumed at Cargo Building MV switchgear with spare feeder per Terminal Layout and protection sheet; final tie-in location to be confirmed by TiN.</w:t>
      </w:r>
    </w:p>
    <w:p>
      <w:pPr>
        <w:pStyle w:val="Compact"/>
        <w:numPr>
          <w:ilvl w:val="0"/>
          <w:numId w:val="1017"/>
        </w:numPr>
      </w:pPr>
      <w:r>
        <w:t xml:space="preserve">Route lengths and pit IDs: to be field-verified against Electrical Installation Layout Plans (Sheets 4–5) and Terminal Layout; as-built survey to govern final lengths.</w:t>
      </w:r>
    </w:p>
    <w:p>
      <w:pPr>
        <w:pStyle w:val="Compact"/>
        <w:numPr>
          <w:ilvl w:val="0"/>
          <w:numId w:val="1017"/>
        </w:numPr>
      </w:pPr>
      <w:r>
        <w:t xml:space="preserve">Outage windows and PTW: coordinated with Operations; staged isolations and LOTO required; no live work.</w:t>
      </w:r>
    </w:p>
    <w:p>
      <w:pPr>
        <w:pStyle w:val="Compact"/>
        <w:numPr>
          <w:ilvl w:val="0"/>
          <w:numId w:val="1017"/>
        </w:numPr>
      </w:pPr>
      <w:r>
        <w:t xml:space="preserve">Employer-supplied items: MV switchgear (UniGear ZS1) per Appendix 1 V3.1; civil works beyond pit reinstatement excluded from scope.</w:t>
      </w:r>
    </w:p>
    <w:p>
      <w:pPr>
        <w:pStyle w:val="Compact"/>
        <w:numPr>
          <w:ilvl w:val="0"/>
          <w:numId w:val="1017"/>
        </w:numPr>
      </w:pPr>
      <w:r>
        <w:t xml:space="preserve">Protection settings: TiN-approved settings sheet to be issued prior to energization; secondary injection to verify pickup/TT curves and logic.</w:t>
      </w:r>
    </w:p>
    <w:bookmarkEnd w:id="56"/>
    <w:bookmarkStart w:id="63" w:name="ctp6ctp5-junction-box-drum-design"/>
    <w:p>
      <w:pPr>
        <w:pStyle w:val="Heading2"/>
      </w:pPr>
      <w:r>
        <w:t xml:space="preserve">CTP6/CTP5 Junction Box &amp; Drum Design</w:t>
      </w:r>
    </w:p>
    <w:p>
      <w:pPr>
        <w:pStyle w:val="SourceCode"/>
      </w:pPr>
      <w:r>
        <w:rPr>
          <w:rStyle w:val="VerbatimChar"/>
        </w:rPr>
        <w:t xml:space="preserve">          +---------------------------+             +---------------------------+</w:t>
      </w:r>
      <w:r>
        <w:br/>
      </w:r>
      <w:r>
        <w:rPr>
          <w:rStyle w:val="VerbatimChar"/>
        </w:rPr>
        <w:t xml:space="preserve">          | CTP6 MV JB-A (STS05)      |             | CTP6 MV JB-B (STS06)      |</w:t>
      </w:r>
      <w:r>
        <w:br/>
      </w:r>
      <w:r>
        <w:rPr>
          <w:rStyle w:val="VerbatimChar"/>
        </w:rPr>
        <w:t xml:space="preserve">          | - SS IP67/IK10, C5M       |             | - SS IP67/IK10, C5M       |</w:t>
      </w:r>
      <w:r>
        <w:br/>
      </w:r>
      <w:r>
        <w:rPr>
          <w:rStyle w:val="VerbatimChar"/>
        </w:rPr>
        <w:t xml:space="preserve">          | - Filtered breather       |             | - Filtered breather       |</w:t>
      </w:r>
      <w:r>
        <w:br/>
      </w:r>
      <w:r>
        <w:rPr>
          <w:rStyle w:val="VerbatimChar"/>
        </w:rPr>
        <w:t xml:space="preserve">          | - Gland plate (in/out)    |             | - Gland plate (in/out)    |</w:t>
      </w:r>
      <w:r>
        <w:br/>
      </w:r>
      <w:r>
        <w:rPr>
          <w:rStyle w:val="VerbatimChar"/>
        </w:rPr>
        <w:t xml:space="preserve">          | - Cu earth bar + test     |             | - Cu earth bar + test     |</w:t>
      </w:r>
      <w:r>
        <w:br/>
      </w:r>
      <w:r>
        <w:rPr>
          <w:rStyle w:val="VerbatimChar"/>
        </w:rPr>
        <w:t xml:space="preserve">          |   link to grid            |             |   link to grid            |</w:t>
      </w:r>
      <w:r>
        <w:br/>
      </w:r>
      <w:r>
        <w:rPr>
          <w:rStyle w:val="VerbatimChar"/>
        </w:rPr>
        <w:t xml:space="preserve">          +-----^-----------^---------+             +-----^-----------^---------+</w:t>
      </w:r>
      <w:r>
        <w:br/>
      </w:r>
      <w:r>
        <w:rPr>
          <w:rStyle w:val="VerbatimChar"/>
        </w:rPr>
        <w:t xml:space="preserve">                |           |                             |           |</w:t>
      </w:r>
      <w:r>
        <w:br/>
      </w:r>
      <w:r>
        <w:rPr>
          <w:rStyle w:val="VerbatimChar"/>
        </w:rPr>
        <w:t xml:space="preserve">                | IN from   | OUT to Drum STS05           | IN from   | OUT to Drum STS06</w:t>
      </w:r>
      <w:r>
        <w:br/>
      </w:r>
      <w:r>
        <w:rPr>
          <w:rStyle w:val="VerbatimChar"/>
        </w:rPr>
        <w:t xml:space="preserve">                | Feeder    v                             | Feeder    v</w:t>
      </w:r>
      <w:r>
        <w:br/>
      </w:r>
      <w:r>
        <w:rPr>
          <w:rStyle w:val="VerbatimChar"/>
        </w:rPr>
        <w:t xml:space="preserve">             [Stress-   [Stress-                        [Stress-   [Stress-</w:t>
      </w:r>
      <w:r>
        <w:br/>
      </w:r>
      <w:r>
        <w:rPr>
          <w:rStyle w:val="VerbatimChar"/>
        </w:rPr>
        <w:t xml:space="preserve">              control]   control]                        control]   control]</w:t>
      </w:r>
      <w:r>
        <w:br/>
      </w:r>
      <w:r>
        <w:rPr>
          <w:rStyle w:val="VerbatimChar"/>
        </w:rPr>
        <w:t xml:space="preserve">                |           |                             |           |</w:t>
      </w:r>
      <w:r>
        <w:br/>
      </w:r>
      <w:r>
        <w:rPr>
          <w:rStyle w:val="VerbatimChar"/>
        </w:rPr>
        <w:t xml:space="preserve">                v           v                             v           v</w:t>
      </w:r>
      <w:r>
        <w:br/>
      </w:r>
      <w:r>
        <w:rPr>
          <w:rStyle w:val="VerbatimChar"/>
        </w:rPr>
        <w:t xml:space="preserve">            [Cable]     [Drum/Tail]                   [Cable]     [Drum/Tail]</w:t>
      </w:r>
      <w:r>
        <w:br/>
      </w:r>
      <w:r>
        <w:br/>
      </w:r>
      <w:r>
        <w:rPr>
          <w:rStyle w:val="VerbatimChar"/>
        </w:rPr>
        <w:t xml:space="preserve">                           (STS04 Migration)</w:t>
      </w:r>
      <w:r>
        <w:br/>
      </w:r>
      <w:r>
        <w:rPr>
          <w:rStyle w:val="VerbatimChar"/>
        </w:rPr>
        <w:t xml:space="preserve">   +---------------------------+</w:t>
      </w:r>
      <w:r>
        <w:br/>
      </w:r>
      <w:r>
        <w:rPr>
          <w:rStyle w:val="VerbatimChar"/>
        </w:rPr>
        <w:t xml:space="preserve">   | CTP5 MV JB (STS04)        |</w:t>
      </w:r>
      <w:r>
        <w:br/>
      </w:r>
      <w:r>
        <w:rPr>
          <w:rStyle w:val="VerbatimChar"/>
        </w:rPr>
        <w:t xml:space="preserve">   | - SS IP67/IK10, C5M       |</w:t>
      </w:r>
      <w:r>
        <w:br/>
      </w:r>
      <w:r>
        <w:rPr>
          <w:rStyle w:val="VerbatimChar"/>
        </w:rPr>
        <w:t xml:space="preserve">   | - Filtered breather       |</w:t>
      </w:r>
      <w:r>
        <w:br/>
      </w:r>
      <w:r>
        <w:rPr>
          <w:rStyle w:val="VerbatimChar"/>
        </w:rPr>
        <w:t xml:space="preserve">   | - Gland plate (in/out)    |</w:t>
      </w:r>
      <w:r>
        <w:br/>
      </w:r>
      <w:r>
        <w:rPr>
          <w:rStyle w:val="VerbatimChar"/>
        </w:rPr>
        <w:t xml:space="preserve">   | - Cu earth bar + test     |</w:t>
      </w:r>
      <w:r>
        <w:br/>
      </w:r>
      <w:r>
        <w:rPr>
          <w:rStyle w:val="VerbatimChar"/>
        </w:rPr>
        <w:t xml:space="preserve">   |   link to grid            |</w:t>
      </w:r>
      <w:r>
        <w:br/>
      </w:r>
      <w:r>
        <w:rPr>
          <w:rStyle w:val="VerbatimChar"/>
        </w:rPr>
        <w:t xml:space="preserve">   +-----^-----------^---------+</w:t>
      </w:r>
      <w:r>
        <w:br/>
      </w:r>
      <w:r>
        <w:rPr>
          <w:rStyle w:val="VerbatimChar"/>
        </w:rPr>
        <w:t xml:space="preserve">         |           |</w:t>
      </w:r>
      <w:r>
        <w:br/>
      </w:r>
      <w:r>
        <w:rPr>
          <w:rStyle w:val="VerbatimChar"/>
        </w:rPr>
        <w:t xml:space="preserve">         | IN from   | OUT to Drum STS04</w:t>
      </w:r>
      <w:r>
        <w:br/>
      </w:r>
      <w:r>
        <w:rPr>
          <w:rStyle w:val="VerbatimChar"/>
        </w:rPr>
        <w:t xml:space="preserve">         | rerouted  v</w:t>
      </w:r>
      <w:r>
        <w:br/>
      </w:r>
      <w:r>
        <w:rPr>
          <w:rStyle w:val="VerbatimChar"/>
        </w:rPr>
        <w:t xml:space="preserve">         | feeder  [Stress-control] -&gt; [Drum/Tail]</w:t>
      </w:r>
    </w:p>
    <w:bookmarkStart w:id="57" w:name="detailed-design-notes"/>
    <w:p>
      <w:pPr>
        <w:pStyle w:val="Heading3"/>
      </w:pPr>
      <w:r>
        <w:t xml:space="preserve">Detailed Design Notes</w:t>
      </w:r>
    </w:p>
    <w:p>
      <w:pPr>
        <w:pStyle w:val="Compact"/>
        <w:numPr>
          <w:ilvl w:val="0"/>
          <w:numId w:val="1018"/>
        </w:numPr>
      </w:pPr>
      <w:r>
        <w:t xml:space="preserve">Enclosure &amp; ingress: SS316/SS304 C5M, IP67/IK10, padlockable; neoprene gaskets; all unused entries sealed with listed blanking plugs.</w:t>
      </w:r>
    </w:p>
    <w:p>
      <w:pPr>
        <w:pStyle w:val="Compact"/>
        <w:numPr>
          <w:ilvl w:val="0"/>
          <w:numId w:val="1018"/>
        </w:numPr>
      </w:pPr>
      <w:r>
        <w:t xml:space="preserve">Terminations: heat-shrink/cold-applied stress-control kits per IEC 60502-2; follow manufacturer strip templates; record crimp die/press cycles.</w:t>
      </w:r>
    </w:p>
    <w:p>
      <w:pPr>
        <w:pStyle w:val="Compact"/>
        <w:numPr>
          <w:ilvl w:val="0"/>
          <w:numId w:val="1018"/>
        </w:numPr>
      </w:pPr>
      <w:r>
        <w:t xml:space="preserve">Earthing: tinned copper earth bar with labeled test link; 25–35 mm² bonding to grid; verify continuity &lt; 1 Ω and log.</w:t>
      </w:r>
    </w:p>
    <w:p>
      <w:pPr>
        <w:pStyle w:val="Compact"/>
        <w:numPr>
          <w:ilvl w:val="0"/>
          <w:numId w:val="1018"/>
        </w:numPr>
      </w:pPr>
      <w:r>
        <w:t xml:space="preserve">Glanding &amp; strain relief: double-compression glands with armor continuity as applicable; support saddles within 150 mm of entry; maintain min bend radius per OEM.</w:t>
      </w:r>
    </w:p>
    <w:p>
      <w:pPr>
        <w:pStyle w:val="Compact"/>
        <w:numPr>
          <w:ilvl w:val="0"/>
          <w:numId w:val="1018"/>
        </w:numPr>
      </w:pPr>
      <w:r>
        <w:t xml:space="preserve">Venting/condensation: IP-rated filtered breathers at low differential pressure; desiccant packs where humidity risk; drain path clear.</w:t>
      </w:r>
    </w:p>
    <w:p>
      <w:pPr>
        <w:pStyle w:val="Compact"/>
        <w:numPr>
          <w:ilvl w:val="0"/>
          <w:numId w:val="1018"/>
        </w:numPr>
      </w:pPr>
      <w:r>
        <w:t xml:space="preserve">Labeling &amp; traceability: UV-stable engraved phenolic plates; phase ID sleeves; torque labels listing Nm values and date/tech ID; asset tag/QR linked to CMMS.</w:t>
      </w:r>
    </w:p>
    <w:p>
      <w:pPr>
        <w:pStyle w:val="Compact"/>
        <w:numPr>
          <w:ilvl w:val="0"/>
          <w:numId w:val="1018"/>
        </w:numPr>
      </w:pPr>
      <w:r>
        <w:t xml:space="preserve">Corrosion &amp; marine measures: isolating washers, anti-galvanic paste on dissimilar metals; fasteners A4-80; external fittings coated or anodized.</w:t>
      </w:r>
    </w:p>
    <w:p>
      <w:pPr>
        <w:pStyle w:val="Compact"/>
        <w:numPr>
          <w:ilvl w:val="0"/>
          <w:numId w:val="1018"/>
        </w:numPr>
      </w:pPr>
      <w:r>
        <w:t xml:space="preserve">Clearances &amp; segregation: maintain creepage/clearance per voltage class; segregate IN/OUT cores with barriers; shrouds/boots on live parts.</w:t>
      </w:r>
    </w:p>
    <w:p>
      <w:pPr>
        <w:pStyle w:val="Compact"/>
        <w:numPr>
          <w:ilvl w:val="0"/>
          <w:numId w:val="1018"/>
        </w:numPr>
      </w:pPr>
      <w:r>
        <w:t xml:space="preserve">Maintenance access: 20% spare terminal capacity where practical; clearance for torque tool; hinged gland plate optional for ease of service.</w:t>
      </w:r>
    </w:p>
    <w:bookmarkEnd w:id="57"/>
    <w:bookmarkStart w:id="58" w:name="X64ff91d81040ea80aac6f4eaefd4431063b871c"/>
    <w:p>
      <w:pPr>
        <w:pStyle w:val="Heading3"/>
      </w:pPr>
      <w:r>
        <w:t xml:space="preserve">JB Close-Up Checklist (Before Sealing Enclosure)</w:t>
      </w:r>
    </w:p>
    <w:p>
      <w:pPr>
        <w:pStyle w:val="Compact"/>
        <w:numPr>
          <w:ilvl w:val="0"/>
          <w:numId w:val="1019"/>
        </w:numPr>
      </w:pPr>
      <w:r>
        <w:t xml:space="preserve">Terminations dressed; required creepage/clearance maintained; no exposed conductive burrs.</w:t>
      </w:r>
    </w:p>
    <w:p>
      <w:pPr>
        <w:pStyle w:val="Compact"/>
        <w:numPr>
          <w:ilvl w:val="0"/>
          <w:numId w:val="1019"/>
        </w:numPr>
      </w:pPr>
      <w:r>
        <w:t xml:space="preserve">Stress-control components seated per kit template; semicon cleaned; anti-tracking sleeves (where specified) installed.</w:t>
      </w:r>
    </w:p>
    <w:p>
      <w:pPr>
        <w:pStyle w:val="Compact"/>
        <w:numPr>
          <w:ilvl w:val="0"/>
          <w:numId w:val="1019"/>
        </w:numPr>
      </w:pPr>
      <w:r>
        <w:t xml:space="preserve">Lugs crimped with calibrated dies; record die code, number of compressions, tool ID, last calibration date.</w:t>
      </w:r>
    </w:p>
    <w:p>
      <w:pPr>
        <w:pStyle w:val="Compact"/>
        <w:numPr>
          <w:ilvl w:val="0"/>
          <w:numId w:val="1019"/>
        </w:numPr>
      </w:pPr>
      <w:r>
        <w:t xml:space="preserve">Terminal torques applied per table; apply torque verification marks; record in torque log.</w:t>
      </w:r>
    </w:p>
    <w:p>
      <w:pPr>
        <w:pStyle w:val="Compact"/>
        <w:numPr>
          <w:ilvl w:val="0"/>
          <w:numId w:val="1019"/>
        </w:numPr>
      </w:pPr>
      <w:r>
        <w:t xml:space="preserve">Armor/braid bonding continuity verified (where applicable); gland locknuts secured; earthing to Cu bar with labeled test link.</w:t>
      </w:r>
    </w:p>
    <w:p>
      <w:pPr>
        <w:pStyle w:val="Compact"/>
        <w:numPr>
          <w:ilvl w:val="0"/>
          <w:numId w:val="1019"/>
        </w:numPr>
      </w:pPr>
      <w:r>
        <w:t xml:space="preserve">Phase identification sleeves and permanent engraved labels applied; cable IDs match schedule.</w:t>
      </w:r>
    </w:p>
    <w:p>
      <w:pPr>
        <w:pStyle w:val="Compact"/>
        <w:numPr>
          <w:ilvl w:val="0"/>
          <w:numId w:val="1019"/>
        </w:numPr>
      </w:pPr>
      <w:r>
        <w:t xml:space="preserve">Breather orientation and drain path confirmed; desiccant pack installed/replaced; gasket intact, clean, continuous.</w:t>
      </w:r>
    </w:p>
    <w:p>
      <w:pPr>
        <w:pStyle w:val="Compact"/>
        <w:numPr>
          <w:ilvl w:val="0"/>
          <w:numId w:val="1019"/>
        </w:numPr>
      </w:pPr>
      <w:r>
        <w:t xml:space="preserve">Photo evidence captured (overall layout, each termination, earth link, nameplate/labels); ITR cross-reference added.</w:t>
      </w:r>
    </w:p>
    <w:p>
      <w:pPr>
        <w:pStyle w:val="Compact"/>
        <w:numPr>
          <w:ilvl w:val="0"/>
          <w:numId w:val="1019"/>
        </w:numPr>
      </w:pPr>
      <w:r>
        <w:t xml:space="preserve">Witness/Hold point signed as per ITP (pre close-up); install torque label/plate inside door.</w:t>
      </w:r>
    </w:p>
    <w:bookmarkEnd w:id="58"/>
    <w:bookmarkStart w:id="59" w:name="drum-handling-storage-deployment"/>
    <w:p>
      <w:pPr>
        <w:pStyle w:val="Heading3"/>
      </w:pPr>
      <w:r>
        <w:t xml:space="preserve">Drum Handling, Storage &amp; Deployment</w:t>
      </w:r>
    </w:p>
    <w:p>
      <w:pPr>
        <w:pStyle w:val="Compact"/>
        <w:numPr>
          <w:ilvl w:val="0"/>
          <w:numId w:val="1020"/>
        </w:numPr>
      </w:pPr>
      <w:r>
        <w:t xml:space="preserve">Storage: keep drums under cover on level surface with chocks; protect from direct sun/UV and standing water; maintain end caps/seals.</w:t>
      </w:r>
    </w:p>
    <w:p>
      <w:pPr>
        <w:pStyle w:val="Compact"/>
        <w:numPr>
          <w:ilvl w:val="0"/>
          <w:numId w:val="1020"/>
        </w:numPr>
      </w:pPr>
      <w:r>
        <w:t xml:space="preserve">Handling: lift with spreader or forklift under flanges only; never insert tines through drum core; use spindle stands with controlled brake.</w:t>
      </w:r>
    </w:p>
    <w:p>
      <w:pPr>
        <w:pStyle w:val="Compact"/>
        <w:numPr>
          <w:ilvl w:val="0"/>
          <w:numId w:val="1020"/>
        </w:numPr>
      </w:pPr>
      <w:r>
        <w:t xml:space="preserve">Pulling: use capstan or winch with in-line dynamometer; comply with max pulling tension and sidewall pressure per OEM; record start/peak/end tensions.</w:t>
      </w:r>
    </w:p>
    <w:p>
      <w:pPr>
        <w:pStyle w:val="Compact"/>
        <w:numPr>
          <w:ilvl w:val="0"/>
          <w:numId w:val="1020"/>
        </w:numPr>
      </w:pPr>
      <w:r>
        <w:t xml:space="preserve">Bend radius: maintain ≥ 12×D (or OEM spec) during handling and installation; deploy corner rollers and rub blocks at changes in direction.</w:t>
      </w:r>
    </w:p>
    <w:p>
      <w:pPr>
        <w:pStyle w:val="Compact"/>
        <w:numPr>
          <w:ilvl w:val="0"/>
          <w:numId w:val="1020"/>
        </w:numPr>
      </w:pPr>
      <w:r>
        <w:t xml:space="preserve">Lubrication: apply approved cable lubricant uniformly; avoid over-application that could contaminate terminations.</w:t>
      </w:r>
    </w:p>
    <w:p>
      <w:pPr>
        <w:pStyle w:val="Compact"/>
        <w:numPr>
          <w:ilvl w:val="0"/>
          <w:numId w:val="1020"/>
        </w:numPr>
      </w:pPr>
      <w:r>
        <w:t xml:space="preserve">Twist control: keep flanges vertical; pay-off in the direction of arrow; avoid reverse bends and crossovers; no dragging on ground.</w:t>
      </w:r>
    </w:p>
    <w:p>
      <w:pPr>
        <w:pStyle w:val="Compact"/>
        <w:numPr>
          <w:ilvl w:val="0"/>
          <w:numId w:val="1020"/>
        </w:numPr>
      </w:pPr>
      <w:r>
        <w:t xml:space="preserve">Post-pull: seal ends immediately; allow relaxation dwell time before cutting/terminating; update Cable Pull Log (route, length, tensions, weather).</w:t>
      </w:r>
    </w:p>
    <w:bookmarkEnd w:id="59"/>
    <w:bookmarkStart w:id="60" w:name="labeling-schema-electrical"/>
    <w:p>
      <w:pPr>
        <w:pStyle w:val="Heading3"/>
      </w:pPr>
      <w:r>
        <w:t xml:space="preserve">Labeling Schema (Electrical)</w:t>
      </w:r>
    </w:p>
    <w:p>
      <w:pPr>
        <w:pStyle w:val="Compact"/>
        <w:numPr>
          <w:ilvl w:val="0"/>
          <w:numId w:val="1021"/>
        </w:numPr>
      </w:pPr>
      <w:r>
        <w:t xml:space="preserve">Enclosures:</w:t>
      </w:r>
      <w:r>
        <w:t xml:space="preserve"> </w:t>
      </w:r>
      <w:r>
        <w:rPr>
          <w:rStyle w:val="VerbatimChar"/>
        </w:rPr>
        <w:t xml:space="preserve">JB-CTP6-A (STS05)</w:t>
      </w:r>
      <w:r>
        <w:t xml:space="preserve">,</w:t>
      </w:r>
      <w:r>
        <w:t xml:space="preserve"> </w:t>
      </w:r>
      <w:r>
        <w:rPr>
          <w:rStyle w:val="VerbatimChar"/>
        </w:rPr>
        <w:t xml:space="preserve">JB-CTP6-B (STS06)</w:t>
      </w:r>
      <w:r>
        <w:t xml:space="preserve">,</w:t>
      </w:r>
      <w:r>
        <w:t xml:space="preserve"> </w:t>
      </w:r>
      <w:r>
        <w:rPr>
          <w:rStyle w:val="VerbatimChar"/>
        </w:rPr>
        <w:t xml:space="preserve">JB-CTP5-A (STS04)</w:t>
      </w:r>
      <w:r>
        <w:t xml:space="preserve"> </w:t>
      </w:r>
      <w:r>
        <w:t xml:space="preserve">— UV-stable engraved phenolic, SS316 fixings.</w:t>
      </w:r>
    </w:p>
    <w:p>
      <w:pPr>
        <w:pStyle w:val="Compact"/>
        <w:numPr>
          <w:ilvl w:val="0"/>
          <w:numId w:val="1021"/>
        </w:numPr>
      </w:pPr>
      <w:r>
        <w:t xml:space="preserve">Cables:</w:t>
      </w:r>
      <w:r>
        <w:t xml:space="preserve"> </w:t>
      </w:r>
      <w:r>
        <w:rPr>
          <w:rStyle w:val="VerbatimChar"/>
        </w:rPr>
        <w:t xml:space="preserve">MV-STS05-CTP6-F01</w:t>
      </w:r>
      <w:r>
        <w:t xml:space="preserve">,</w:t>
      </w:r>
      <w:r>
        <w:t xml:space="preserve"> </w:t>
      </w:r>
      <w:r>
        <w:rPr>
          <w:rStyle w:val="VerbatimChar"/>
        </w:rPr>
        <w:t xml:space="preserve">MV-STS06-CTP6-F02</w:t>
      </w:r>
      <w:r>
        <w:t xml:space="preserve">,</w:t>
      </w:r>
      <w:r>
        <w:t xml:space="preserve"> </w:t>
      </w:r>
      <w:r>
        <w:rPr>
          <w:rStyle w:val="VerbatimChar"/>
        </w:rPr>
        <w:t xml:space="preserve">MV-STS04-CTP5-F01</w:t>
      </w:r>
      <w:r>
        <w:t xml:space="preserve"> </w:t>
      </w:r>
      <w:r>
        <w:t xml:space="preserve">— heat-shrink sleeves with phase colors and printed IDs.</w:t>
      </w:r>
    </w:p>
    <w:p>
      <w:pPr>
        <w:pStyle w:val="Compact"/>
        <w:numPr>
          <w:ilvl w:val="0"/>
          <w:numId w:val="1021"/>
        </w:numPr>
      </w:pPr>
      <w:r>
        <w:t xml:space="preserve">Terminals/Phases:</w:t>
      </w:r>
      <w:r>
        <w:t xml:space="preserve"> </w:t>
      </w:r>
      <w:r>
        <w:rPr>
          <w:rStyle w:val="VerbatimChar"/>
        </w:rPr>
        <w:t xml:space="preserve">L1/L2/L3/PE</w:t>
      </w:r>
      <w:r>
        <w:t xml:space="preserve"> </w:t>
      </w:r>
      <w:r>
        <w:t xml:space="preserve">markers; terminal blocks numbered per schedule; earth link labeled</w:t>
      </w:r>
      <w:r>
        <w:t xml:space="preserve"> </w:t>
      </w:r>
      <w:r>
        <w:rPr>
          <w:rStyle w:val="VerbatimChar"/>
        </w:rPr>
        <w:t xml:space="preserve">EB-xx</w:t>
      </w:r>
      <w:r>
        <w:t xml:space="preserve"> </w:t>
      </w:r>
      <w:r>
        <w:t xml:space="preserve">with test-link tag.</w:t>
      </w:r>
    </w:p>
    <w:p>
      <w:pPr>
        <w:pStyle w:val="Compact"/>
        <w:numPr>
          <w:ilvl w:val="0"/>
          <w:numId w:val="1021"/>
        </w:numPr>
      </w:pPr>
      <w:r>
        <w:t xml:space="preserve">Drums/Routes:</w:t>
      </w:r>
      <w:r>
        <w:t xml:space="preserve"> </w:t>
      </w:r>
      <w:r>
        <w:rPr>
          <w:rStyle w:val="VerbatimChar"/>
        </w:rPr>
        <w:t xml:space="preserve">DR-STS05-CTP6-01</w:t>
      </w:r>
      <w:r>
        <w:t xml:space="preserve"> </w:t>
      </w:r>
      <w:r>
        <w:t xml:space="preserve">etc.; route markers at pit entries and 20 m intervals where exposed.</w:t>
      </w:r>
    </w:p>
    <w:p>
      <w:pPr>
        <w:pStyle w:val="Compact"/>
        <w:numPr>
          <w:ilvl w:val="0"/>
          <w:numId w:val="1021"/>
        </w:numPr>
      </w:pPr>
      <w:r>
        <w:t xml:space="preserve">Torque plate: sticker/plate inside door showing torque values (Nm), date, tech ID, and ITR reference.</w:t>
      </w:r>
    </w:p>
    <w:p>
      <w:pPr>
        <w:pStyle w:val="Compact"/>
        <w:numPr>
          <w:ilvl w:val="0"/>
          <w:numId w:val="1021"/>
        </w:numPr>
      </w:pPr>
      <w:r>
        <w:t xml:space="preserve">Asset tags: QR-coded asset ID linked to CMMS for enclosure, terminations, and cable segment; update within 48 hours of change.</w:t>
      </w:r>
    </w:p>
    <w:bookmarkEnd w:id="60"/>
    <w:bookmarkStart w:id="61" w:name="atp-micro-checklists-jbdrum-itr-mapping"/>
    <w:p>
      <w:pPr>
        <w:pStyle w:val="Heading3"/>
      </w:pPr>
      <w:r>
        <w:t xml:space="preserve">ATP Micro-Checklists (JB/Drum) — ITR Mapping</w:t>
      </w:r>
    </w:p>
    <w:p>
      <w:pPr>
        <w:pStyle w:val="Compact"/>
        <w:numPr>
          <w:ilvl w:val="0"/>
          <w:numId w:val="1022"/>
        </w:numPr>
      </w:pPr>
      <w:r>
        <w:t xml:space="preserve">ITR-10 (JB/Drum Installation): enclosure level and fixings; IP seals/glands verified; earthing continuity &lt; 1 Ω; breather/drain fitted; labels applied; photos.</w:t>
      </w:r>
    </w:p>
    <w:p>
      <w:pPr>
        <w:pStyle w:val="Compact"/>
        <w:numPr>
          <w:ilvl w:val="0"/>
          <w:numId w:val="1022"/>
        </w:numPr>
      </w:pPr>
      <w:r>
        <w:t xml:space="preserve">ITR-20 (MV Terminations): strip lengths per template; stress-control placement; lug crimp data (die code/compressions); heat-shrink application; shrouds/boots; torque log; phase ID.</w:t>
      </w:r>
    </w:p>
    <w:p>
      <w:pPr>
        <w:pStyle w:val="Compact"/>
        <w:numPr>
          <w:ilvl w:val="0"/>
          <w:numId w:val="1022"/>
        </w:numPr>
      </w:pPr>
      <w:r>
        <w:t xml:space="preserve">ITR-30 (Cable Pull Log): route survey; rollers set; lubricant type/batch; dynamometer readings (start/peak/end); pull speed; sidewall pressure check; weather conditions.</w:t>
      </w:r>
    </w:p>
    <w:p>
      <w:pPr>
        <w:pStyle w:val="Compact"/>
        <w:numPr>
          <w:ilvl w:val="0"/>
          <w:numId w:val="1022"/>
        </w:numPr>
      </w:pPr>
      <w:r>
        <w:t xml:space="preserve">ITR-40 (Electrical Tests): IR per core and to earth (temp-corrected values); VLF setpoint/duration/result; earth continuity; instrument calibration cert IDs.</w:t>
      </w:r>
    </w:p>
    <w:p>
      <w:pPr>
        <w:pStyle w:val="Compact"/>
        <w:numPr>
          <w:ilvl w:val="0"/>
          <w:numId w:val="1022"/>
        </w:numPr>
      </w:pPr>
      <w:r>
        <w:t xml:space="preserve">ITR-50 (Pre-energization): permits/LOTO; redlines incorporated; punch list zero/waived with owner/date; readiness for energization sign-off.</w:t>
      </w:r>
    </w:p>
    <w:bookmarkEnd w:id="61"/>
    <w:bookmarkStart w:id="62" w:name="ctp6ctp5-closure-handover-steps"/>
    <w:p>
      <w:pPr>
        <w:pStyle w:val="Heading3"/>
      </w:pPr>
      <w:r>
        <w:t xml:space="preserve">CTP6/CTP5 Closure &amp; Handover Steps</w:t>
      </w:r>
    </w:p>
    <w:p>
      <w:pPr>
        <w:pStyle w:val="Compact"/>
        <w:numPr>
          <w:ilvl w:val="0"/>
          <w:numId w:val="1023"/>
        </w:numPr>
      </w:pPr>
      <w:r>
        <w:t xml:space="preserve">Pit reinstatement: inspect/CCTV if required; remove debris; verify drainage; fit covers with intact gaskets; record photo evidence.</w:t>
      </w:r>
    </w:p>
    <w:p>
      <w:pPr>
        <w:pStyle w:val="Compact"/>
        <w:numPr>
          <w:ilvl w:val="0"/>
          <w:numId w:val="1023"/>
        </w:numPr>
      </w:pPr>
      <w:r>
        <w:t xml:space="preserve">Spares &amp; O&amp;M: deliver spare desiccants, gland seals, and termination kit components (as per spares list) with inventory sheet.</w:t>
      </w:r>
    </w:p>
    <w:p>
      <w:pPr>
        <w:pStyle w:val="Compact"/>
        <w:numPr>
          <w:ilvl w:val="0"/>
          <w:numId w:val="1023"/>
        </w:numPr>
      </w:pPr>
      <w:r>
        <w:t xml:space="preserve">Training: brief TiN maintainer on label schema, torque table, and test-link procedure; sign attendance.</w:t>
      </w:r>
    </w:p>
    <w:p>
      <w:pPr>
        <w:pStyle w:val="Compact"/>
        <w:numPr>
          <w:ilvl w:val="0"/>
          <w:numId w:val="1023"/>
        </w:numPr>
      </w:pPr>
      <w:r>
        <w:t xml:space="preserve">Documentation: update asset register with tags/serials/ITR refs; upload pull/torque/test logs; include in handover dossier index.</w:t>
      </w:r>
    </w:p>
    <w:bookmarkEnd w:id="62"/>
    <w:bookmarkEnd w:id="63"/>
    <w:bookmarkStart w:id="64" w:name="method-statement"/>
    <w:p>
      <w:pPr>
        <w:pStyle w:val="Heading2"/>
      </w:pPr>
      <w:r>
        <w:t xml:space="preserve">Method Statement</w:t>
      </w:r>
    </w:p>
    <w:p>
      <w:pPr>
        <w:numPr>
          <w:ilvl w:val="0"/>
          <w:numId w:val="1024"/>
        </w:numPr>
      </w:pPr>
      <w:r>
        <w:t xml:space="preserve">Pre-conditions and permits</w:t>
      </w:r>
      <w:r>
        <w:t xml:space="preserve"> </w:t>
      </w:r>
      <w:r>
        <w:t xml:space="preserve">Prior to any site activity, we will confirm the final tie-in arrangement with TiN, issue IFC drawings and ITPs, and obtain all permits to work (PTW) and LOTO authorizations. A task-specific RAMS briefing will be held with the crew, including lifting plans for drums and confined-space controls for pit work. Materials will be inspected against certificates of conformity and staging areas will be set up with weather protection.</w:t>
      </w:r>
    </w:p>
    <w:p>
      <w:pPr>
        <w:numPr>
          <w:ilvl w:val="0"/>
          <w:numId w:val="1024"/>
        </w:numPr>
      </w:pPr>
      <w:r>
        <w:t xml:space="preserve">STS04 migration (CTP6 → CTP5)</w:t>
      </w:r>
    </w:p>
    <w:p>
      <w:pPr>
        <w:pStyle w:val="Compact"/>
        <w:numPr>
          <w:ilvl w:val="1"/>
          <w:numId w:val="1025"/>
        </w:numPr>
      </w:pPr>
      <w:r>
        <w:t xml:space="preserve">Isolation and LOTO: Coordinate outage window with TiN; identify isolation points; apply locks/tags with unique IDs; prove dead with a calibrated tester (test before-use and after); apply portable earths (rated for prospective fault current) where required; record in permit log.</w:t>
      </w:r>
    </w:p>
    <w:p>
      <w:pPr>
        <w:pStyle w:val="Compact"/>
        <w:numPr>
          <w:ilvl w:val="1"/>
          <w:numId w:val="1025"/>
        </w:numPr>
      </w:pPr>
      <w:r>
        <w:t xml:space="preserve">Route verification: rod-and-rope CTP6→CTP5; mandrel sized per cable OD + margin; CCTV if resistance; dewater pits using filtered pumps; confirm confined-space controls; document obstructions and agree minor civil remediation if required; update survey sketch.</w:t>
      </w:r>
    </w:p>
    <w:p>
      <w:pPr>
        <w:pStyle w:val="Compact"/>
        <w:numPr>
          <w:ilvl w:val="1"/>
          <w:numId w:val="1025"/>
        </w:numPr>
      </w:pPr>
      <w:r>
        <w:t xml:space="preserve">Install CTP5 JB &amp; drum: set base; mount SS (C5M) enclosure with isolating washers; fit earth bar/test link; prepare gland plates; seal unused entries; position and secure drum assembly; provide slack loops and mechanical protection at pit exit; maintain access clearances.</w:t>
      </w:r>
    </w:p>
    <w:p>
      <w:pPr>
        <w:pStyle w:val="Compact"/>
        <w:numPr>
          <w:ilvl w:val="1"/>
          <w:numId w:val="1025"/>
        </w:numPr>
      </w:pPr>
      <w:r>
        <w:t xml:space="preserve">Cable handling and pull: position donor/receiving stations with rollers, bell mouths, rub blocks; use capstan winch with in-line dynamometer; approved lubricant; rollers at bends; maintain min bend radius/sidewall pressure per OEM; record tension and pull length in the pull log; communication between pull teams via radios.</w:t>
      </w:r>
    </w:p>
    <w:p>
      <w:pPr>
        <w:pStyle w:val="Compact"/>
        <w:numPr>
          <w:ilvl w:val="1"/>
          <w:numId w:val="1025"/>
        </w:numPr>
      </w:pPr>
      <w:r>
        <w:t xml:space="preserve">Terminations at CTP5: measure/cut; strip per template; abrade/clean semicon; install stress-control/insulation tubes and lugs; crimp with calibrated die set; heat-shrink/gel per sequence; fit boots/sealing mastic/anti-tracking sleeves; dress/torque to spec; record in torque log; apply phase ID and permanent labels; photograph steps for QA.</w:t>
      </w:r>
    </w:p>
    <w:p>
      <w:pPr>
        <w:pStyle w:val="Compact"/>
        <w:numPr>
          <w:ilvl w:val="1"/>
          <w:numId w:val="1025"/>
        </w:numPr>
      </w:pPr>
      <w:r>
        <w:t xml:space="preserve">Disconnection at CTP6: safely disconnect STS04 feeders; cap/insulate; update labels to reflect new routing; remove temporary earths after tests; tidy and secure enclosure; update as-built notes.</w:t>
      </w:r>
    </w:p>
    <w:p>
      <w:pPr>
        <w:numPr>
          <w:ilvl w:val="0"/>
          <w:numId w:val="1024"/>
        </w:numPr>
      </w:pPr>
      <w:r>
        <w:t xml:space="preserve">STS05/STS06 new feeders at CTP6</w:t>
      </w:r>
    </w:p>
    <w:p>
      <w:pPr>
        <w:pStyle w:val="Compact"/>
        <w:numPr>
          <w:ilvl w:val="1"/>
          <w:numId w:val="1026"/>
        </w:numPr>
      </w:pPr>
      <w:r>
        <w:t xml:space="preserve">Pit preparation: clean/inspect CTP6 pits; mount two JB enclosures on corrosion-resistant fixings; verify level and door swing clearance; install filtered breathers and gland plates; confirm IP integrity.</w:t>
      </w:r>
    </w:p>
    <w:p>
      <w:pPr>
        <w:pStyle w:val="Compact"/>
        <w:numPr>
          <w:ilvl w:val="1"/>
          <w:numId w:val="1026"/>
        </w:numPr>
      </w:pPr>
      <w:r>
        <w:t xml:space="preserve">Earthing: bond each JB to the grid with tinned copper; labeled test links; verify continuity to grid (&lt; 1 Ω target) and document readings; check sheath bonding scheme.</w:t>
      </w:r>
    </w:p>
    <w:p>
      <w:pPr>
        <w:pStyle w:val="Compact"/>
        <w:numPr>
          <w:ilvl w:val="1"/>
          <w:numId w:val="1026"/>
        </w:numPr>
      </w:pPr>
      <w:r>
        <w:t xml:space="preserve">Drums and feeders: position drums with spindle stands/brake control; pull feeders from mobile substation to CTP6; maintain bend radius and use rollers at direction changes; protect pit entries with grommets/bushings; seal with rated compounds; protect against chafe.</w:t>
      </w:r>
    </w:p>
    <w:p>
      <w:pPr>
        <w:pStyle w:val="Compact"/>
        <w:numPr>
          <w:ilvl w:val="1"/>
          <w:numId w:val="1026"/>
        </w:numPr>
      </w:pPr>
      <w:r>
        <w:t xml:space="preserve">Terminations and labeling: complete stress-control terminations; torque check; apply phase/feeder labels; fit engraved plates per TiN schema; dress conductors to avoid mechanical stress; photo record each termination.</w:t>
      </w:r>
    </w:p>
    <w:p>
      <w:pPr>
        <w:pStyle w:val="Compact"/>
        <w:numPr>
          <w:ilvl w:val="1"/>
          <w:numId w:val="1026"/>
        </w:numPr>
      </w:pPr>
      <w:r>
        <w:t xml:space="preserve">Protection settings: receive TiN-approved setting sheet; apply/verify settings on source protection; document all parameters; prepare coordination plots; store settings files securely with versioning.</w:t>
      </w:r>
    </w:p>
    <w:p>
      <w:pPr>
        <w:numPr>
          <w:ilvl w:val="0"/>
          <w:numId w:val="1024"/>
        </w:numPr>
      </w:pPr>
      <w:r>
        <w:t xml:space="preserve">Inspections and hold points</w:t>
      </w:r>
      <w:r>
        <w:t xml:space="preserve"> </w:t>
      </w:r>
      <w:r>
        <w:t xml:space="preserve">Hold/witness points will be observed at isolation verification, completed terminations (before enclosure close-up), and pre-energization test review. TiN representatives will be invited to witness per ITP. Photo evidence and ITR references will be embedded; punch items, if any, will be closed before energization and documented in the punch list register.</w:t>
      </w:r>
    </w:p>
    <w:bookmarkEnd w:id="64"/>
    <w:bookmarkStart w:id="68" w:name="testing-commissioning"/>
    <w:p>
      <w:pPr>
        <w:pStyle w:val="Heading2"/>
      </w:pPr>
      <w:r>
        <w:t xml:space="preserve">Testing &amp; Commissioning</w:t>
      </w:r>
    </w:p>
    <w:p>
      <w:pPr>
        <w:numPr>
          <w:ilvl w:val="0"/>
          <w:numId w:val="1027"/>
        </w:numPr>
      </w:pPr>
      <w:r>
        <w:t xml:space="preserve">Visual and mechanical checks</w:t>
      </w:r>
      <w:r>
        <w:t xml:space="preserve"> </w:t>
      </w:r>
      <w:r>
        <w:t xml:space="preserve">Verify enclosure IP integrity, gland seals, torque on terminals, and completeness of labels/marking. Confirm earthing connections and test link status. Review torque and pull logs for completeness.</w:t>
      </w:r>
    </w:p>
    <w:p>
      <w:pPr>
        <w:numPr>
          <w:ilvl w:val="0"/>
          <w:numId w:val="1027"/>
        </w:numPr>
      </w:pPr>
      <w:r>
        <w:t xml:space="preserve">Insulation resistance (IR) and continuity</w:t>
      </w:r>
      <w:r>
        <w:t xml:space="preserve"> </w:t>
      </w:r>
      <w:r>
        <w:t xml:space="preserve">Perform IR per conductor and conductor-to-earth using a calibrated megohmmeter at the correct test voltage for the circuit rating (e.g., 5 kV DC for 6–11 kV class, 10 kV DC for higher ratings as applicable). Record temperature-corrected values and compare to manufacturer and project thresholds. Verify conductor continuity and phase identification end-to-end; check R1/R2 as applicable.</w:t>
      </w:r>
    </w:p>
    <w:p>
      <w:pPr>
        <w:numPr>
          <w:ilvl w:val="0"/>
          <w:numId w:val="1027"/>
        </w:numPr>
      </w:pPr>
      <w:r>
        <w:t xml:space="preserve">VLF/withstand testing</w:t>
      </w:r>
      <w:r>
        <w:t xml:space="preserve"> </w:t>
      </w:r>
      <w:r>
        <w:t xml:space="preserve">Conduct Very-Low-Frequency withstand at 0.1 Hz at the specified kV level (e.g., 2×U0) for the prescribed duration (typically 30 minutes) per IEC/IEEE guidance. Monitor for instability or partial discharge indications if instrumented. Acceptance: no breakdown, test completes at setpoint with stable current profile.</w:t>
      </w:r>
    </w:p>
    <w:p>
      <w:pPr>
        <w:numPr>
          <w:ilvl w:val="0"/>
          <w:numId w:val="1027"/>
        </w:numPr>
      </w:pPr>
      <w:r>
        <w:t xml:space="preserve">Earthing tests</w:t>
      </w:r>
      <w:r>
        <w:t xml:space="preserve"> </w:t>
      </w:r>
      <w:r>
        <w:t xml:space="preserve">Measure pit-to-grid continuity (&lt; 1 Ω target) and, where required, perform earth resistance tests using clamp or 3-point methods. Verify sheath bonding continuity per design.</w:t>
      </w:r>
    </w:p>
    <w:p>
      <w:pPr>
        <w:numPr>
          <w:ilvl w:val="0"/>
          <w:numId w:val="1027"/>
        </w:numPr>
      </w:pPr>
      <w:r>
        <w:t xml:space="preserve">Protection verification</w:t>
      </w:r>
      <w:r>
        <w:t xml:space="preserve"> </w:t>
      </w:r>
      <w:r>
        <w:t xml:space="preserve">Secondary injection: Verify relay pickup, time-current characteristics, instantaneous elements, and lockout logic against the TiN setting sheet. Check CT polarity and ratio. Where feasible, perform end-to-end functional trip checks to confirm breaker operation and interlocks.</w:t>
      </w:r>
    </w:p>
    <w:p>
      <w:pPr>
        <w:numPr>
          <w:ilvl w:val="0"/>
          <w:numId w:val="1027"/>
        </w:numPr>
      </w:pPr>
      <w:r>
        <w:t xml:space="preserve">Energization procedure</w:t>
      </w:r>
      <w:r>
        <w:t xml:space="preserve"> </w:t>
      </w:r>
      <w:r>
        <w:t xml:space="preserve">Hold a pre-energization review. Remove temporary earths, restore enclosures, and clear the work area. Stage energization: first no-load verification (phase rotation, voltage presence), then incremental load. Perform a thermal scan after 2–4 hours of load to identify hotspots; rectify and re-scan if anomalies are detected. Compile the test dossier with signed sheets and as-built redlines.</w:t>
      </w:r>
    </w:p>
    <w:bookmarkStart w:id="65" w:name="X12d8efb3f21e0c982b646eea65365b657f12212"/>
    <w:p>
      <w:pPr>
        <w:pStyle w:val="Heading3"/>
      </w:pPr>
      <w:r>
        <w:t xml:space="preserve">End-to-End FAT (Factory Acceptance Testing)</w:t>
      </w:r>
    </w:p>
    <w:p>
      <w:pPr>
        <w:pStyle w:val="Compact"/>
        <w:numPr>
          <w:ilvl w:val="0"/>
          <w:numId w:val="1028"/>
        </w:numPr>
      </w:pPr>
      <w:r>
        <w:t xml:space="preserve">Documentation package review: CoCs, IEC type-test reports, datasheets match POs; verify serial/lot traceability.</w:t>
      </w:r>
    </w:p>
    <w:p>
      <w:pPr>
        <w:pStyle w:val="Compact"/>
        <w:numPr>
          <w:ilvl w:val="0"/>
          <w:numId w:val="1028"/>
        </w:numPr>
      </w:pPr>
      <w:r>
        <w:t xml:space="preserve">Enclosure FAT (if factory-built): visual/MEP inspection, IP/IK certificates, hardware BOM check, torque plate present; verify gasket fit and door alignment.</w:t>
      </w:r>
    </w:p>
    <w:p>
      <w:pPr>
        <w:pStyle w:val="Compact"/>
        <w:numPr>
          <w:ilvl w:val="0"/>
          <w:numId w:val="1028"/>
        </w:numPr>
      </w:pPr>
      <w:r>
        <w:t xml:space="preserve">Termination kit review: lot/expiry, full kit contents, manufacturer instructions latest rev; perform sample mock termination if required by TiN.</w:t>
      </w:r>
    </w:p>
    <w:p>
      <w:pPr>
        <w:pStyle w:val="Compact"/>
        <w:numPr>
          <w:ilvl w:val="0"/>
          <w:numId w:val="1028"/>
        </w:numPr>
      </w:pPr>
      <w:r>
        <w:t xml:space="preserve">Instruments &amp; accessories: calibration certificates (megohmmeter, VLF, torque tools) valid within 12 months; accessories (breathers, glands, labels) complete.</w:t>
      </w:r>
    </w:p>
    <w:p>
      <w:pPr>
        <w:pStyle w:val="Compact"/>
        <w:numPr>
          <w:ilvl w:val="0"/>
          <w:numId w:val="1028"/>
        </w:numPr>
      </w:pPr>
      <w:r>
        <w:t xml:space="preserve">FAT records: NCRs logged/closed; punch list zero before shipment; pack with moisture barriers and shock/tilt indicators.</w:t>
      </w:r>
    </w:p>
    <w:bookmarkEnd w:id="65"/>
    <w:bookmarkStart w:id="66" w:name="end-to-end-sat-site-acceptance-testing"/>
    <w:p>
      <w:pPr>
        <w:pStyle w:val="Heading3"/>
      </w:pPr>
      <w:r>
        <w:t xml:space="preserve">End-to-End SAT (Site Acceptance Testing)</w:t>
      </w:r>
    </w:p>
    <w:p>
      <w:pPr>
        <w:pStyle w:val="Compact"/>
        <w:numPr>
          <w:ilvl w:val="0"/>
          <w:numId w:val="1029"/>
        </w:numPr>
      </w:pPr>
      <w:r>
        <w:t xml:space="preserve">Pre-checks: permits, RAMS, isolation/LOTO; environmental controls (spill/dewatering); tools within calibration; ITP checklists printed.</w:t>
      </w:r>
    </w:p>
    <w:p>
      <w:pPr>
        <w:pStyle w:val="Compact"/>
        <w:numPr>
          <w:ilvl w:val="0"/>
          <w:numId w:val="1029"/>
        </w:numPr>
      </w:pPr>
      <w:r>
        <w:t xml:space="preserve">Visual/mechanical: enclosure IP integrity, door seal/hinge function, gland seals, earthing bonds; torque values logged against spec; photo evidence captured.</w:t>
      </w:r>
    </w:p>
    <w:p>
      <w:pPr>
        <w:pStyle w:val="Compact"/>
        <w:numPr>
          <w:ilvl w:val="0"/>
          <w:numId w:val="1029"/>
        </w:numPr>
      </w:pPr>
      <w:r>
        <w:t xml:space="preserve">Electrical tests: IR per core and to earth with temp correction; continuity/phase ID end-to-end; VLF/withstand at rating/duration with stable current profile.</w:t>
      </w:r>
    </w:p>
    <w:p>
      <w:pPr>
        <w:pStyle w:val="Compact"/>
        <w:numPr>
          <w:ilvl w:val="0"/>
          <w:numId w:val="1029"/>
        </w:numPr>
      </w:pPr>
      <w:r>
        <w:t xml:space="preserve">Protection verification: secondary injection of relays, trip logic, interlocks; settings cross-check with TiN sheet; record firmware versions.</w:t>
      </w:r>
    </w:p>
    <w:p>
      <w:pPr>
        <w:pStyle w:val="Compact"/>
        <w:numPr>
          <w:ilvl w:val="0"/>
          <w:numId w:val="1029"/>
        </w:numPr>
      </w:pPr>
      <w:r>
        <w:t xml:space="preserve">Functional checks: signage/labels correct; interlocks/access controls; simulate emergency procedure and verify responses with Operations.</w:t>
      </w:r>
    </w:p>
    <w:p>
      <w:pPr>
        <w:pStyle w:val="Compact"/>
        <w:numPr>
          <w:ilvl w:val="0"/>
          <w:numId w:val="1029"/>
        </w:numPr>
      </w:pPr>
      <w:r>
        <w:t xml:space="preserve">SAT dossier: all ITRs signed, redlines captured, outstanding snags recorded with owners/dates; readiness for energization certificate.</w:t>
      </w:r>
    </w:p>
    <w:bookmarkEnd w:id="66"/>
    <w:bookmarkStart w:id="67" w:name="Xf2f7c2eee8d9974c40de39c640f2d301fcfb8da"/>
    <w:p>
      <w:pPr>
        <w:pStyle w:val="Heading3"/>
      </w:pPr>
      <w:r>
        <w:t xml:space="preserve">Detailed Commissioning Procedure (Step-by-Step)</w:t>
      </w:r>
    </w:p>
    <w:p>
      <w:pPr>
        <w:pStyle w:val="SourceCode"/>
      </w:pPr>
      <w:r>
        <w:rPr>
          <w:rStyle w:val="VerbatimChar"/>
        </w:rPr>
        <w:t xml:space="preserve">+--------------------+    +------------------+    +------------------+    +------------------+</w:t>
      </w:r>
      <w:r>
        <w:br/>
      </w:r>
      <w:r>
        <w:rPr>
          <w:rStyle w:val="VerbatimChar"/>
        </w:rPr>
        <w:t xml:space="preserve">| Pre-Commissioning  | -&gt; | Cold Commission  | -&gt; | Protection Stage | -&gt; | No-load Energize |</w:t>
      </w:r>
      <w:r>
        <w:br/>
      </w:r>
      <w:r>
        <w:rPr>
          <w:rStyle w:val="VerbatimChar"/>
        </w:rPr>
        <w:t xml:space="preserve">| docs, ITP, redlines|    | visual, IR, GND  |    | settings/inject  |    | verify V/phase   |</w:t>
      </w:r>
      <w:r>
        <w:br/>
      </w:r>
      <w:r>
        <w:rPr>
          <w:rStyle w:val="VerbatimChar"/>
        </w:rPr>
        <w:t xml:space="preserve">+--------------------+    +------------------+    +------------------+    +------------------+</w:t>
      </w:r>
      <w:r>
        <w:br/>
      </w:r>
      <w:r>
        <w:rPr>
          <w:rStyle w:val="VerbatimChar"/>
        </w:rPr>
        <w:t xml:space="preserve">            |                                                         |</w:t>
      </w:r>
      <w:r>
        <w:br/>
      </w:r>
      <w:r>
        <w:rPr>
          <w:rStyle w:val="VerbatimChar"/>
        </w:rPr>
        <w:t xml:space="preserve">            v                                                         v</w:t>
      </w:r>
      <w:r>
        <w:br/>
      </w:r>
      <w:r>
        <w:rPr>
          <w:rStyle w:val="VerbatimChar"/>
        </w:rPr>
        <w:t xml:space="preserve">     +------------------+                                    +------------------+</w:t>
      </w:r>
      <w:r>
        <w:br/>
      </w:r>
      <w:r>
        <w:rPr>
          <w:rStyle w:val="VerbatimChar"/>
        </w:rPr>
        <w:t xml:space="preserve">     | Load Commission  |                                    | Post-Energization|</w:t>
      </w:r>
      <w:r>
        <w:br/>
      </w:r>
      <w:r>
        <w:rPr>
          <w:rStyle w:val="VerbatimChar"/>
        </w:rPr>
        <w:t xml:space="preserve">     | step ramp + IR   |                                    | scans, as-builts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v                               v</w:t>
      </w:r>
      <w:r>
        <w:br/>
      </w:r>
      <w:r>
        <w:rPr>
          <w:rStyle w:val="VerbatimChar"/>
        </w:rPr>
        <w:t xml:space="preserve">                           +-----------------------------+</w:t>
      </w:r>
      <w:r>
        <w:br/>
      </w:r>
      <w:r>
        <w:rPr>
          <w:rStyle w:val="VerbatimChar"/>
        </w:rPr>
        <w:t xml:space="preserve">                           | Handover &amp; Acceptance       |</w:t>
      </w:r>
      <w:r>
        <w:br/>
      </w:r>
      <w:r>
        <w:rPr>
          <w:rStyle w:val="VerbatimChar"/>
        </w:rPr>
        <w:t xml:space="preserve">                           +-----------------------------+</w:t>
      </w:r>
    </w:p>
    <w:p>
      <w:pPr>
        <w:pStyle w:val="Compact"/>
        <w:numPr>
          <w:ilvl w:val="0"/>
          <w:numId w:val="1030"/>
        </w:numPr>
      </w:pPr>
      <w:r>
        <w:t xml:space="preserve">Pre-commissioning: complete redlines; verify materials vs BoQ; confirm ITP hold/witness; publish commissioning plan and communication tree.</w:t>
      </w:r>
    </w:p>
    <w:p>
      <w:pPr>
        <w:pStyle w:val="Compact"/>
        <w:numPr>
          <w:ilvl w:val="0"/>
          <w:numId w:val="1030"/>
        </w:numPr>
      </w:pPr>
      <w:r>
        <w:t xml:space="preserve">Cold commissioning: visual/torque checks; IR tests (temp-corrected); earthing continuity; label verification; instrument setup and firmware check.</w:t>
      </w:r>
    </w:p>
    <w:p>
      <w:pPr>
        <w:pStyle w:val="Compact"/>
        <w:numPr>
          <w:ilvl w:val="0"/>
          <w:numId w:val="1030"/>
        </w:numPr>
      </w:pPr>
      <w:r>
        <w:t xml:space="preserve">Protection staging: apply approved settings; simulate trips via secondary injection; verify alarms/signals to SCADA where applicable.</w:t>
      </w:r>
    </w:p>
    <w:p>
      <w:pPr>
        <w:pStyle w:val="Compact"/>
        <w:numPr>
          <w:ilvl w:val="0"/>
          <w:numId w:val="1030"/>
        </w:numPr>
      </w:pPr>
      <w:r>
        <w:t xml:space="preserve">Energization (no-load): remove temporary earths; close source breaker; verify voltage and phase rotation; check for abnormal sounds/smells.</w:t>
      </w:r>
    </w:p>
    <w:p>
      <w:pPr>
        <w:pStyle w:val="Compact"/>
        <w:numPr>
          <w:ilvl w:val="0"/>
          <w:numId w:val="1030"/>
        </w:numPr>
      </w:pPr>
      <w:r>
        <w:t xml:space="preserve">Load commissioning: ramp load in steps; monitor currents/temps; thermal scan after 2–4 hours; rectify anomalies and re-scan.</w:t>
      </w:r>
    </w:p>
    <w:p>
      <w:pPr>
        <w:pStyle w:val="Compact"/>
        <w:numPr>
          <w:ilvl w:val="0"/>
          <w:numId w:val="1030"/>
        </w:numPr>
      </w:pPr>
      <w:r>
        <w:t xml:space="preserve">Post-energization: sample re-torque if specified; finalize as-builts; update asset register/CMMS within 48 hours; archive traces and settings.</w:t>
      </w:r>
    </w:p>
    <w:p>
      <w:pPr>
        <w:pStyle w:val="Compact"/>
        <w:numPr>
          <w:ilvl w:val="0"/>
          <w:numId w:val="1030"/>
        </w:numPr>
      </w:pPr>
      <w:r>
        <w:t xml:space="preserve">Handover: compile test packs; sign acceptance; deliver training and O&amp;M; close punch list and issue readiness for operation.</w:t>
      </w:r>
    </w:p>
    <w:bookmarkEnd w:id="67"/>
    <w:bookmarkEnd w:id="68"/>
    <w:bookmarkStart w:id="69" w:name="acceptance-criteria"/>
    <w:p>
      <w:pPr>
        <w:pStyle w:val="Heading2"/>
      </w:pPr>
      <w:r>
        <w:t xml:space="preserve">Acceptance Criteria</w:t>
      </w:r>
    </w:p>
    <w:p>
      <w:pPr>
        <w:pStyle w:val="Compact"/>
        <w:numPr>
          <w:ilvl w:val="0"/>
          <w:numId w:val="1031"/>
        </w:numPr>
      </w:pPr>
      <w:r>
        <w:t xml:space="preserve">IR ≥ manufacturer thresholds; no partial discharge evidence.</w:t>
      </w:r>
    </w:p>
    <w:p>
      <w:pPr>
        <w:pStyle w:val="Compact"/>
        <w:numPr>
          <w:ilvl w:val="0"/>
          <w:numId w:val="1031"/>
        </w:numPr>
      </w:pPr>
      <w:r>
        <w:t xml:space="preserve">Withstand/VLF passed; protection settings signed off.</w:t>
      </w:r>
    </w:p>
    <w:p>
      <w:pPr>
        <w:pStyle w:val="Compact"/>
        <w:numPr>
          <w:ilvl w:val="0"/>
          <w:numId w:val="1031"/>
        </w:numPr>
      </w:pPr>
      <w:r>
        <w:t xml:space="preserve">Earthing continuity within limits; labels complete and correct.</w:t>
      </w:r>
    </w:p>
    <w:bookmarkEnd w:id="69"/>
    <w:bookmarkStart w:id="70" w:name="kpis-acceptance-slas"/>
    <w:p>
      <w:pPr>
        <w:pStyle w:val="Heading2"/>
      </w:pPr>
      <w:r>
        <w:t xml:space="preserve">KPIs &amp; Acceptance SLAs</w:t>
      </w:r>
    </w:p>
    <w:tbl>
      <w:tblPr>
        <w:tblStyle w:val="Table"/>
        <w:tblW w:type="pct" w:w="5000"/>
        <w:tblLayout w:type="fixed"/>
        <w:tblLook w:firstRow="1" w:lastRow="0" w:firstColumn="0" w:lastColumn="0" w:noHBand="0" w:noVBand="0" w:val="0020"/>
      </w:tblPr>
      <w:tblGrid>
        <w:gridCol w:w="1015"/>
        <w:gridCol w:w="1624"/>
        <w:gridCol w:w="3858"/>
        <w:gridCol w:w="1421"/>
      </w:tblGrid>
      <w:tr>
        <w:trPr>
          <w:tblHeader w:val="on"/>
        </w:trPr>
        <w:tc>
          <w:tcPr/>
          <w:p>
            <w:pPr>
              <w:pStyle w:val="Compact"/>
            </w:pPr>
            <w:r>
              <w:t xml:space="preserve">KPI</w:t>
            </w:r>
          </w:p>
        </w:tc>
        <w:tc>
          <w:tcPr/>
          <w:p>
            <w:pPr>
              <w:pStyle w:val="Compact"/>
            </w:pPr>
            <w:r>
              <w:t xml:space="preserve">Target</w:t>
            </w:r>
          </w:p>
        </w:tc>
        <w:tc>
          <w:tcPr/>
          <w:p>
            <w:pPr>
              <w:pStyle w:val="Compact"/>
            </w:pPr>
            <w:r>
              <w:t xml:space="preserve">Measure/Frequency</w:t>
            </w:r>
          </w:p>
        </w:tc>
        <w:tc>
          <w:tcPr/>
          <w:p>
            <w:pPr>
              <w:pStyle w:val="Compact"/>
            </w:pPr>
            <w:r>
              <w:t xml:space="preserve">Notes</w:t>
            </w:r>
          </w:p>
        </w:tc>
      </w:tr>
      <w:tr>
        <w:tc>
          <w:tcPr/>
          <w:p>
            <w:pPr>
              <w:pStyle w:val="Compact"/>
            </w:pPr>
            <w:r>
              <w:t xml:space="preserve">ITP checkpoint adherence</w:t>
            </w:r>
          </w:p>
        </w:tc>
        <w:tc>
          <w:tcPr/>
          <w:p>
            <w:pPr>
              <w:pStyle w:val="Compact"/>
            </w:pPr>
            <w:r>
              <w:t xml:space="preserve">100%</w:t>
            </w:r>
          </w:p>
        </w:tc>
        <w:tc>
          <w:tcPr/>
          <w:p>
            <w:pPr>
              <w:pStyle w:val="Compact"/>
            </w:pPr>
            <w:r>
              <w:t xml:space="preserve">Weekly QC review</w:t>
            </w:r>
          </w:p>
        </w:tc>
        <w:tc>
          <w:tcPr/>
          <w:p>
            <w:pPr>
              <w:pStyle w:val="Compact"/>
            </w:pPr>
            <w:r>
              <w:t xml:space="preserve">Hold/Witness compliance via ITRs</w:t>
            </w:r>
          </w:p>
        </w:tc>
      </w:tr>
      <w:tr>
        <w:tc>
          <w:tcPr/>
          <w:p>
            <w:pPr>
              <w:pStyle w:val="Compact"/>
            </w:pPr>
            <w:r>
              <w:t xml:space="preserve">Document review SLA</w:t>
            </w:r>
          </w:p>
        </w:tc>
        <w:tc>
          <w:tcPr/>
          <w:p>
            <w:pPr>
              <w:pStyle w:val="Compact"/>
            </w:pPr>
            <w:r>
              <w:t xml:space="preserve">≤ 10 working days</w:t>
            </w:r>
          </w:p>
        </w:tc>
        <w:tc>
          <w:tcPr/>
          <w:p>
            <w:pPr>
              <w:pStyle w:val="Compact"/>
            </w:pPr>
            <w:r>
              <w:t xml:space="preserve">DC log (weekly)</w:t>
            </w:r>
          </w:p>
        </w:tc>
        <w:tc>
          <w:tcPr/>
          <w:p>
            <w:pPr>
              <w:pStyle w:val="Compact"/>
            </w:pPr>
            <w:r>
              <w:t xml:space="preserve">Accelerate by agreement with TiN</w:t>
            </w:r>
          </w:p>
        </w:tc>
      </w:tr>
      <w:tr>
        <w:tc>
          <w:tcPr/>
          <w:p>
            <w:pPr>
              <w:pStyle w:val="Compact"/>
            </w:pPr>
            <w:r>
              <w:t xml:space="preserve">Punch list closure</w:t>
            </w:r>
          </w:p>
        </w:tc>
        <w:tc>
          <w:tcPr/>
          <w:p>
            <w:pPr>
              <w:pStyle w:val="Compact"/>
            </w:pPr>
            <w:r>
              <w:t xml:space="preserve">Critical ≤ 2 days; Major ≤ 5 days; Minor per plan</w:t>
            </w:r>
          </w:p>
        </w:tc>
        <w:tc>
          <w:tcPr/>
          <w:p>
            <w:pPr>
              <w:pStyle w:val="Compact"/>
            </w:pPr>
            <w:r>
              <w:t xml:space="preserve">Daily during closeout</w:t>
            </w:r>
          </w:p>
        </w:tc>
        <w:tc>
          <w:tcPr/>
          <w:p>
            <w:pPr>
              <w:pStyle w:val="Compact"/>
            </w:pPr>
            <w:r>
              <w:t xml:space="preserve">Aligned with Warranty response/rectification</w:t>
            </w:r>
          </w:p>
        </w:tc>
      </w:tr>
      <w:tr>
        <w:tc>
          <w:tcPr/>
          <w:p>
            <w:pPr>
              <w:pStyle w:val="Compact"/>
            </w:pPr>
            <w:r>
              <w:t xml:space="preserve">HSE (TRIR)</w:t>
            </w:r>
          </w:p>
        </w:tc>
        <w:tc>
          <w:tcPr/>
          <w:p>
            <w:pPr>
              <w:pStyle w:val="Compact"/>
            </w:pPr>
            <w:r>
              <w:t xml:space="preserve">0 (zero harm)</w:t>
            </w:r>
          </w:p>
        </w:tc>
        <w:tc>
          <w:tcPr/>
          <w:p>
            <w:pPr>
              <w:pStyle w:val="Compact"/>
            </w:pPr>
            <w:r>
              <w:t xml:space="preserve">Monthly</w:t>
            </w:r>
          </w:p>
        </w:tc>
        <w:tc>
          <w:tcPr/>
          <w:p>
            <w:pPr>
              <w:pStyle w:val="Compact"/>
            </w:pPr>
            <w:r>
              <w:t xml:space="preserve">PTW/LOTO, toolbox, audits</w:t>
            </w:r>
          </w:p>
        </w:tc>
      </w:tr>
      <w:tr>
        <w:tc>
          <w:tcPr/>
          <w:p>
            <w:pPr>
              <w:pStyle w:val="Compact"/>
            </w:pPr>
            <w:r>
              <w:t xml:space="preserve">Schedule performance (SPI)</w:t>
            </w:r>
          </w:p>
        </w:tc>
        <w:tc>
          <w:tcPr/>
          <w:p>
            <w:pPr>
              <w:pStyle w:val="Compact"/>
            </w:pPr>
            <w:r>
              <w:t xml:space="preserve">≥ 0.95</w:t>
            </w:r>
          </w:p>
        </w:tc>
        <w:tc>
          <w:tcPr/>
          <w:p>
            <w:pPr>
              <w:pStyle w:val="Compact"/>
            </w:pPr>
            <w:r>
              <w:t xml:space="preserve">Weekly</w:t>
            </w:r>
          </w:p>
        </w:tc>
        <w:tc>
          <w:tcPr/>
          <w:p>
            <w:pPr>
              <w:pStyle w:val="Compact"/>
            </w:pPr>
            <w:r>
              <w:t xml:space="preserve">Earned value snapshot</w:t>
            </w:r>
          </w:p>
        </w:tc>
      </w:tr>
      <w:tr>
        <w:tc>
          <w:tcPr/>
          <w:p>
            <w:pPr>
              <w:pStyle w:val="Compact"/>
            </w:pPr>
            <w:r>
              <w:t xml:space="preserve">RFI/Change turnaround</w:t>
            </w:r>
          </w:p>
        </w:tc>
        <w:tc>
          <w:tcPr/>
          <w:p>
            <w:pPr>
              <w:pStyle w:val="Compact"/>
            </w:pPr>
            <w:r>
              <w:t xml:space="preserve">≤ 5 working days typical</w:t>
            </w:r>
          </w:p>
        </w:tc>
        <w:tc>
          <w:tcPr/>
          <w:p>
            <w:pPr>
              <w:pStyle w:val="Compact"/>
            </w:pPr>
            <w:r>
              <w:t xml:space="preserve">Weekly</w:t>
            </w:r>
          </w:p>
        </w:tc>
        <w:tc>
          <w:tcPr/>
          <w:p>
            <w:pPr>
              <w:pStyle w:val="Compact"/>
            </w:pPr>
            <w:r>
              <w:t xml:space="preserve">Ageing tracked in logs</w:t>
            </w:r>
          </w:p>
        </w:tc>
      </w:tr>
    </w:tbl>
    <w:bookmarkEnd w:id="70"/>
    <w:bookmarkStart w:id="71" w:name="risk-matrix-likelihood-consequence"/>
    <w:p>
      <w:pPr>
        <w:pStyle w:val="Heading2"/>
      </w:pPr>
      <w:r>
        <w:t xml:space="preserve">Risk Matrix (Likelihood × Consequence)</w:t>
      </w:r>
    </w:p>
    <w:tbl>
      <w:tblPr>
        <w:tblStyle w:val="Table"/>
        <w:tblW w:type="pct" w:w="5000"/>
        <w:tblLayout w:type="fixed"/>
        <w:tblLook w:firstRow="1" w:lastRow="0" w:firstColumn="0" w:lastColumn="0" w:noHBand="0" w:noVBand="0" w:val="0020"/>
      </w:tblPr>
      <w:tblGrid>
        <w:gridCol w:w="848"/>
        <w:gridCol w:w="424"/>
        <w:gridCol w:w="424"/>
        <w:gridCol w:w="1131"/>
        <w:gridCol w:w="990"/>
        <w:gridCol w:w="2404"/>
        <w:gridCol w:w="1697"/>
      </w:tblGrid>
      <w:tr>
        <w:trPr>
          <w:tblHeader w:val="on"/>
        </w:trPr>
        <w:tc>
          <w:tcPr/>
          <w:p>
            <w:pPr>
              <w:pStyle w:val="Compact"/>
            </w:pPr>
            <w:r>
              <w:t xml:space="preserve">Risk</w:t>
            </w:r>
          </w:p>
        </w:tc>
        <w:tc>
          <w:tcPr/>
          <w:p>
            <w:pPr>
              <w:pStyle w:val="Compact"/>
            </w:pPr>
            <w:r>
              <w:t xml:space="preserve">L</w:t>
            </w:r>
          </w:p>
        </w:tc>
        <w:tc>
          <w:tcPr/>
          <w:p>
            <w:pPr>
              <w:pStyle w:val="Compact"/>
            </w:pPr>
            <w:r>
              <w:t xml:space="preserve">C</w:t>
            </w:r>
          </w:p>
        </w:tc>
        <w:tc>
          <w:tcPr/>
          <w:p>
            <w:pPr>
              <w:pStyle w:val="Compact"/>
            </w:pPr>
            <w:r>
              <w:t xml:space="preserve">Rating</w:t>
            </w:r>
          </w:p>
        </w:tc>
        <w:tc>
          <w:tcPr/>
          <w:p>
            <w:pPr>
              <w:pStyle w:val="Compact"/>
            </w:pPr>
            <w:r>
              <w:t xml:space="preserve">Owner</w:t>
            </w:r>
          </w:p>
        </w:tc>
        <w:tc>
          <w:tcPr/>
          <w:p>
            <w:pPr>
              <w:pStyle w:val="Compact"/>
            </w:pPr>
            <w:r>
              <w:t xml:space="preserve">Trigger/Monitor</w:t>
            </w:r>
          </w:p>
        </w:tc>
        <w:tc>
          <w:tcPr/>
          <w:p>
            <w:pPr>
              <w:pStyle w:val="Compact"/>
            </w:pPr>
            <w:r>
              <w:t xml:space="preserve">Mitigation</w:t>
            </w:r>
          </w:p>
        </w:tc>
      </w:tr>
      <w:tr>
        <w:tc>
          <w:tcPr/>
          <w:p>
            <w:pPr>
              <w:pStyle w:val="Compact"/>
            </w:pPr>
            <w:r>
              <w:t xml:space="preserve">Duct blockage/route obstruction</w:t>
            </w:r>
          </w:p>
        </w:tc>
        <w:tc>
          <w:tcPr/>
          <w:p>
            <w:pPr>
              <w:pStyle w:val="Compact"/>
            </w:pPr>
            <w:r>
              <w:t xml:space="preserve">M</w:t>
            </w:r>
          </w:p>
        </w:tc>
        <w:tc>
          <w:tcPr/>
          <w:p>
            <w:pPr>
              <w:pStyle w:val="Compact"/>
            </w:pPr>
            <w:r>
              <w:t xml:space="preserve">M</w:t>
            </w:r>
          </w:p>
        </w:tc>
        <w:tc>
          <w:tcPr/>
          <w:p>
            <w:pPr>
              <w:pStyle w:val="Compact"/>
            </w:pPr>
            <w:r>
              <w:t xml:space="preserve">M</w:t>
            </w:r>
          </w:p>
        </w:tc>
        <w:tc>
          <w:tcPr/>
          <w:p>
            <w:pPr>
              <w:pStyle w:val="Compact"/>
            </w:pPr>
            <w:r>
              <w:t xml:space="preserve">Contractor</w:t>
            </w:r>
          </w:p>
        </w:tc>
        <w:tc>
          <w:tcPr/>
          <w:p>
            <w:pPr>
              <w:pStyle w:val="Compact"/>
            </w:pPr>
            <w:r>
              <w:t xml:space="preserve">Pre-rod/CCTV shows obstruction</w:t>
            </w:r>
          </w:p>
        </w:tc>
        <w:tc>
          <w:tcPr/>
          <w:p>
            <w:pPr>
              <w:pStyle w:val="Compact"/>
            </w:pPr>
            <w:r>
              <w:t xml:space="preserve">Alternate route; micro-trenching option; minor civils by agreement</w:t>
            </w:r>
          </w:p>
        </w:tc>
      </w:tr>
      <w:tr>
        <w:tc>
          <w:tcPr/>
          <w:p>
            <w:pPr>
              <w:pStyle w:val="Compact"/>
            </w:pPr>
            <w:r>
              <w:t xml:space="preserve">Adverse weather / marine exposure</w:t>
            </w:r>
          </w:p>
        </w:tc>
        <w:tc>
          <w:tcPr/>
          <w:p>
            <w:pPr>
              <w:pStyle w:val="Compact"/>
            </w:pPr>
            <w:r>
              <w:t xml:space="preserve">M</w:t>
            </w:r>
          </w:p>
        </w:tc>
        <w:tc>
          <w:tcPr/>
          <w:p>
            <w:pPr>
              <w:pStyle w:val="Compact"/>
            </w:pPr>
            <w:r>
              <w:t xml:space="preserve">M</w:t>
            </w:r>
          </w:p>
        </w:tc>
        <w:tc>
          <w:tcPr/>
          <w:p>
            <w:pPr>
              <w:pStyle w:val="Compact"/>
            </w:pPr>
            <w:r>
              <w:t xml:space="preserve">M</w:t>
            </w:r>
          </w:p>
        </w:tc>
        <w:tc>
          <w:tcPr/>
          <w:p>
            <w:pPr>
              <w:pStyle w:val="Compact"/>
            </w:pPr>
            <w:r>
              <w:t xml:space="preserve">Site Supervisor</w:t>
            </w:r>
          </w:p>
        </w:tc>
        <w:tc>
          <w:tcPr/>
          <w:p>
            <w:pPr>
              <w:pStyle w:val="Compact"/>
            </w:pPr>
            <w:r>
              <w:t xml:space="preserve">Weather alerts; on-site conditions</w:t>
            </w:r>
          </w:p>
        </w:tc>
        <w:tc>
          <w:tcPr/>
          <w:p>
            <w:pPr>
              <w:pStyle w:val="Compact"/>
            </w:pPr>
            <w:r>
              <w:t xml:space="preserve">Weather windows; covers; adjust sequence</w:t>
            </w:r>
          </w:p>
        </w:tc>
      </w:tr>
      <w:tr>
        <w:tc>
          <w:tcPr/>
          <w:p>
            <w:pPr>
              <w:pStyle w:val="Compact"/>
            </w:pPr>
            <w:r>
              <w:t xml:space="preserve">Permit/access delays (PTW, outages)</w:t>
            </w:r>
          </w:p>
        </w:tc>
        <w:tc>
          <w:tcPr/>
          <w:p>
            <w:pPr>
              <w:pStyle w:val="Compact"/>
            </w:pPr>
            <w:r>
              <w:t xml:space="preserve">M</w:t>
            </w:r>
          </w:p>
        </w:tc>
        <w:tc>
          <w:tcPr/>
          <w:p>
            <w:pPr>
              <w:pStyle w:val="Compact"/>
            </w:pPr>
            <w:r>
              <w:t xml:space="preserve">H</w:t>
            </w:r>
          </w:p>
        </w:tc>
        <w:tc>
          <w:tcPr/>
          <w:p>
            <w:pPr>
              <w:pStyle w:val="Compact"/>
            </w:pPr>
            <w:r>
              <w:t xml:space="preserve">H</w:t>
            </w:r>
          </w:p>
        </w:tc>
        <w:tc>
          <w:tcPr/>
          <w:p>
            <w:pPr>
              <w:pStyle w:val="Compact"/>
            </w:pPr>
            <w:r>
              <w:t xml:space="preserve">PM</w:t>
            </w:r>
          </w:p>
        </w:tc>
        <w:tc>
          <w:tcPr/>
          <w:p>
            <w:pPr>
              <w:pStyle w:val="Compact"/>
            </w:pPr>
            <w:r>
              <w:t xml:space="preserve">PTW/Access approvals ageing</w:t>
            </w:r>
          </w:p>
        </w:tc>
        <w:tc>
          <w:tcPr/>
          <w:p>
            <w:pPr>
              <w:pStyle w:val="Compact"/>
            </w:pPr>
            <w:r>
              <w:t xml:space="preserve">Early submissions; escalation; contingency windows</w:t>
            </w:r>
          </w:p>
        </w:tc>
      </w:tr>
      <w:tr>
        <w:tc>
          <w:tcPr/>
          <w:p>
            <w:pPr>
              <w:pStyle w:val="Compact"/>
            </w:pPr>
            <w:r>
              <w:t xml:space="preserve">Vendor long-lead / late delivery</w:t>
            </w:r>
          </w:p>
        </w:tc>
        <w:tc>
          <w:tcPr/>
          <w:p>
            <w:pPr>
              <w:pStyle w:val="Compact"/>
            </w:pPr>
            <w:r>
              <w:t xml:space="preserve">M</w:t>
            </w:r>
          </w:p>
        </w:tc>
        <w:tc>
          <w:tcPr/>
          <w:p>
            <w:pPr>
              <w:pStyle w:val="Compact"/>
            </w:pPr>
            <w:r>
              <w:t xml:space="preserve">H</w:t>
            </w:r>
          </w:p>
        </w:tc>
        <w:tc>
          <w:tcPr/>
          <w:p>
            <w:pPr>
              <w:pStyle w:val="Compact"/>
            </w:pPr>
            <w:r>
              <w:t xml:space="preserve">H</w:t>
            </w:r>
          </w:p>
        </w:tc>
        <w:tc>
          <w:tcPr/>
          <w:p>
            <w:pPr>
              <w:pStyle w:val="Compact"/>
            </w:pPr>
            <w:r>
              <w:t xml:space="preserve">PM/Procurement</w:t>
            </w:r>
          </w:p>
        </w:tc>
        <w:tc>
          <w:tcPr/>
          <w:p>
            <w:pPr>
              <w:pStyle w:val="Compact"/>
            </w:pPr>
            <w:r>
              <w:t xml:space="preserve">Vendor schedule slippage</w:t>
            </w:r>
          </w:p>
        </w:tc>
        <w:tc>
          <w:tcPr/>
          <w:p>
            <w:pPr>
              <w:pStyle w:val="Compact"/>
            </w:pPr>
            <w:r>
              <w:t xml:space="preserve">Early POs; expediting; critical spares buffer</w:t>
            </w:r>
          </w:p>
        </w:tc>
      </w:tr>
      <w:tr>
        <w:tc>
          <w:tcPr/>
          <w:p>
            <w:pPr>
              <w:pStyle w:val="Compact"/>
            </w:pPr>
            <w:r>
              <w:t xml:space="preserve">Confined-space hazards in pits</w:t>
            </w:r>
          </w:p>
        </w:tc>
        <w:tc>
          <w:tcPr/>
          <w:p>
            <w:pPr>
              <w:pStyle w:val="Compact"/>
            </w:pPr>
            <w:r>
              <w:t xml:space="preserve">L</w:t>
            </w:r>
          </w:p>
        </w:tc>
        <w:tc>
          <w:tcPr/>
          <w:p>
            <w:pPr>
              <w:pStyle w:val="Compact"/>
            </w:pPr>
            <w:r>
              <w:t xml:space="preserve">H</w:t>
            </w:r>
          </w:p>
        </w:tc>
        <w:tc>
          <w:tcPr/>
          <w:p>
            <w:pPr>
              <w:pStyle w:val="Compact"/>
            </w:pPr>
            <w:r>
              <w:t xml:space="preserve">M</w:t>
            </w:r>
          </w:p>
        </w:tc>
        <w:tc>
          <w:tcPr/>
          <w:p>
            <w:pPr>
              <w:pStyle w:val="Compact"/>
            </w:pPr>
            <w:r>
              <w:t xml:space="preserve">HSE</w:t>
            </w:r>
          </w:p>
        </w:tc>
        <w:tc>
          <w:tcPr/>
          <w:p>
            <w:pPr>
              <w:pStyle w:val="Compact"/>
            </w:pPr>
            <w:r>
              <w:t xml:space="preserve">Gas test results; supervision checks</w:t>
            </w:r>
          </w:p>
        </w:tc>
        <w:tc>
          <w:tcPr/>
          <w:p>
            <w:pPr>
              <w:pStyle w:val="Compact"/>
            </w:pPr>
            <w:r>
              <w:t xml:space="preserve">Confined-space controls; rescue plan; training</w:t>
            </w:r>
          </w:p>
        </w:tc>
      </w:tr>
      <w:tr>
        <w:tc>
          <w:tcPr/>
          <w:p>
            <w:pPr>
              <w:pStyle w:val="Compact"/>
            </w:pPr>
            <w:r>
              <w:t xml:space="preserve">Protection settings mismatch</w:t>
            </w:r>
          </w:p>
        </w:tc>
        <w:tc>
          <w:tcPr/>
          <w:p>
            <w:pPr>
              <w:pStyle w:val="Compact"/>
            </w:pPr>
            <w:r>
              <w:t xml:space="preserve">L</w:t>
            </w:r>
          </w:p>
        </w:tc>
        <w:tc>
          <w:tcPr/>
          <w:p>
            <w:pPr>
              <w:pStyle w:val="Compact"/>
            </w:pPr>
            <w:r>
              <w:t xml:space="preserve">H</w:t>
            </w:r>
          </w:p>
        </w:tc>
        <w:tc>
          <w:tcPr/>
          <w:p>
            <w:pPr>
              <w:pStyle w:val="Compact"/>
            </w:pPr>
            <w:r>
              <w:t xml:space="preserve">M/H</w:t>
            </w:r>
          </w:p>
        </w:tc>
        <w:tc>
          <w:tcPr/>
          <w:p>
            <w:pPr>
              <w:pStyle w:val="Compact"/>
            </w:pPr>
            <w:r>
              <w:t xml:space="preserve">Engineering</w:t>
            </w:r>
          </w:p>
        </w:tc>
        <w:tc>
          <w:tcPr/>
          <w:p>
            <w:pPr>
              <w:pStyle w:val="Compact"/>
            </w:pPr>
            <w:r>
              <w:t xml:space="preserve">Review vs TiN sheet; secondary injection</w:t>
            </w:r>
          </w:p>
        </w:tc>
        <w:tc>
          <w:tcPr/>
          <w:p>
            <w:pPr>
              <w:pStyle w:val="Compact"/>
            </w:pPr>
            <w:r>
              <w:t xml:space="preserve">IDC/IDR; TiN sign-off; staged energization</w:t>
            </w:r>
          </w:p>
        </w:tc>
      </w:tr>
      <w:tr>
        <w:tc>
          <w:tcPr/>
          <w:p>
            <w:pPr>
              <w:pStyle w:val="Compact"/>
            </w:pPr>
            <w:r>
              <w:t xml:space="preserve">VLF/withstand test failure</w:t>
            </w:r>
          </w:p>
        </w:tc>
        <w:tc>
          <w:tcPr/>
          <w:p>
            <w:pPr>
              <w:pStyle w:val="Compact"/>
            </w:pPr>
            <w:r>
              <w:t xml:space="preserve">L</w:t>
            </w:r>
          </w:p>
        </w:tc>
        <w:tc>
          <w:tcPr/>
          <w:p>
            <w:pPr>
              <w:pStyle w:val="Compact"/>
            </w:pPr>
            <w:r>
              <w:t xml:space="preserve">M</w:t>
            </w:r>
          </w:p>
        </w:tc>
        <w:tc>
          <w:tcPr/>
          <w:p>
            <w:pPr>
              <w:pStyle w:val="Compact"/>
            </w:pPr>
            <w:r>
              <w:t xml:space="preserve">M</w:t>
            </w:r>
          </w:p>
        </w:tc>
        <w:tc>
          <w:tcPr/>
          <w:p>
            <w:pPr>
              <w:pStyle w:val="Compact"/>
            </w:pPr>
            <w:r>
              <w:t xml:space="preserve">Engineering</w:t>
            </w:r>
          </w:p>
        </w:tc>
        <w:tc>
          <w:tcPr/>
          <w:p>
            <w:pPr>
              <w:pStyle w:val="Compact"/>
            </w:pPr>
            <w:r>
              <w:t xml:space="preserve">VLF traces instability</w:t>
            </w:r>
          </w:p>
        </w:tc>
        <w:tc>
          <w:tcPr/>
          <w:p>
            <w:pPr>
              <w:pStyle w:val="Compact"/>
            </w:pPr>
            <w:r>
              <w:t xml:space="preserve">Re-terminate per kit; re-test; OEM support</w:t>
            </w:r>
          </w:p>
        </w:tc>
      </w:tr>
      <w:tr>
        <w:tc>
          <w:tcPr/>
          <w:p>
            <w:pPr>
              <w:pStyle w:val="Compact"/>
            </w:pPr>
            <w:r>
              <w:t xml:space="preserve">Labeling/traceability gaps</w:t>
            </w:r>
          </w:p>
        </w:tc>
        <w:tc>
          <w:tcPr/>
          <w:p>
            <w:pPr>
              <w:pStyle w:val="Compact"/>
            </w:pPr>
            <w:r>
              <w:t xml:space="preserve">M</w:t>
            </w:r>
          </w:p>
        </w:tc>
        <w:tc>
          <w:tcPr/>
          <w:p>
            <w:pPr>
              <w:pStyle w:val="Compact"/>
            </w:pPr>
            <w:r>
              <w:t xml:space="preserve">L</w:t>
            </w:r>
          </w:p>
        </w:tc>
        <w:tc>
          <w:tcPr/>
          <w:p>
            <w:pPr>
              <w:pStyle w:val="Compact"/>
            </w:pPr>
            <w:r>
              <w:t xml:space="preserve">M</w:t>
            </w:r>
          </w:p>
        </w:tc>
        <w:tc>
          <w:tcPr/>
          <w:p>
            <w:pPr>
              <w:pStyle w:val="Compact"/>
            </w:pPr>
            <w:r>
              <w:t xml:space="preserve">Doc Control</w:t>
            </w:r>
          </w:p>
        </w:tc>
        <w:tc>
          <w:tcPr/>
          <w:p>
            <w:pPr>
              <w:pStyle w:val="Compact"/>
            </w:pPr>
            <w:r>
              <w:t xml:space="preserve">Label audits; asset register lag</w:t>
            </w:r>
          </w:p>
        </w:tc>
        <w:tc>
          <w:tcPr/>
          <w:p>
            <w:pPr>
              <w:pStyle w:val="Compact"/>
            </w:pPr>
            <w:r>
              <w:t xml:space="preserve">TIA-606 schema; 48h update SLA; photo evidence</w:t>
            </w:r>
          </w:p>
        </w:tc>
      </w:tr>
    </w:tbl>
    <w:bookmarkEnd w:id="71"/>
    <w:bookmarkStart w:id="72" w:name="programme-gantt-milestones"/>
    <w:p>
      <w:pPr>
        <w:pStyle w:val="Heading2"/>
      </w:pPr>
      <w:r>
        <w:t xml:space="preserve">Programme (Gantt Milestones)</w:t>
      </w:r>
    </w:p>
    <w:tbl>
      <w:tblPr>
        <w:tblStyle w:val="Table"/>
        <w:tblW w:type="pct" w:w="5000"/>
        <w:tblLayout w:type="fixed"/>
        <w:tblLook w:firstRow="1" w:lastRow="0" w:firstColumn="0" w:lastColumn="0" w:noHBand="0" w:noVBand="0" w:val="0020"/>
      </w:tblPr>
      <w:tblGrid>
        <w:gridCol w:w="2443"/>
        <w:gridCol w:w="1348"/>
        <w:gridCol w:w="4128"/>
      </w:tblGrid>
      <w:tr>
        <w:trPr>
          <w:tblHeader w:val="on"/>
        </w:trPr>
        <w:tc>
          <w:tcPr/>
          <w:p>
            <w:pPr>
              <w:pStyle w:val="Compact"/>
            </w:pPr>
            <w:r>
              <w:t xml:space="preserve">Phase</w:t>
            </w:r>
          </w:p>
        </w:tc>
        <w:tc>
          <w:tcPr/>
          <w:p>
            <w:pPr>
              <w:pStyle w:val="Compact"/>
            </w:pPr>
            <w:r>
              <w:t xml:space="preserve">Duration (wks)</w:t>
            </w:r>
          </w:p>
        </w:tc>
        <w:tc>
          <w:tcPr/>
          <w:p>
            <w:pPr>
              <w:pStyle w:val="Compact"/>
            </w:pPr>
            <w:r>
              <w:t xml:space="preserve">Notes</w:t>
            </w:r>
          </w:p>
        </w:tc>
      </w:tr>
      <w:tr>
        <w:tc>
          <w:tcPr/>
          <w:p>
            <w:pPr>
              <w:pStyle w:val="Compact"/>
            </w:pPr>
            <w:r>
              <w:t xml:space="preserve">Surveys &amp; Data Collection</w:t>
            </w:r>
          </w:p>
        </w:tc>
        <w:tc>
          <w:tcPr/>
          <w:p>
            <w:pPr>
              <w:pStyle w:val="Compact"/>
            </w:pPr>
            <w:r>
              <w:t xml:space="preserve">2</w:t>
            </w:r>
          </w:p>
        </w:tc>
        <w:tc>
          <w:tcPr/>
          <w:p>
            <w:pPr>
              <w:pStyle w:val="Compact"/>
            </w:pPr>
            <w:r>
              <w:t xml:space="preserve">Pit audit; earthing; protection data</w:t>
            </w:r>
          </w:p>
        </w:tc>
      </w:tr>
      <w:tr>
        <w:tc>
          <w:tcPr/>
          <w:p>
            <w:pPr>
              <w:pStyle w:val="Compact"/>
            </w:pPr>
            <w:r>
              <w:t xml:space="preserve">Detailed Design &amp; Approvals</w:t>
            </w:r>
          </w:p>
        </w:tc>
        <w:tc>
          <w:tcPr/>
          <w:p>
            <w:pPr>
              <w:pStyle w:val="Compact"/>
            </w:pPr>
            <w:r>
              <w:t xml:space="preserve">4</w:t>
            </w:r>
          </w:p>
        </w:tc>
        <w:tc>
          <w:tcPr/>
          <w:p>
            <w:pPr>
              <w:pStyle w:val="Compact"/>
            </w:pPr>
            <w:r>
              <w:t xml:space="preserve">IFC package and ITPs</w:t>
            </w:r>
          </w:p>
        </w:tc>
      </w:tr>
      <w:tr>
        <w:tc>
          <w:tcPr/>
          <w:p>
            <w:pPr>
              <w:pStyle w:val="Compact"/>
            </w:pPr>
            <w:r>
              <w:t xml:space="preserve">Procurement &amp; Logistics</w:t>
            </w:r>
          </w:p>
        </w:tc>
        <w:tc>
          <w:tcPr/>
          <w:p>
            <w:pPr>
              <w:pStyle w:val="Compact"/>
            </w:pPr>
            <w:r>
              <w:t xml:space="preserve">6</w:t>
            </w:r>
          </w:p>
        </w:tc>
        <w:tc>
          <w:tcPr/>
          <w:p>
            <w:pPr>
              <w:pStyle w:val="Compact"/>
            </w:pPr>
            <w:r>
              <w:t xml:space="preserve">Overlaps design tail; long-leads</w:t>
            </w:r>
          </w:p>
        </w:tc>
      </w:tr>
      <w:tr>
        <w:tc>
          <w:tcPr/>
          <w:p>
            <w:pPr>
              <w:pStyle w:val="Compact"/>
            </w:pPr>
            <w:r>
              <w:t xml:space="preserve">Installation (MV)</w:t>
            </w:r>
          </w:p>
        </w:tc>
        <w:tc>
          <w:tcPr/>
          <w:p>
            <w:pPr>
              <w:pStyle w:val="Compact"/>
            </w:pPr>
            <w:r>
              <w:t xml:space="preserve">6</w:t>
            </w:r>
          </w:p>
        </w:tc>
        <w:tc>
          <w:tcPr/>
          <w:p>
            <w:pPr>
              <w:pStyle w:val="Compact"/>
            </w:pPr>
            <w:r>
              <w:t xml:space="preserve">Method statements executed; RAMS</w:t>
            </w:r>
          </w:p>
        </w:tc>
      </w:tr>
      <w:tr>
        <w:tc>
          <w:tcPr/>
          <w:p>
            <w:pPr>
              <w:pStyle w:val="Compact"/>
            </w:pPr>
            <w:r>
              <w:t xml:space="preserve">Testing &amp; Commissioning</w:t>
            </w:r>
          </w:p>
        </w:tc>
        <w:tc>
          <w:tcPr/>
          <w:p>
            <w:pPr>
              <w:pStyle w:val="Compact"/>
            </w:pPr>
            <w:r>
              <w:t xml:space="preserve">2</w:t>
            </w:r>
          </w:p>
        </w:tc>
        <w:tc>
          <w:tcPr/>
          <w:p>
            <w:pPr>
              <w:pStyle w:val="Compact"/>
            </w:pPr>
            <w:r>
              <w:t xml:space="preserve">MV acceptance</w:t>
            </w:r>
          </w:p>
        </w:tc>
      </w:tr>
      <w:tr>
        <w:tc>
          <w:tcPr/>
          <w:p>
            <w:pPr>
              <w:pStyle w:val="Compact"/>
            </w:pPr>
            <w:r>
              <w:t xml:space="preserve">Legalisation &amp; Closeout</w:t>
            </w:r>
          </w:p>
        </w:tc>
        <w:tc>
          <w:tcPr/>
          <w:p>
            <w:pPr>
              <w:pStyle w:val="Compact"/>
            </w:pPr>
            <w:r>
              <w:t xml:space="preserve">2</w:t>
            </w:r>
          </w:p>
        </w:tc>
        <w:tc>
          <w:tcPr/>
          <w:p>
            <w:pPr>
              <w:pStyle w:val="Compact"/>
            </w:pPr>
            <w:r>
              <w:t xml:space="preserve">Docs, O&amp;M, training, handover</w:t>
            </w:r>
          </w:p>
        </w:tc>
      </w:tr>
    </w:tbl>
    <w:bookmarkEnd w:id="72"/>
    <w:bookmarkStart w:id="73" w:name="raci"/>
    <w:p>
      <w:pPr>
        <w:pStyle w:val="Heading2"/>
      </w:pPr>
      <w:r>
        <w:t xml:space="preserve">RACI</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Role</w:t>
            </w:r>
          </w:p>
        </w:tc>
        <w:tc>
          <w:tcPr/>
          <w:p>
            <w:pPr>
              <w:pStyle w:val="Compact"/>
            </w:pPr>
            <w:r>
              <w:t xml:space="preserve">Design</w:t>
            </w:r>
          </w:p>
        </w:tc>
        <w:tc>
          <w:tcPr/>
          <w:p>
            <w:pPr>
              <w:pStyle w:val="Compact"/>
            </w:pPr>
            <w:r>
              <w:t xml:space="preserve">Procure</w:t>
            </w:r>
          </w:p>
        </w:tc>
        <w:tc>
          <w:tcPr/>
          <w:p>
            <w:pPr>
              <w:pStyle w:val="Compact"/>
            </w:pPr>
            <w:r>
              <w:t xml:space="preserve">Install</w:t>
            </w:r>
          </w:p>
        </w:tc>
        <w:tc>
          <w:tcPr/>
          <w:p>
            <w:pPr>
              <w:pStyle w:val="Compact"/>
            </w:pPr>
            <w:r>
              <w:t xml:space="preserve">Test/Comm</w:t>
            </w:r>
          </w:p>
        </w:tc>
        <w:tc>
          <w:tcPr/>
          <w:p>
            <w:pPr>
              <w:pStyle w:val="Compact"/>
            </w:pPr>
            <w:r>
              <w:t xml:space="preserve">Docs/Handover</w:t>
            </w:r>
          </w:p>
        </w:tc>
      </w:tr>
      <w:tr>
        <w:tc>
          <w:tcPr/>
          <w:p>
            <w:pPr>
              <w:pStyle w:val="Compact"/>
            </w:pPr>
            <w:r>
              <w:t xml:space="preserve">Contractor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r>
      <w:tr>
        <w:tc>
          <w:tcPr/>
          <w:p>
            <w:pPr>
              <w:pStyle w:val="Compact"/>
            </w:pPr>
            <w:r>
              <w:t xml:space="preserve">TiN PM/Tech</w:t>
            </w:r>
          </w:p>
        </w:tc>
        <w:tc>
          <w:tcPr/>
          <w:p>
            <w:pPr>
              <w:pStyle w:val="Compact"/>
            </w:pPr>
            <w:r>
              <w:t xml:space="preserve">A/C</w:t>
            </w:r>
          </w:p>
        </w:tc>
        <w:tc>
          <w:tcPr/>
          <w:p>
            <w:pPr>
              <w:pStyle w:val="Compact"/>
            </w:pPr>
            <w:r>
              <w:t xml:space="preserve">C</w:t>
            </w:r>
          </w:p>
        </w:tc>
        <w:tc>
          <w:tcPr/>
          <w:p>
            <w:pPr>
              <w:pStyle w:val="Compact"/>
            </w:pPr>
            <w:r>
              <w:t xml:space="preserve">C</w:t>
            </w:r>
          </w:p>
        </w:tc>
        <w:tc>
          <w:tcPr/>
          <w:p>
            <w:pPr>
              <w:pStyle w:val="Compact"/>
            </w:pPr>
            <w:r>
              <w:t xml:space="preserve">C</w:t>
            </w:r>
          </w:p>
        </w:tc>
        <w:tc>
          <w:tcPr/>
          <w:p>
            <w:pPr>
              <w:pStyle w:val="Compact"/>
            </w:pPr>
            <w:r>
              <w:t xml:space="preserve">A/C</w:t>
            </w:r>
          </w:p>
        </w:tc>
      </w:tr>
      <w:tr>
        <w:tc>
          <w:tcPr/>
          <w:p>
            <w:pPr>
              <w:pStyle w:val="Compact"/>
            </w:pPr>
            <w:r>
              <w:t xml:space="preserve">HSE</w:t>
            </w:r>
          </w:p>
        </w:tc>
        <w:tc>
          <w:tcPr/>
          <w:p>
            <w:pPr>
              <w:pStyle w:val="Compact"/>
            </w:pPr>
            <w:r>
              <w:t xml:space="preserve">A</w:t>
            </w:r>
          </w:p>
        </w:tc>
        <w:tc>
          <w:tcPr/>
          <w:p>
            <w:pPr>
              <w:pStyle w:val="Compact"/>
            </w:pPr>
            <w:r>
              <w:t xml:space="preserve">C</w:t>
            </w:r>
          </w:p>
        </w:tc>
        <w:tc>
          <w:tcPr/>
          <w:p>
            <w:pPr>
              <w:pStyle w:val="Compact"/>
            </w:pPr>
            <w:r>
              <w:t xml:space="preserve">A</w:t>
            </w:r>
          </w:p>
        </w:tc>
        <w:tc>
          <w:tcPr/>
          <w:p>
            <w:pPr>
              <w:pStyle w:val="Compact"/>
            </w:pPr>
            <w:r>
              <w:t xml:space="preserve">A</w:t>
            </w:r>
          </w:p>
        </w:tc>
        <w:tc>
          <w:tcPr/>
          <w:p>
            <w:pPr>
              <w:pStyle w:val="Compact"/>
            </w:pPr>
            <w:r>
              <w:t xml:space="preserve">C</w:t>
            </w:r>
          </w:p>
        </w:tc>
      </w:tr>
    </w:tbl>
    <w:p>
      <w:r>
        <w:pict>
          <v:rect style="width:0;height:1.5pt" o:hralign="center" o:hrstd="t" o:hr="t"/>
        </w:pict>
      </w:r>
    </w:p>
    <w:bookmarkEnd w:id="73"/>
    <w:bookmarkStart w:id="75" w:name="X424ce6d39f51f5ec1adfc8a82e8c8951e2ddb7f"/>
    <w:p>
      <w:pPr>
        <w:pStyle w:val="Heading2"/>
      </w:pPr>
      <w:r>
        <w:t xml:space="preserve">Engineering &amp; Design Approach — Electrical (MV)</w:t>
      </w:r>
    </w:p>
    <w:p>
      <w:pPr>
        <w:pStyle w:val="FirstParagraph"/>
      </w:pPr>
      <w:r>
        <w:t xml:space="preserve">Our electrical design begins with a clear definition of operational scenarios and design criteria agreed with TiN. We derive design current from ZPMC OEM data and confirm upstream fault levels and protection philosophy. Cable sizing considers ampacity, voltage drop, short-circuit thermal withstand, and installation conditions. Protection settings are coordinated across source breakers, feeders and any intermediate relays; outputs include a formal setting sheet, coordination curves, and remarks on selectivity and clearing times. Earthing is designed to IEC 61936-1 with explicit targets for step/touch voltage and pit-to-grid continuity; sheath bonding is specified to avoid circulating currents while maintaining fault return paths. Marine exposure is addressed through C5M-grade stainless hardware, IP67 enclosures, sealed glands, and protected routing. All terminations are specified with manufacturer torque values and permanent labeling per TiN schema, with torque logs captured in the ITP.</w:t>
      </w:r>
    </w:p>
    <w:bookmarkStart w:id="74" w:name="step-by-step-engineering-workflow"/>
    <w:p>
      <w:pPr>
        <w:pStyle w:val="Heading3"/>
      </w:pPr>
      <w:r>
        <w:t xml:space="preserve">Step-by-Step Engineering Workflow</w:t>
      </w:r>
    </w:p>
    <w:p>
      <w:pPr>
        <w:pStyle w:val="Compact"/>
        <w:numPr>
          <w:ilvl w:val="0"/>
          <w:numId w:val="1032"/>
        </w:numPr>
      </w:pPr>
      <w:r>
        <w:t xml:space="preserve">FEED data collection: loads, fault level, tie-in strategy; routes survey and duct occupancy; preliminary risk log.</w:t>
      </w:r>
    </w:p>
    <w:p>
      <w:pPr>
        <w:pStyle w:val="Compact"/>
        <w:numPr>
          <w:ilvl w:val="0"/>
          <w:numId w:val="1032"/>
        </w:numPr>
      </w:pPr>
      <w:r>
        <w:t xml:space="preserve">Calculations: cable sizing/VD; short-circuit thermal checks; earthing targets; document assumptions and margins.</w:t>
      </w:r>
    </w:p>
    <w:p>
      <w:pPr>
        <w:pStyle w:val="Compact"/>
        <w:numPr>
          <w:ilvl w:val="0"/>
          <w:numId w:val="1032"/>
        </w:numPr>
      </w:pPr>
      <w:r>
        <w:t xml:space="preserve">Protection coordination: settings sheet; curves; selectivity notes; CT/VT ratio checks; relay model/firmware compatibility.</w:t>
      </w:r>
    </w:p>
    <w:p>
      <w:pPr>
        <w:pStyle w:val="Compact"/>
        <w:numPr>
          <w:ilvl w:val="0"/>
          <w:numId w:val="1032"/>
        </w:numPr>
      </w:pPr>
      <w:r>
        <w:t xml:space="preserve">Drawings: SLDs; pit GA; term schedules; labeling schema; torque tables; review checklists.</w:t>
      </w:r>
    </w:p>
    <w:p>
      <w:pPr>
        <w:pStyle w:val="Compact"/>
        <w:numPr>
          <w:ilvl w:val="0"/>
          <w:numId w:val="1032"/>
        </w:numPr>
      </w:pPr>
      <w:r>
        <w:t xml:space="preserve">Reviews: IDC/IDR with TiN; actions closed; IFC issuance; version control per doc plan.</w:t>
      </w:r>
    </w:p>
    <w:p>
      <w:pPr>
        <w:pStyle w:val="Compact"/>
        <w:numPr>
          <w:ilvl w:val="0"/>
          <w:numId w:val="1032"/>
        </w:numPr>
      </w:pPr>
      <w:r>
        <w:t xml:space="preserve">Preconstruction brief: method statements; ITP checkpoints; hold/witness invites; pre-mob risk review.</w:t>
      </w:r>
    </w:p>
    <w:bookmarkEnd w:id="74"/>
    <w:bookmarkEnd w:id="75"/>
    <w:bookmarkStart w:id="77" w:name="procurement-logistics-plan"/>
    <w:p>
      <w:pPr>
        <w:pStyle w:val="Heading2"/>
      </w:pPr>
      <w:r>
        <w:t xml:space="preserve">Procurement &amp; Logistics Plan</w:t>
      </w:r>
    </w:p>
    <w:p>
      <w:pPr>
        <w:pStyle w:val="FirstParagraph"/>
      </w:pPr>
      <w:r>
        <w:t xml:space="preserve">We operate a structured source-to-site process governed by a procurement plan and a live materials tracker. RFQs are issued to approved vendors with technical datasheets, standards compliance (IEC/EN), and environmental requirements (C5M, IP ratings). Bids undergo a technical evaluation against mandatory criteria (type-test reports, CoCs, warranty terms, lead times) before commercial adjudication. Purchase Orders embed quality clauses (inspection rights, documentation deliverables, packing/marking) and define hold/witness points.</w:t>
      </w:r>
    </w:p>
    <w:p>
      <w:pPr>
        <w:pStyle w:val="BodyText"/>
      </w:pPr>
      <w:r>
        <w:t xml:space="preserve">Expediting begins at award: vendors submit manufacturing schedules, inspection &amp; test plans, and submittals (drawings, labels, torque tables) for approval. We plan FAT where applicable and require MTRs/CoCs prior to dispatch. Logistics is aligned to the installation sequence and outage windows; packaging specifies moisture barriers, desiccants/inhibitors for marine environments, and shock/tilt indicators. Shipments include full documentation sets (CoC, type tests, packing lists) and are insured under the agreed Incoterms. Site receiving uses an RFI process: items are inspected, logged to the materials register (including serial/lot numbers), and quarantined if nonconforming. Sensitive items (MV kits) are stored in controlled conditions; kitting aligns to ITP steps to prevent premature unboxing.</w:t>
      </w:r>
    </w:p>
    <w:bookmarkStart w:id="76" w:name="step-by-step-procurement-logistics"/>
    <w:p>
      <w:pPr>
        <w:pStyle w:val="Heading3"/>
      </w:pPr>
      <w:r>
        <w:t xml:space="preserve">Step-by-Step Procurement &amp; Logistics</w:t>
      </w:r>
    </w:p>
    <w:p>
      <w:pPr>
        <w:pStyle w:val="Compact"/>
        <w:numPr>
          <w:ilvl w:val="0"/>
          <w:numId w:val="1033"/>
        </w:numPr>
      </w:pPr>
      <w:r>
        <w:t xml:space="preserve">RFQ pack: specs/drawings/standards; quality clauses; delivery windows; Incoterms; packaging and labeling requirements.</w:t>
      </w:r>
    </w:p>
    <w:p>
      <w:pPr>
        <w:pStyle w:val="Compact"/>
        <w:numPr>
          <w:ilvl w:val="0"/>
          <w:numId w:val="1033"/>
        </w:numPr>
      </w:pPr>
      <w:r>
        <w:t xml:space="preserve">Tech/commercial evaluation: mandatory compliance; lead times; warranty; lifecycle considerations; shortlist and clarifications.</w:t>
      </w:r>
    </w:p>
    <w:p>
      <w:pPr>
        <w:pStyle w:val="Compact"/>
        <w:numPr>
          <w:ilvl w:val="0"/>
          <w:numId w:val="1033"/>
        </w:numPr>
      </w:pPr>
      <w:r>
        <w:t xml:space="preserve">PO award: inspection rights; FAT scope; documentation deliverables; packing/marking; payment milestones linked to deliverables.</w:t>
      </w:r>
    </w:p>
    <w:p>
      <w:pPr>
        <w:pStyle w:val="Compact"/>
        <w:numPr>
          <w:ilvl w:val="0"/>
          <w:numId w:val="1033"/>
        </w:numPr>
      </w:pPr>
      <w:r>
        <w:t xml:space="preserve">Expediting: weekly vendor updates; ITP alignment; shipping prep; crate IDs; moisture barrier and desiccant for marine exposure.</w:t>
      </w:r>
    </w:p>
    <w:p>
      <w:pPr>
        <w:pStyle w:val="Compact"/>
        <w:numPr>
          <w:ilvl w:val="0"/>
          <w:numId w:val="1033"/>
        </w:numPr>
      </w:pPr>
      <w:r>
        <w:t xml:space="preserve">Receiving: RFI; visual check; document verification; quarantine if NCR; record serial/lot; update materials register.</w:t>
      </w:r>
    </w:p>
    <w:p>
      <w:pPr>
        <w:pStyle w:val="Compact"/>
        <w:numPr>
          <w:ilvl w:val="0"/>
          <w:numId w:val="1033"/>
        </w:numPr>
      </w:pPr>
      <w:r>
        <w:t xml:space="preserve">Kitting &amp; staging: align to look-ahead; preserve storage conditions; pre-assemble where possible; kit to ITP checkpoints.</w:t>
      </w:r>
    </w:p>
    <w:bookmarkEnd w:id="76"/>
    <w:bookmarkEnd w:id="77"/>
    <w:bookmarkStart w:id="79" w:name="installation-approach-general"/>
    <w:p>
      <w:pPr>
        <w:pStyle w:val="Heading2"/>
      </w:pPr>
      <w:r>
        <w:t xml:space="preserve">Installation Approach (General)</w:t>
      </w:r>
    </w:p>
    <w:p>
      <w:pPr>
        <w:pStyle w:val="FirstParagraph"/>
      </w:pPr>
      <w:r>
        <w:t xml:space="preserve">Site works commence after mobilisation, safety induction, and permit acceptance. Each activity is governed by an approved Method Statement and task risk assessment (RAMS). Supervisors brief the team daily (TBT), confirming roles, interface constraints, and hold points. Barriers, signage, and exclusion zones are established before work; confined-space and lifting plans are enforced where applicable. Sequencing prioritizes safety and operations continuity: we stage isolations, pre-stage materials, and validate temporary works before introducing any outage. Quality is built-in: checkpoints are recorded with photos, torque/measurement logs, and redlines captured contemporaneously for as-builts. Housekeeping, environmental protections (spill kits, dewatering controls), and reinstatement are maintained throughout.</w:t>
      </w:r>
    </w:p>
    <w:bookmarkStart w:id="78" w:name="step-by-step-site-execution"/>
    <w:p>
      <w:pPr>
        <w:pStyle w:val="Heading3"/>
      </w:pPr>
      <w:r>
        <w:t xml:space="preserve">Step-by-Step Site Execution</w:t>
      </w:r>
    </w:p>
    <w:p>
      <w:pPr>
        <w:pStyle w:val="Compact"/>
        <w:numPr>
          <w:ilvl w:val="0"/>
          <w:numId w:val="1034"/>
        </w:numPr>
      </w:pPr>
      <w:r>
        <w:t xml:space="preserve">Daily TBT and permit checks; confirm hold/witness attendees; review risks and mitigations; toolbox sign-in.</w:t>
      </w:r>
    </w:p>
    <w:p>
      <w:pPr>
        <w:pStyle w:val="Compact"/>
        <w:numPr>
          <w:ilvl w:val="0"/>
          <w:numId w:val="1034"/>
        </w:numPr>
      </w:pPr>
      <w:r>
        <w:t xml:space="preserve">Site prep: barriers/signage; confined space and lifting controls; verify equipment condition; staging of materials.</w:t>
      </w:r>
    </w:p>
    <w:p>
      <w:pPr>
        <w:pStyle w:val="Compact"/>
        <w:numPr>
          <w:ilvl w:val="0"/>
          <w:numId w:val="1034"/>
        </w:numPr>
      </w:pPr>
      <w:r>
        <w:t xml:space="preserve">Works: isolation/LOTO; install JB/drums; pull/terminate cables; label per schema; supervise critical steps.</w:t>
      </w:r>
    </w:p>
    <w:p>
      <w:pPr>
        <w:pStyle w:val="Compact"/>
        <w:numPr>
          <w:ilvl w:val="0"/>
          <w:numId w:val="1034"/>
        </w:numPr>
      </w:pPr>
      <w:r>
        <w:t xml:space="preserve">QA checks: torque logs; measurements; photo evidence; ITR sign-offs; NCRs raised if needed and tracked.</w:t>
      </w:r>
    </w:p>
    <w:p>
      <w:pPr>
        <w:pStyle w:val="Compact"/>
        <w:numPr>
          <w:ilvl w:val="0"/>
          <w:numId w:val="1034"/>
        </w:numPr>
      </w:pPr>
      <w:r>
        <w:t xml:space="preserve">Environmental: waste segregation; dewatering controls; spill kits; housekeeping; noise/light management as required.</w:t>
      </w:r>
    </w:p>
    <w:p>
      <w:pPr>
        <w:pStyle w:val="Compact"/>
        <w:numPr>
          <w:ilvl w:val="0"/>
          <w:numId w:val="1034"/>
        </w:numPr>
      </w:pPr>
      <w:r>
        <w:t xml:space="preserve">Reinstatement: remove temporary works; restore surfaces; update redlines; demobilize safely.</w:t>
      </w:r>
    </w:p>
    <w:bookmarkEnd w:id="78"/>
    <w:bookmarkEnd w:id="79"/>
    <w:bookmarkStart w:id="81" w:name="value-engineering-alternatives"/>
    <w:p>
      <w:pPr>
        <w:pStyle w:val="Heading2"/>
      </w:pPr>
      <w:r>
        <w:t xml:space="preserve">Value Engineering &amp; Alternatives</w:t>
      </w:r>
    </w:p>
    <w:p>
      <w:pPr>
        <w:pStyle w:val="FirstParagraph"/>
      </w:pPr>
      <w:r>
        <w:t xml:space="preserve">We evaluate alternatives that reduce lifecycle cost and risk without compromising compliance. Examples include optimized enclosure sizes/material grades for C5M exposure and selection of termination kit technologies suitable for humidity and salt fog. Each option is documented with cost/schedule/maintenance impact and submitted for approval.</w:t>
      </w:r>
    </w:p>
    <w:bookmarkStart w:id="80" w:name="step-by-step-value-engineering"/>
    <w:p>
      <w:pPr>
        <w:pStyle w:val="Heading3"/>
      </w:pPr>
      <w:r>
        <w:t xml:space="preserve">Step-by-Step Value Engineering</w:t>
      </w:r>
    </w:p>
    <w:p>
      <w:pPr>
        <w:pStyle w:val="Compact"/>
        <w:numPr>
          <w:ilvl w:val="0"/>
          <w:numId w:val="1035"/>
        </w:numPr>
      </w:pPr>
      <w:r>
        <w:t xml:space="preserve">Identify candidate areas: materials, routing, kit types; screen for compliance risks.</w:t>
      </w:r>
    </w:p>
    <w:p>
      <w:pPr>
        <w:pStyle w:val="Compact"/>
        <w:numPr>
          <w:ilvl w:val="0"/>
          <w:numId w:val="1035"/>
        </w:numPr>
      </w:pPr>
      <w:r>
        <w:t xml:space="preserve">Assess impacts: lifecycle cost/risk/maintainability; quantify downtime or performance effects.</w:t>
      </w:r>
    </w:p>
    <w:p>
      <w:pPr>
        <w:pStyle w:val="Compact"/>
        <w:numPr>
          <w:ilvl w:val="0"/>
          <w:numId w:val="1035"/>
        </w:numPr>
      </w:pPr>
      <w:r>
        <w:t xml:space="preserve">Prepare change proposal: CAPEX/OPEX deltas; schedule impact; risk assessment; sample VE option (e.g., enclosure size/material grade optimization).</w:t>
      </w:r>
    </w:p>
    <w:p>
      <w:pPr>
        <w:pStyle w:val="Compact"/>
        <w:numPr>
          <w:ilvl w:val="0"/>
          <w:numId w:val="1035"/>
        </w:numPr>
      </w:pPr>
      <w:r>
        <w:t xml:space="preserve">Review with TiN; secure approvals; update baselines; implement with traceable CR.</w:t>
      </w:r>
    </w:p>
    <w:bookmarkEnd w:id="80"/>
    <w:bookmarkEnd w:id="81"/>
    <w:bookmarkStart w:id="83" w:name="sustainability-environmental-management"/>
    <w:p>
      <w:pPr>
        <w:pStyle w:val="Heading2"/>
      </w:pPr>
      <w:r>
        <w:t xml:space="preserve">Sustainability &amp; Environmental Management</w:t>
      </w:r>
    </w:p>
    <w:p>
      <w:pPr>
        <w:pStyle w:val="FirstParagraph"/>
      </w:pPr>
      <w:r>
        <w:t xml:space="preserve">Our Environmental Management Plan addresses waste minimization, segregation, and responsible disposal; control of dewatering discharges; spill prevention and response; and noise/light management for adjacent operations. We prefer low-VOC consumables, reusable packaging where practical, and local sourcing to reduce transport emissions. All activities comply with TiN environmental policies and statutory requirements; incidents are logged and reviewed in weekly HSE reports.</w:t>
      </w:r>
    </w:p>
    <w:bookmarkStart w:id="82" w:name="step-by-step-environmental-controls"/>
    <w:p>
      <w:pPr>
        <w:pStyle w:val="Heading3"/>
      </w:pPr>
      <w:r>
        <w:t xml:space="preserve">Step-by-Step Environmental Controls</w:t>
      </w:r>
    </w:p>
    <w:p>
      <w:pPr>
        <w:pStyle w:val="Compact"/>
        <w:numPr>
          <w:ilvl w:val="0"/>
          <w:numId w:val="1036"/>
        </w:numPr>
      </w:pPr>
      <w:r>
        <w:t xml:space="preserve">EMP briefing: waste streams; spill response; noise/light controls; sensitivities in marine environment.</w:t>
      </w:r>
    </w:p>
    <w:p>
      <w:pPr>
        <w:pStyle w:val="Compact"/>
        <w:numPr>
          <w:ilvl w:val="0"/>
          <w:numId w:val="1036"/>
        </w:numPr>
      </w:pPr>
      <w:r>
        <w:t xml:space="preserve">Set up: drip trays; spill kits; waste bins; dewatering filtration as needed; verify location of drains and sensitive receptors.</w:t>
      </w:r>
    </w:p>
    <w:p>
      <w:pPr>
        <w:pStyle w:val="Compact"/>
        <w:numPr>
          <w:ilvl w:val="0"/>
          <w:numId w:val="1036"/>
        </w:numPr>
      </w:pPr>
      <w:r>
        <w:t xml:space="preserve">During works: inspect controls daily; record incidents/near-misses; adjust measures for weather; segregate and log waste.</w:t>
      </w:r>
    </w:p>
    <w:p>
      <w:pPr>
        <w:pStyle w:val="Compact"/>
        <w:numPr>
          <w:ilvl w:val="0"/>
          <w:numId w:val="1036"/>
        </w:numPr>
      </w:pPr>
      <w:r>
        <w:t xml:space="preserve">Closeout: waste transfer notes; restore area; include records in dossier; lessons learned for future works.</w:t>
      </w:r>
    </w:p>
    <w:bookmarkEnd w:id="82"/>
    <w:bookmarkEnd w:id="83"/>
    <w:bookmarkStart w:id="85" w:name="interface-stakeholder-management"/>
    <w:p>
      <w:pPr>
        <w:pStyle w:val="Heading2"/>
      </w:pPr>
      <w:r>
        <w:t xml:space="preserve">Interface &amp; Stakeholder Management</w:t>
      </w:r>
    </w:p>
    <w:p>
      <w:pPr>
        <w:pStyle w:val="FirstParagraph"/>
      </w:pPr>
      <w:r>
        <w:t xml:space="preserve">Interfaces span Operations, Power, HSE, and external authorities. We maintain an interface register identifying owners, data dependencies (e.g., settings sheets), and approval gates. Weekly coordination meetings track look-ahead constraints and access windows; changes are channelled through the change control process with impact assessments.</w:t>
      </w:r>
    </w:p>
    <w:bookmarkStart w:id="84" w:name="step-by-step-interface-management"/>
    <w:p>
      <w:pPr>
        <w:pStyle w:val="Heading3"/>
      </w:pPr>
      <w:r>
        <w:t xml:space="preserve">Step-by-Step Interface Management</w:t>
      </w:r>
    </w:p>
    <w:p>
      <w:pPr>
        <w:pStyle w:val="Compact"/>
        <w:numPr>
          <w:ilvl w:val="0"/>
          <w:numId w:val="1037"/>
        </w:numPr>
      </w:pPr>
      <w:r>
        <w:t xml:space="preserve">Build interface register: owners; data dependencies; approvals; hold/witness points; escalation paths.</w:t>
      </w:r>
    </w:p>
    <w:p>
      <w:pPr>
        <w:pStyle w:val="Compact"/>
        <w:numPr>
          <w:ilvl w:val="0"/>
          <w:numId w:val="1037"/>
        </w:numPr>
      </w:pPr>
      <w:r>
        <w:t xml:space="preserve">Weekly review: update constraints; access windows; dependencies; record decisions and actions.</w:t>
      </w:r>
    </w:p>
    <w:p>
      <w:pPr>
        <w:pStyle w:val="Compact"/>
        <w:numPr>
          <w:ilvl w:val="0"/>
          <w:numId w:val="1037"/>
        </w:numPr>
      </w:pPr>
      <w:r>
        <w:t xml:space="preserve">Changes: raise CR with impact assessment; secure approvals; update baselines; communicate to all stakeholders.</w:t>
      </w:r>
    </w:p>
    <w:bookmarkEnd w:id="84"/>
    <w:bookmarkEnd w:id="85"/>
    <w:bookmarkStart w:id="87" w:name="asset-registration-tagging"/>
    <w:p>
      <w:pPr>
        <w:pStyle w:val="Heading2"/>
      </w:pPr>
      <w:r>
        <w:t xml:space="preserve">Asset Registration &amp; Tagging</w:t>
      </w:r>
    </w:p>
    <w:p>
      <w:pPr>
        <w:pStyle w:val="FirstParagraph"/>
      </w:pPr>
      <w:r>
        <w:t xml:space="preserve">All new assets are tagged per TiN’s schema and registered into the asset register/CMMS. Tagging covers enclosures, terminations, cables, and protective devices. Serial numbers, test certificates, torque records, and location references are linked to each asset. We can provide QR-coded labels to expedite future maintenance and audits.</w:t>
      </w:r>
    </w:p>
    <w:bookmarkStart w:id="86" w:name="step-by-step-asset-registration"/>
    <w:p>
      <w:pPr>
        <w:pStyle w:val="Heading3"/>
      </w:pPr>
      <w:r>
        <w:t xml:space="preserve">Step-by-Step Asset Registration</w:t>
      </w:r>
    </w:p>
    <w:p>
      <w:pPr>
        <w:pStyle w:val="Compact"/>
        <w:numPr>
          <w:ilvl w:val="0"/>
          <w:numId w:val="1038"/>
        </w:numPr>
      </w:pPr>
      <w:r>
        <w:t xml:space="preserve">Assign tag IDs per schema; prepare labeling schedule; generate QR/asset IDs.</w:t>
      </w:r>
    </w:p>
    <w:p>
      <w:pPr>
        <w:pStyle w:val="Compact"/>
        <w:numPr>
          <w:ilvl w:val="0"/>
          <w:numId w:val="1038"/>
        </w:numPr>
      </w:pPr>
      <w:r>
        <w:t xml:space="preserve">Capture serials/locations/test references during works; photo of installed labels.</w:t>
      </w:r>
    </w:p>
    <w:p>
      <w:pPr>
        <w:pStyle w:val="Compact"/>
        <w:numPr>
          <w:ilvl w:val="0"/>
          <w:numId w:val="1038"/>
        </w:numPr>
      </w:pPr>
      <w:r>
        <w:t xml:space="preserve">Update CMMS/register within 48 hours; attach documents (CoCs, test sheets, torque logs).</w:t>
      </w:r>
    </w:p>
    <w:p>
      <w:pPr>
        <w:pStyle w:val="Compact"/>
        <w:numPr>
          <w:ilvl w:val="0"/>
          <w:numId w:val="1038"/>
        </w:numPr>
      </w:pPr>
      <w:r>
        <w:t xml:space="preserve">QA spot-check of register vs field labels; correct discrepancies before handover.</w:t>
      </w:r>
    </w:p>
    <w:bookmarkEnd w:id="86"/>
    <w:bookmarkEnd w:id="87"/>
    <w:bookmarkStart w:id="88" w:name="detailed-scope-of-work-electrical"/>
    <w:p>
      <w:pPr>
        <w:pStyle w:val="Heading2"/>
      </w:pPr>
      <w:r>
        <w:t xml:space="preserve">Detailed Scope of Work — Electrical</w:t>
      </w:r>
    </w:p>
    <w:p>
      <w:pPr>
        <w:pStyle w:val="Compact"/>
        <w:numPr>
          <w:ilvl w:val="0"/>
          <w:numId w:val="1039"/>
        </w:numPr>
      </w:pPr>
      <w:r>
        <w:t xml:space="preserve">MV: STS04 isolation and migration to CTP5; new JBs/drums at CTP6 for STS05/06; MV terminations; earthing; labeling.</w:t>
      </w:r>
    </w:p>
    <w:p>
      <w:pPr>
        <w:pStyle w:val="Compact"/>
        <w:numPr>
          <w:ilvl w:val="0"/>
          <w:numId w:val="1039"/>
        </w:numPr>
      </w:pPr>
      <w:r>
        <w:t xml:space="preserve">Documentation: IFC/IFU drawings, ITPs, test packs, O&amp;M, training, legalisation dossier.</w:t>
      </w:r>
    </w:p>
    <w:p>
      <w:pPr>
        <w:pStyle w:val="Compact"/>
        <w:numPr>
          <w:ilvl w:val="0"/>
          <w:numId w:val="1039"/>
        </w:numPr>
      </w:pPr>
      <w:r>
        <w:t xml:space="preserve">Project Mgmt: programme, RACI, risk, meetings, change control, HSE.</w:t>
      </w:r>
    </w:p>
    <w:bookmarkEnd w:id="88"/>
    <w:bookmarkStart w:id="89" w:name="X6bcca09859596ec2b58b0fb9154b2ca0336e245"/>
    <w:p>
      <w:pPr>
        <w:pStyle w:val="Heading2"/>
      </w:pPr>
      <w:r>
        <w:t xml:space="preserve">Engineering Methods &amp; Template Pack — Electrical</w:t>
      </w:r>
    </w:p>
    <w:p>
      <w:pPr>
        <w:pStyle w:val="Compact"/>
        <w:numPr>
          <w:ilvl w:val="0"/>
          <w:numId w:val="1040"/>
        </w:numPr>
      </w:pPr>
      <w:r>
        <w:t xml:space="preserve">Calculations &amp; Coordination</w:t>
      </w:r>
    </w:p>
    <w:p>
      <w:pPr>
        <w:pStyle w:val="Compact"/>
        <w:numPr>
          <w:ilvl w:val="1"/>
          <w:numId w:val="1041"/>
        </w:numPr>
      </w:pPr>
      <w:r>
        <w:t xml:space="preserve">Cable sizing/volt‑drop workbook; short‑circuit thermal withstand checks; earthing targets per IEC 61936‑1.</w:t>
      </w:r>
    </w:p>
    <w:p>
      <w:pPr>
        <w:pStyle w:val="Compact"/>
        <w:numPr>
          <w:ilvl w:val="1"/>
          <w:numId w:val="1041"/>
        </w:numPr>
      </w:pPr>
      <w:r>
        <w:t xml:space="preserve">Protection settings sheet and coordination curves (relay model/firmware recorded). See</w:t>
      </w:r>
      <w:r>
        <w:t xml:space="preserve"> </w:t>
      </w:r>
      <w:r>
        <w:rPr>
          <w:rStyle w:val="VerbatimChar"/>
        </w:rPr>
        <w:t xml:space="preserve">### Protection Coordination</w:t>
      </w:r>
      <w:r>
        <w:t xml:space="preserve">.</w:t>
      </w:r>
    </w:p>
    <w:p>
      <w:pPr>
        <w:pStyle w:val="Compact"/>
        <w:numPr>
          <w:ilvl w:val="0"/>
          <w:numId w:val="1040"/>
        </w:numPr>
      </w:pPr>
      <w:r>
        <w:t xml:space="preserve">QA/ITP &amp; ATP Artefacts</w:t>
      </w:r>
    </w:p>
    <w:p>
      <w:pPr>
        <w:pStyle w:val="Compact"/>
        <w:numPr>
          <w:ilvl w:val="1"/>
          <w:numId w:val="1042"/>
        </w:numPr>
      </w:pPr>
      <w:r>
        <w:t xml:space="preserve">ITR‑10/20/30/40/50 forms; Torque Log; Cable Pull Log; IR/VLF test sheets; FAT/SAT checklists. See</w:t>
      </w:r>
      <w:r>
        <w:t xml:space="preserve"> </w:t>
      </w:r>
      <w:r>
        <w:rPr>
          <w:rStyle w:val="VerbatimChar"/>
        </w:rPr>
        <w:t xml:space="preserve">## Quality Plan &amp; ITP</w:t>
      </w:r>
      <w:r>
        <w:t xml:space="preserve"> </w:t>
      </w:r>
      <w:r>
        <w:t xml:space="preserve">and</w:t>
      </w:r>
      <w:r>
        <w:t xml:space="preserve"> </w:t>
      </w:r>
      <w:r>
        <w:rPr>
          <w:rStyle w:val="VerbatimChar"/>
        </w:rPr>
        <w:t xml:space="preserve">## Acceptance Test Procedures (ATP)</w:t>
      </w:r>
      <w:r>
        <w:t xml:space="preserve">.</w:t>
      </w:r>
    </w:p>
    <w:p>
      <w:pPr>
        <w:pStyle w:val="Compact"/>
        <w:numPr>
          <w:ilvl w:val="0"/>
          <w:numId w:val="1040"/>
        </w:numPr>
      </w:pPr>
      <w:r>
        <w:t xml:space="preserve">Safety &amp; Permitting Pack</w:t>
      </w:r>
    </w:p>
    <w:p>
      <w:pPr>
        <w:pStyle w:val="Compact"/>
        <w:numPr>
          <w:ilvl w:val="1"/>
          <w:numId w:val="1043"/>
        </w:numPr>
      </w:pPr>
      <w:r>
        <w:t xml:space="preserve">PTW/LOTO forms; Confined‑space permit and gas test log; Lifting plan/tackle inspection; RAMS templates. See</w:t>
      </w:r>
      <w:r>
        <w:t xml:space="preserve"> </w:t>
      </w:r>
      <w:r>
        <w:rPr>
          <w:rStyle w:val="VerbatimChar"/>
        </w:rPr>
        <w:t xml:space="preserve">## HSE &amp; RAMS Summary</w:t>
      </w:r>
      <w:r>
        <w:t xml:space="preserve">.</w:t>
      </w:r>
    </w:p>
    <w:p>
      <w:pPr>
        <w:pStyle w:val="Compact"/>
        <w:numPr>
          <w:ilvl w:val="0"/>
          <w:numId w:val="1040"/>
        </w:numPr>
      </w:pPr>
      <w:r>
        <w:t xml:space="preserve">Drawings, Schedules &amp; Registers</w:t>
      </w:r>
    </w:p>
    <w:p>
      <w:pPr>
        <w:pStyle w:val="Compact"/>
        <w:numPr>
          <w:ilvl w:val="1"/>
          <w:numId w:val="1044"/>
        </w:numPr>
      </w:pPr>
      <w:r>
        <w:t xml:space="preserve">SLD, pit GA, termination schedules; labeling schedule per TIA‑606; asset register CSV template with QR/ID fields. See</w:t>
      </w:r>
      <w:r>
        <w:t xml:space="preserve"> </w:t>
      </w:r>
      <w:r>
        <w:rPr>
          <w:rStyle w:val="VerbatimChar"/>
        </w:rPr>
        <w:t xml:space="preserve">## Asset Registration &amp; Tagging</w:t>
      </w:r>
      <w:r>
        <w:t xml:space="preserve">.</w:t>
      </w:r>
    </w:p>
    <w:p>
      <w:pPr>
        <w:pStyle w:val="Compact"/>
        <w:numPr>
          <w:ilvl w:val="0"/>
          <w:numId w:val="1040"/>
        </w:numPr>
      </w:pPr>
      <w:r>
        <w:t xml:space="preserve">Change &amp; Configuration Management</w:t>
      </w:r>
    </w:p>
    <w:p>
      <w:pPr>
        <w:pStyle w:val="Compact"/>
        <w:numPr>
          <w:ilvl w:val="1"/>
          <w:numId w:val="1045"/>
        </w:numPr>
      </w:pPr>
      <w:r>
        <w:t xml:space="preserve">RFI and Change Request (CR) forms; revision log; configuration backup policy for protection settings and instrument configs.</w:t>
      </w:r>
    </w:p>
    <w:p>
      <w:pPr>
        <w:pStyle w:val="Compact"/>
        <w:numPr>
          <w:ilvl w:val="0"/>
          <w:numId w:val="1040"/>
        </w:numPr>
      </w:pPr>
      <w:r>
        <w:t xml:space="preserve">Training &amp; Handover Artefacts</w:t>
      </w:r>
    </w:p>
    <w:p>
      <w:pPr>
        <w:pStyle w:val="Compact"/>
        <w:numPr>
          <w:ilvl w:val="1"/>
          <w:numId w:val="1046"/>
        </w:numPr>
      </w:pPr>
      <w:r>
        <w:t xml:space="preserve">Training agenda, attendance sheet, assessments; O&amp;M index; legalisation dossier index and evidence checklist.</w:t>
      </w:r>
    </w:p>
    <w:p>
      <w:pPr>
        <w:pStyle w:val="Compact"/>
        <w:numPr>
          <w:ilvl w:val="0"/>
          <w:numId w:val="1040"/>
        </w:numPr>
      </w:pPr>
      <w:r>
        <w:t xml:space="preserve">Evidence Pack Structure</w:t>
      </w:r>
    </w:p>
    <w:p>
      <w:pPr>
        <w:pStyle w:val="Compact"/>
        <w:numPr>
          <w:ilvl w:val="1"/>
          <w:numId w:val="1047"/>
        </w:numPr>
      </w:pPr>
      <w:r>
        <w:t xml:space="preserve">Standard folder/naming convention for photos, traces (IR/VLF), torque logs, certificates; index sheet linking ITRs to evidence.</w:t>
      </w:r>
    </w:p>
    <w:bookmarkEnd w:id="89"/>
    <w:bookmarkStart w:id="91" w:name="project-deliverables-electrical"/>
    <w:p>
      <w:pPr>
        <w:pStyle w:val="Heading2"/>
      </w:pPr>
      <w:r>
        <w:t xml:space="preserve">Project Deliverables (Electrical)</w:t>
      </w:r>
    </w:p>
    <w:p>
      <w:pPr>
        <w:pStyle w:val="Compact"/>
        <w:numPr>
          <w:ilvl w:val="0"/>
          <w:numId w:val="1048"/>
        </w:numPr>
      </w:pPr>
      <w:r>
        <w:t xml:space="preserve">Drawings: SLDs, pit GA, cable schedules, labeling schedules.</w:t>
      </w:r>
    </w:p>
    <w:p>
      <w:pPr>
        <w:pStyle w:val="Compact"/>
        <w:numPr>
          <w:ilvl w:val="0"/>
          <w:numId w:val="1048"/>
        </w:numPr>
      </w:pPr>
      <w:r>
        <w:t xml:space="preserve">Calculations: cable sizing, volt drop, protection coordination.</w:t>
      </w:r>
    </w:p>
    <w:p>
      <w:pPr>
        <w:pStyle w:val="Compact"/>
        <w:numPr>
          <w:ilvl w:val="0"/>
          <w:numId w:val="1048"/>
        </w:numPr>
      </w:pPr>
      <w:r>
        <w:t xml:space="preserve">QA/ITP: inspection/test records, factory certificates (IEC type tests), torque logs.</w:t>
      </w:r>
    </w:p>
    <w:p>
      <w:pPr>
        <w:pStyle w:val="Compact"/>
        <w:numPr>
          <w:ilvl w:val="0"/>
          <w:numId w:val="1048"/>
        </w:numPr>
      </w:pPr>
      <w:r>
        <w:t xml:space="preserve">Handover: as-built DWG/PDF, O&amp;M manuals, training records, legalisation dossier.</w:t>
      </w:r>
    </w:p>
    <w:bookmarkStart w:id="90" w:name="handover-checklist-steps"/>
    <w:p>
      <w:pPr>
        <w:pStyle w:val="Heading3"/>
      </w:pPr>
      <w:r>
        <w:t xml:space="preserve">Handover Checklist Steps</w:t>
      </w:r>
    </w:p>
    <w:p>
      <w:pPr>
        <w:pStyle w:val="Compact"/>
        <w:numPr>
          <w:ilvl w:val="0"/>
          <w:numId w:val="1049"/>
        </w:numPr>
      </w:pPr>
      <w:r>
        <w:t xml:space="preserve">As-builts signed; index prepared; test packs complete.</w:t>
      </w:r>
    </w:p>
    <w:p>
      <w:pPr>
        <w:pStyle w:val="Compact"/>
        <w:numPr>
          <w:ilvl w:val="0"/>
          <w:numId w:val="1049"/>
        </w:numPr>
      </w:pPr>
      <w:r>
        <w:t xml:space="preserve">O&amp;M delivered; training records attached; spares handed over.</w:t>
      </w:r>
    </w:p>
    <w:p>
      <w:pPr>
        <w:pStyle w:val="Compact"/>
        <w:numPr>
          <w:ilvl w:val="0"/>
          <w:numId w:val="1049"/>
        </w:numPr>
      </w:pPr>
      <w:r>
        <w:t xml:space="preserve">Acceptance certificates signed; defects list closed or agreed.</w:t>
      </w:r>
    </w:p>
    <w:bookmarkEnd w:id="90"/>
    <w:bookmarkEnd w:id="91"/>
    <w:bookmarkStart w:id="94" w:name="hardware-software-requirements"/>
    <w:p>
      <w:pPr>
        <w:pStyle w:val="Heading2"/>
      </w:pPr>
      <w:r>
        <w:t xml:space="preserve">Hardware &amp; Software Requirements</w:t>
      </w:r>
    </w:p>
    <w:bookmarkStart w:id="92" w:name="hardware-examples-or-equivalent"/>
    <w:p>
      <w:pPr>
        <w:pStyle w:val="Heading3"/>
      </w:pPr>
      <w:r>
        <w:t xml:space="preserve">Hardware (examples or equivalent)</w:t>
      </w:r>
    </w:p>
    <w:p>
      <w:pPr>
        <w:pStyle w:val="Compact"/>
        <w:numPr>
          <w:ilvl w:val="0"/>
          <w:numId w:val="1050"/>
        </w:numPr>
      </w:pPr>
      <w:r>
        <w:t xml:space="preserve">MV terminations/joints (IEC 60502-2 type-tested), SS IP67/IK10 enclosures (C5M), cable drums.</w:t>
      </w:r>
    </w:p>
    <w:bookmarkEnd w:id="92"/>
    <w:bookmarkStart w:id="93" w:name="softwaretools"/>
    <w:p>
      <w:pPr>
        <w:pStyle w:val="Heading3"/>
      </w:pPr>
      <w:r>
        <w:t xml:space="preserve">Software/Tools</w:t>
      </w:r>
    </w:p>
    <w:p>
      <w:pPr>
        <w:pStyle w:val="Compact"/>
        <w:numPr>
          <w:ilvl w:val="0"/>
          <w:numId w:val="1051"/>
        </w:numPr>
      </w:pPr>
      <w:r>
        <w:t xml:space="preserve">CAD (AutoCAD), protection coordination tool (ETAP/EasyPower), document control (Confluence/SharePoint), test software, commissioning templates, issue tracker.</w:t>
      </w:r>
    </w:p>
    <w:bookmarkEnd w:id="93"/>
    <w:bookmarkEnd w:id="94"/>
    <w:bookmarkStart w:id="95" w:name="step-by-step-implementation-plan"/>
    <w:p>
      <w:pPr>
        <w:pStyle w:val="Heading2"/>
      </w:pPr>
      <w:r>
        <w:t xml:space="preserve">Step-by-Step Implementation Plan</w:t>
      </w:r>
    </w:p>
    <w:p>
      <w:pPr>
        <w:pStyle w:val="Compact"/>
        <w:numPr>
          <w:ilvl w:val="0"/>
          <w:numId w:val="1052"/>
        </w:numPr>
      </w:pPr>
      <w:r>
        <w:t xml:space="preserve">Pre-Mobilisation (Week 0–2)</w:t>
      </w:r>
    </w:p>
    <w:p>
      <w:pPr>
        <w:pStyle w:val="Compact"/>
        <w:numPr>
          <w:ilvl w:val="1"/>
          <w:numId w:val="1053"/>
        </w:numPr>
      </w:pPr>
      <w:r>
        <w:t xml:space="preserve">Kick-off; pit and route surveys; safety file submission; permit planning.</w:t>
      </w:r>
    </w:p>
    <w:p>
      <w:pPr>
        <w:pStyle w:val="Compact"/>
        <w:numPr>
          <w:ilvl w:val="1"/>
          <w:numId w:val="1053"/>
        </w:numPr>
      </w:pPr>
      <w:r>
        <w:t xml:space="preserve">Preliminary designs; risk workshop; procurement of long-leads.</w:t>
      </w:r>
    </w:p>
    <w:p>
      <w:pPr>
        <w:pStyle w:val="Compact"/>
        <w:numPr>
          <w:ilvl w:val="0"/>
          <w:numId w:val="1052"/>
        </w:numPr>
      </w:pPr>
      <w:r>
        <w:t xml:space="preserve">Detailed Design &amp; Approvals (Week 2–6)</w:t>
      </w:r>
    </w:p>
    <w:p>
      <w:pPr>
        <w:pStyle w:val="Compact"/>
        <w:numPr>
          <w:ilvl w:val="1"/>
          <w:numId w:val="1054"/>
        </w:numPr>
      </w:pPr>
      <w:r>
        <w:t xml:space="preserve">IFC drawings; protection settings; ITPs; method statements; TiN approvals.</w:t>
      </w:r>
    </w:p>
    <w:p>
      <w:pPr>
        <w:pStyle w:val="Compact"/>
        <w:numPr>
          <w:ilvl w:val="0"/>
          <w:numId w:val="1052"/>
        </w:numPr>
      </w:pPr>
      <w:r>
        <w:t xml:space="preserve">Procurement &amp; FAT (Week 4–10)</w:t>
      </w:r>
    </w:p>
    <w:p>
      <w:pPr>
        <w:pStyle w:val="Compact"/>
        <w:numPr>
          <w:ilvl w:val="1"/>
          <w:numId w:val="1055"/>
        </w:numPr>
      </w:pPr>
      <w:r>
        <w:t xml:space="preserve">Order MV kits, enclosures; receive certificates; pre-assembly checks.</w:t>
      </w:r>
    </w:p>
    <w:p>
      <w:pPr>
        <w:pStyle w:val="Compact"/>
        <w:numPr>
          <w:ilvl w:val="0"/>
          <w:numId w:val="1052"/>
        </w:numPr>
      </w:pPr>
      <w:r>
        <w:t xml:space="preserve">Installation (Week 8–14)</w:t>
      </w:r>
    </w:p>
    <w:p>
      <w:pPr>
        <w:pStyle w:val="Compact"/>
        <w:numPr>
          <w:ilvl w:val="1"/>
          <w:numId w:val="1056"/>
        </w:numPr>
      </w:pPr>
      <w:r>
        <w:t xml:space="preserve">MV: STS04 LOTO and migration; CTP6 JBs/drums for STS05/06; earthing; labels.</w:t>
      </w:r>
    </w:p>
    <w:p>
      <w:pPr>
        <w:pStyle w:val="Compact"/>
        <w:numPr>
          <w:ilvl w:val="0"/>
          <w:numId w:val="1052"/>
        </w:numPr>
      </w:pPr>
      <w:r>
        <w:t xml:space="preserve">Testing &amp; Commissioning (Week 14–16)</w:t>
      </w:r>
    </w:p>
    <w:p>
      <w:pPr>
        <w:pStyle w:val="Compact"/>
        <w:numPr>
          <w:ilvl w:val="1"/>
          <w:numId w:val="1057"/>
        </w:numPr>
      </w:pPr>
      <w:r>
        <w:t xml:space="preserve">MV: IR, continuity, VLF/withstand; protection setting verification.</w:t>
      </w:r>
    </w:p>
    <w:p>
      <w:pPr>
        <w:pStyle w:val="Compact"/>
        <w:numPr>
          <w:ilvl w:val="0"/>
          <w:numId w:val="1052"/>
        </w:numPr>
      </w:pPr>
      <w:r>
        <w:t xml:space="preserve">Handover &amp; Legalisation (Week 16–18)</w:t>
      </w:r>
    </w:p>
    <w:p>
      <w:pPr>
        <w:pStyle w:val="Compact"/>
        <w:numPr>
          <w:ilvl w:val="1"/>
          <w:numId w:val="1058"/>
        </w:numPr>
      </w:pPr>
      <w:r>
        <w:t xml:space="preserve">As-builts, test packs, training, legalisation dossier; punch list close-out.</w:t>
      </w:r>
    </w:p>
    <w:bookmarkEnd w:id="95"/>
    <w:bookmarkStart w:id="97" w:name="quality-plan-itp-summary-electrical"/>
    <w:p>
      <w:pPr>
        <w:pStyle w:val="Heading2"/>
      </w:pPr>
      <w:r>
        <w:t xml:space="preserve">Quality Plan &amp; ITP (Summary — Electrical)</w:t>
      </w:r>
    </w:p>
    <w:tbl>
      <w:tblPr>
        <w:tblStyle w:val="Table"/>
        <w:tblW w:type="pct" w:w="5000"/>
        <w:tblLayout w:type="fixed"/>
        <w:tblLook w:firstRow="1" w:lastRow="0" w:firstColumn="0" w:lastColumn="0" w:noHBand="0" w:noVBand="0" w:val="0020"/>
      </w:tblPr>
      <w:tblGrid>
        <w:gridCol w:w="2376"/>
        <w:gridCol w:w="3608"/>
        <w:gridCol w:w="1232"/>
        <w:gridCol w:w="704"/>
      </w:tblGrid>
      <w:tr>
        <w:trPr>
          <w:tblHeader w:val="on"/>
        </w:trPr>
        <w:tc>
          <w:tcPr/>
          <w:p>
            <w:pPr>
              <w:pStyle w:val="Compact"/>
            </w:pPr>
            <w:r>
              <w:t xml:space="preserve">Stage</w:t>
            </w:r>
          </w:p>
        </w:tc>
        <w:tc>
          <w:tcPr/>
          <w:p>
            <w:pPr>
              <w:pStyle w:val="Compact"/>
            </w:pPr>
            <w:r>
              <w:t xml:space="preserve">Checkpoint</w:t>
            </w:r>
          </w:p>
        </w:tc>
        <w:tc>
          <w:tcPr/>
          <w:p>
            <w:pPr>
              <w:pStyle w:val="Compact"/>
            </w:pPr>
            <w:r>
              <w:t xml:space="preserve">Hold/Witness</w:t>
            </w:r>
          </w:p>
        </w:tc>
        <w:tc>
          <w:tcPr/>
          <w:p>
            <w:pPr>
              <w:pStyle w:val="Compact"/>
            </w:pPr>
            <w:r>
              <w:t xml:space="preserve">Record</w:t>
            </w:r>
          </w:p>
        </w:tc>
      </w:tr>
      <w:tr>
        <w:tc>
          <w:tcPr/>
          <w:p>
            <w:pPr>
              <w:pStyle w:val="Compact"/>
            </w:pPr>
            <w:r>
              <w:t xml:space="preserve">Material Receiving</w:t>
            </w:r>
          </w:p>
        </w:tc>
        <w:tc>
          <w:tcPr/>
          <w:p>
            <w:pPr>
              <w:pStyle w:val="Compact"/>
            </w:pPr>
            <w:r>
              <w:t xml:space="preserve">CoC, visual, type tests</w:t>
            </w:r>
          </w:p>
        </w:tc>
        <w:tc>
          <w:tcPr/>
          <w:p>
            <w:pPr>
              <w:pStyle w:val="Compact"/>
            </w:pPr>
            <w:r>
              <w:t xml:space="preserve">W</w:t>
            </w:r>
          </w:p>
        </w:tc>
        <w:tc>
          <w:tcPr/>
          <w:p>
            <w:pPr>
              <w:pStyle w:val="Compact"/>
            </w:pPr>
            <w:r>
              <w:t xml:space="preserve">RFI-01</w:t>
            </w:r>
          </w:p>
        </w:tc>
      </w:tr>
      <w:tr>
        <w:tc>
          <w:tcPr/>
          <w:p>
            <w:pPr>
              <w:pStyle w:val="Compact"/>
            </w:pPr>
            <w:r>
              <w:t xml:space="preserve">JB/Drum Installation</w:t>
            </w:r>
          </w:p>
        </w:tc>
        <w:tc>
          <w:tcPr/>
          <w:p>
            <w:pPr>
              <w:pStyle w:val="Compact"/>
            </w:pPr>
            <w:r>
              <w:t xml:space="preserve">Fixings, IP rating, earthing continuity</w:t>
            </w:r>
          </w:p>
        </w:tc>
        <w:tc>
          <w:tcPr/>
          <w:p>
            <w:pPr>
              <w:pStyle w:val="Compact"/>
            </w:pPr>
            <w:r>
              <w:t xml:space="preserve">H</w:t>
            </w:r>
          </w:p>
        </w:tc>
        <w:tc>
          <w:tcPr/>
          <w:p>
            <w:pPr>
              <w:pStyle w:val="Compact"/>
            </w:pPr>
            <w:r>
              <w:t xml:space="preserve">ITR-10</w:t>
            </w:r>
          </w:p>
        </w:tc>
      </w:tr>
      <w:tr>
        <w:tc>
          <w:tcPr/>
          <w:p>
            <w:pPr>
              <w:pStyle w:val="Compact"/>
            </w:pPr>
            <w:r>
              <w:t xml:space="preserve">MV Terminations</w:t>
            </w:r>
          </w:p>
        </w:tc>
        <w:tc>
          <w:tcPr/>
          <w:p>
            <w:pPr>
              <w:pStyle w:val="Compact"/>
            </w:pPr>
            <w:r>
              <w:t xml:space="preserve">Prep/fit, torque, labels</w:t>
            </w:r>
          </w:p>
        </w:tc>
        <w:tc>
          <w:tcPr/>
          <w:p>
            <w:pPr>
              <w:pStyle w:val="Compact"/>
            </w:pPr>
            <w:r>
              <w:t xml:space="preserve">W</w:t>
            </w:r>
          </w:p>
        </w:tc>
        <w:tc>
          <w:tcPr/>
          <w:p>
            <w:pPr>
              <w:pStyle w:val="Compact"/>
            </w:pPr>
            <w:r>
              <w:t xml:space="preserve">ITR-20</w:t>
            </w:r>
          </w:p>
        </w:tc>
      </w:tr>
      <w:tr>
        <w:tc>
          <w:tcPr/>
          <w:p>
            <w:pPr>
              <w:pStyle w:val="Compact"/>
            </w:pPr>
            <w:r>
              <w:t xml:space="preserve">Cable Pulling</w:t>
            </w:r>
          </w:p>
        </w:tc>
        <w:tc>
          <w:tcPr/>
          <w:p>
            <w:pPr>
              <w:pStyle w:val="Compact"/>
            </w:pPr>
            <w:r>
              <w:t xml:space="preserve">Rollers set, lubricant batch, tension log, sidewall pressure</w:t>
            </w:r>
          </w:p>
        </w:tc>
        <w:tc>
          <w:tcPr/>
          <w:p>
            <w:pPr>
              <w:pStyle w:val="Compact"/>
            </w:pPr>
            <w:r>
              <w:t xml:space="preserve">W</w:t>
            </w:r>
          </w:p>
        </w:tc>
        <w:tc>
          <w:tcPr/>
          <w:p>
            <w:pPr>
              <w:pStyle w:val="Compact"/>
            </w:pPr>
            <w:r>
              <w:t xml:space="preserve">ITR-30</w:t>
            </w:r>
          </w:p>
        </w:tc>
      </w:tr>
      <w:tr>
        <w:tc>
          <w:tcPr/>
          <w:p>
            <w:pPr>
              <w:pStyle w:val="Compact"/>
            </w:pPr>
            <w:r>
              <w:t xml:space="preserve">Testing (MV)</w:t>
            </w:r>
          </w:p>
        </w:tc>
        <w:tc>
          <w:tcPr/>
          <w:p>
            <w:pPr>
              <w:pStyle w:val="Compact"/>
            </w:pPr>
            <w:r>
              <w:t xml:space="preserve">IR/VLF</w:t>
            </w:r>
          </w:p>
        </w:tc>
        <w:tc>
          <w:tcPr/>
          <w:p>
            <w:pPr>
              <w:pStyle w:val="Compact"/>
            </w:pPr>
            <w:r>
              <w:t xml:space="preserve">H</w:t>
            </w:r>
          </w:p>
        </w:tc>
        <w:tc>
          <w:tcPr/>
          <w:p>
            <w:pPr>
              <w:pStyle w:val="Compact"/>
            </w:pPr>
            <w:r>
              <w:t xml:space="preserve">ITR-40</w:t>
            </w:r>
          </w:p>
        </w:tc>
      </w:tr>
      <w:tr>
        <w:tc>
          <w:tcPr/>
          <w:p>
            <w:pPr>
              <w:pStyle w:val="Compact"/>
            </w:pPr>
            <w:r>
              <w:t xml:space="preserve">Pre-energization Review</w:t>
            </w:r>
          </w:p>
        </w:tc>
        <w:tc>
          <w:tcPr/>
          <w:p>
            <w:pPr>
              <w:pStyle w:val="Compact"/>
            </w:pPr>
            <w:r>
              <w:t xml:space="preserve">Docs complete, permits, LOTO</w:t>
            </w:r>
          </w:p>
        </w:tc>
        <w:tc>
          <w:tcPr/>
          <w:p>
            <w:pPr>
              <w:pStyle w:val="Compact"/>
            </w:pPr>
            <w:r>
              <w:t xml:space="preserve">H</w:t>
            </w:r>
          </w:p>
        </w:tc>
        <w:tc>
          <w:tcPr/>
          <w:p>
            <w:pPr>
              <w:pStyle w:val="Compact"/>
            </w:pPr>
            <w:r>
              <w:t xml:space="preserve">ITR-50</w:t>
            </w:r>
          </w:p>
        </w:tc>
      </w:tr>
    </w:tbl>
    <w:bookmarkStart w:id="96" w:name="step-by-step-itp-execution"/>
    <w:p>
      <w:pPr>
        <w:pStyle w:val="Heading3"/>
      </w:pPr>
      <w:r>
        <w:t xml:space="preserve">Step-by-Step ITP Execution</w:t>
      </w:r>
    </w:p>
    <w:p>
      <w:pPr>
        <w:pStyle w:val="Compact"/>
        <w:numPr>
          <w:ilvl w:val="0"/>
          <w:numId w:val="1059"/>
        </w:numPr>
      </w:pPr>
      <w:r>
        <w:t xml:space="preserve">Define stages and checkpoints; map to ITR forms/evidence; align with regulatory/legalisation needs.</w:t>
      </w:r>
    </w:p>
    <w:p>
      <w:pPr>
        <w:pStyle w:val="Compact"/>
        <w:numPr>
          <w:ilvl w:val="0"/>
          <w:numId w:val="1059"/>
        </w:numPr>
      </w:pPr>
      <w:r>
        <w:t xml:space="preserve">Schedule holds/witnesses; send invites; prepare checklists; ensure calibrated tools available.</w:t>
      </w:r>
    </w:p>
    <w:p>
      <w:pPr>
        <w:pStyle w:val="Compact"/>
        <w:numPr>
          <w:ilvl w:val="0"/>
          <w:numId w:val="1059"/>
        </w:numPr>
      </w:pPr>
      <w:r>
        <w:t xml:space="preserve">Execute checks; capture photo/video evidence; log NCRs and corrective actions with due dates/owners.</w:t>
      </w:r>
    </w:p>
    <w:p>
      <w:pPr>
        <w:pStyle w:val="Compact"/>
        <w:numPr>
          <w:ilvl w:val="0"/>
          <w:numId w:val="1059"/>
        </w:numPr>
      </w:pPr>
      <w:r>
        <w:t xml:space="preserve">Weekly QA review; compile packs; produce readiness for energization status.</w:t>
      </w:r>
    </w:p>
    <w:bookmarkEnd w:id="96"/>
    <w:bookmarkEnd w:id="97"/>
    <w:bookmarkStart w:id="99" w:name="hse-rams-summary"/>
    <w:p>
      <w:pPr>
        <w:pStyle w:val="Heading2"/>
      </w:pPr>
      <w:r>
        <w:t xml:space="preserve">HSE &amp; RAMS Summary</w:t>
      </w:r>
    </w:p>
    <w:p>
      <w:pPr>
        <w:pStyle w:val="Compact"/>
        <w:numPr>
          <w:ilvl w:val="0"/>
          <w:numId w:val="1060"/>
        </w:numPr>
      </w:pPr>
      <w:r>
        <w:t xml:space="preserve">No energized work; LOTO mandatory; PTW process per TiN.</w:t>
      </w:r>
    </w:p>
    <w:p>
      <w:pPr>
        <w:pStyle w:val="Compact"/>
        <w:numPr>
          <w:ilvl w:val="0"/>
          <w:numId w:val="1060"/>
        </w:numPr>
      </w:pPr>
      <w:r>
        <w:t xml:space="preserve">Confined space/duct entry controls; lifting plans for drums; hot work permits if any.</w:t>
      </w:r>
    </w:p>
    <w:p>
      <w:pPr>
        <w:pStyle w:val="Compact"/>
        <w:numPr>
          <w:ilvl w:val="0"/>
          <w:numId w:val="1060"/>
        </w:numPr>
      </w:pPr>
      <w:r>
        <w:t xml:space="preserve">Environmental: dewatering controls, spill kits, waste disposal; corrosion mitigation (C5M).</w:t>
      </w:r>
    </w:p>
    <w:bookmarkStart w:id="98" w:name="step-by-step-hse-controls"/>
    <w:p>
      <w:pPr>
        <w:pStyle w:val="Heading3"/>
      </w:pPr>
      <w:r>
        <w:t xml:space="preserve">Step-by-Step HSE Controls</w:t>
      </w:r>
    </w:p>
    <w:p>
      <w:pPr>
        <w:pStyle w:val="Compact"/>
        <w:numPr>
          <w:ilvl w:val="0"/>
          <w:numId w:val="1061"/>
        </w:numPr>
      </w:pPr>
      <w:r>
        <w:t xml:space="preserve">Job hazard analysis and RAMS approval; permit types identified (PTW, confined space, hot work, lifting).</w:t>
      </w:r>
    </w:p>
    <w:p>
      <w:pPr>
        <w:pStyle w:val="Compact"/>
        <w:numPr>
          <w:ilvl w:val="0"/>
          <w:numId w:val="1061"/>
        </w:numPr>
      </w:pPr>
      <w:r>
        <w:t xml:space="preserve">Daily toolbox talks; verify PTW/LOTO; PPE checks; dynamic risk updates for weather.</w:t>
      </w:r>
    </w:p>
    <w:p>
      <w:pPr>
        <w:pStyle w:val="Compact"/>
        <w:numPr>
          <w:ilvl w:val="0"/>
          <w:numId w:val="1061"/>
        </w:numPr>
      </w:pPr>
      <w:r>
        <w:t xml:space="preserve">Supervision of high-risk tasks (confined space/lifting); stop-work authority enforced; rescue plans briefed.</w:t>
      </w:r>
    </w:p>
    <w:p>
      <w:pPr>
        <w:pStyle w:val="Compact"/>
        <w:numPr>
          <w:ilvl w:val="0"/>
          <w:numId w:val="1061"/>
        </w:numPr>
      </w:pPr>
      <w:r>
        <w:t xml:space="preserve">Incident/near-miss reporting; weekly HSE metrics; lessons learned and corrective actions.</w:t>
      </w:r>
    </w:p>
    <w:p>
      <w:r>
        <w:pict>
          <v:rect style="width:0;height:1.5pt" o:hralign="center" o:hrstd="t" o:hr="t"/>
        </w:pict>
      </w:r>
    </w:p>
    <w:bookmarkEnd w:id="98"/>
    <w:bookmarkEnd w:id="99"/>
    <w:bookmarkStart w:id="105" w:name="Xbb3071aed600c82c96e389ba73d654e41fade71"/>
    <w:p>
      <w:pPr>
        <w:pStyle w:val="Heading2"/>
      </w:pPr>
      <w:r>
        <w:t xml:space="preserve">Engineering Calculations &amp; Acceptance Criteria (Electrical)</w:t>
      </w:r>
    </w:p>
    <w:bookmarkStart w:id="100" w:name="X135f9f873710df29e533c79d7f59ef71b082420"/>
    <w:p>
      <w:pPr>
        <w:pStyle w:val="Heading3"/>
      </w:pPr>
      <w:r>
        <w:t xml:space="preserve">MV Cable Sizing &amp; Volt Drop (example criteria)</w:t>
      </w:r>
    </w:p>
    <w:p>
      <w:pPr>
        <w:pStyle w:val="Compact"/>
        <w:numPr>
          <w:ilvl w:val="0"/>
          <w:numId w:val="1062"/>
        </w:numPr>
      </w:pPr>
      <w:r>
        <w:t xml:space="preserve">Design current Ib from ZPMC load; select cable with Iz ≥ Ib·k (derating for ambient, grouping).</w:t>
      </w:r>
    </w:p>
    <w:p>
      <w:pPr>
        <w:pStyle w:val="Compact"/>
        <w:numPr>
          <w:ilvl w:val="0"/>
          <w:numId w:val="1062"/>
        </w:numPr>
      </w:pPr>
      <w:r>
        <w:t xml:space="preserve">Short-circuit check: I²t withstand vs prospective Ik’’; verify thermal/mechanical withstand per IEC 60949.</w:t>
      </w:r>
    </w:p>
    <w:p>
      <w:pPr>
        <w:pStyle w:val="Compact"/>
        <w:numPr>
          <w:ilvl w:val="0"/>
          <w:numId w:val="1062"/>
        </w:numPr>
      </w:pPr>
      <w:r>
        <w:t xml:space="preserve">Volt drop: ΔV = I·(R·cosφ + X·sinφ)·L. Acceptance: ≤ 5% at full load feeder end (project criterion), ≤ 3% typical.</w:t>
      </w:r>
    </w:p>
    <w:p>
      <w:pPr>
        <w:pStyle w:val="Compact"/>
        <w:numPr>
          <w:ilvl w:val="0"/>
          <w:numId w:val="1062"/>
        </w:numPr>
      </w:pPr>
      <w:r>
        <w:t xml:space="preserve">Termination torque per manufacturer; record in torque log.</w:t>
      </w:r>
    </w:p>
    <w:bookmarkEnd w:id="100"/>
    <w:bookmarkStart w:id="101" w:name="X5c46ebd48635bd267602e6da49609978c28f1bf"/>
    <w:p>
      <w:pPr>
        <w:pStyle w:val="Heading3"/>
      </w:pPr>
      <w:r>
        <w:t xml:space="preserve">Protection Coordination (per TiN settings and relay capabilities)</w:t>
      </w:r>
    </w:p>
    <w:p>
      <w:pPr>
        <w:pStyle w:val="Compact"/>
        <w:numPr>
          <w:ilvl w:val="0"/>
          <w:numId w:val="1063"/>
        </w:numPr>
      </w:pPr>
      <w:r>
        <w:t xml:space="preserve">Base settings on TiN STS MV switchgear protection setting sheet:</w:t>
      </w:r>
      <w:r>
        <w:t xml:space="preserve"> </w:t>
      </w:r>
      <w:hyperlink r:id="rId49">
        <w:r>
          <w:rPr>
            <w:rStyle w:val="Hyperlink"/>
          </w:rPr>
          <w:t xml:space="preserve">open</w:t>
        </w:r>
      </w:hyperlink>
      <w:r>
        <w:t xml:space="preserve">.</w:t>
      </w:r>
    </w:p>
    <w:p>
      <w:pPr>
        <w:pStyle w:val="Compact"/>
        <w:numPr>
          <w:ilvl w:val="0"/>
          <w:numId w:val="1063"/>
        </w:numPr>
      </w:pPr>
      <w:r>
        <w:t xml:space="preserve">Verify time-current coordination using relay curves/features; record relay model and firmware per vendor doc:</w:t>
      </w:r>
      <w:r>
        <w:t xml:space="preserve"> </w:t>
      </w:r>
      <w:hyperlink r:id="rId50">
        <w:r>
          <w:rPr>
            <w:rStyle w:val="Hyperlink"/>
          </w:rPr>
          <w:t xml:space="preserve">open</w:t>
        </w:r>
      </w:hyperlink>
      <w:r>
        <w:t xml:space="preserve">.</w:t>
      </w:r>
    </w:p>
    <w:p>
      <w:pPr>
        <w:pStyle w:val="Compact"/>
        <w:numPr>
          <w:ilvl w:val="0"/>
          <w:numId w:val="1063"/>
        </w:numPr>
      </w:pPr>
      <w:r>
        <w:t xml:space="preserve">Interface with employer-supplied UniGear ZS1 switchgear; maintain clearances/interlocks per panel data:</w:t>
      </w:r>
      <w:r>
        <w:t xml:space="preserve"> </w:t>
      </w:r>
      <w:hyperlink r:id="rId51">
        <w:r>
          <w:rPr>
            <w:rStyle w:val="Hyperlink"/>
          </w:rPr>
          <w:t xml:space="preserve">open</w:t>
        </w:r>
      </w:hyperlink>
      <w:r>
        <w:t xml:space="preserve">. Final setting sign-off by TiN.</w:t>
      </w:r>
    </w:p>
    <w:p>
      <w:pPr>
        <w:pStyle w:val="Compact"/>
        <w:numPr>
          <w:ilvl w:val="0"/>
          <w:numId w:val="1063"/>
        </w:numPr>
      </w:pPr>
      <w:r>
        <w:t xml:space="preserve">Execute secondary injection and logic checks; witness and record ITRs with instrument serials.</w:t>
      </w:r>
    </w:p>
    <w:bookmarkEnd w:id="101"/>
    <w:bookmarkStart w:id="102" w:name="X7cf9597f6679614872e8360f3bc2f01456e5916"/>
    <w:p>
      <w:pPr>
        <w:pStyle w:val="Heading3"/>
      </w:pPr>
      <w:r>
        <w:t xml:space="preserve">Short-circuit Envelope (TiN calc – 50 mm² trailing cable)</w:t>
      </w:r>
    </w:p>
    <w:p>
      <w:pPr>
        <w:pStyle w:val="FirstParagraph"/>
      </w:pPr>
      <w:r>
        <w:t xml:space="preserve">We adopt the TiN short-circuit calculation as the governing fault envelope for thermal/mechanical withstand checks (IEC 60949) and relay pickup/time-dial margining. Values will be rechecked against as-built impedances before energization:</w:t>
      </w:r>
      <w:r>
        <w:t xml:space="preserve"> </w:t>
      </w:r>
      <w:hyperlink r:id="rId52">
        <w:r>
          <w:rPr>
            <w:rStyle w:val="Hyperlink"/>
          </w:rPr>
          <w:t xml:space="preserve">open</w:t>
        </w:r>
      </w:hyperlink>
      <w:r>
        <w:t xml:space="preserve">.</w:t>
      </w:r>
    </w:p>
    <w:bookmarkEnd w:id="102"/>
    <w:bookmarkStart w:id="103" w:name="transformer-data-influence"/>
    <w:p>
      <w:pPr>
        <w:pStyle w:val="Heading3"/>
      </w:pPr>
      <w:r>
        <w:t xml:space="preserve">Transformer Data Influence</w:t>
      </w:r>
    </w:p>
    <w:p>
      <w:pPr>
        <w:pStyle w:val="Compact"/>
        <w:numPr>
          <w:ilvl w:val="0"/>
          <w:numId w:val="1064"/>
        </w:numPr>
      </w:pPr>
      <w:r>
        <w:t xml:space="preserve">STS Main transformer datasheet informs prospective short-circuit at MV bus and voltage regulation:</w:t>
      </w:r>
      <w:r>
        <w:t xml:space="preserve"> </w:t>
      </w:r>
      <w:hyperlink r:id="rId46">
        <w:r>
          <w:rPr>
            <w:rStyle w:val="Hyperlink"/>
          </w:rPr>
          <w:t xml:space="preserve">open</w:t>
        </w:r>
      </w:hyperlink>
      <w:r>
        <w:t xml:space="preserve">.</w:t>
      </w:r>
    </w:p>
    <w:p>
      <w:pPr>
        <w:pStyle w:val="Compact"/>
        <w:numPr>
          <w:ilvl w:val="0"/>
          <w:numId w:val="1064"/>
        </w:numPr>
      </w:pPr>
      <w:r>
        <w:t xml:space="preserve">STS Auxiliary transformer datasheet constrains auxiliary loading assumptions:</w:t>
      </w:r>
      <w:r>
        <w:t xml:space="preserve"> </w:t>
      </w:r>
      <w:hyperlink r:id="rId47">
        <w:r>
          <w:rPr>
            <w:rStyle w:val="Hyperlink"/>
          </w:rPr>
          <w:t xml:space="preserve">open</w:t>
        </w:r>
      </w:hyperlink>
      <w:r>
        <w:t xml:space="preserve">.</w:t>
      </w:r>
    </w:p>
    <w:p>
      <w:pPr>
        <w:pStyle w:val="Compact"/>
        <w:numPr>
          <w:ilvl w:val="0"/>
          <w:numId w:val="1064"/>
        </w:numPr>
      </w:pPr>
      <w:r>
        <w:t xml:space="preserve">ABB cast-coil transformer datasheet supports auxiliary distribution considerations where applicable:</w:t>
      </w:r>
      <w:r>
        <w:t xml:space="preserve"> </w:t>
      </w:r>
      <w:hyperlink r:id="rId48">
        <w:r>
          <w:rPr>
            <w:rStyle w:val="Hyperlink"/>
          </w:rPr>
          <w:t xml:space="preserve">open</w:t>
        </w:r>
      </w:hyperlink>
      <w:r>
        <w:t xml:space="preserve">.</w:t>
      </w:r>
    </w:p>
    <w:bookmarkEnd w:id="103"/>
    <w:bookmarkStart w:id="104" w:name="earthing-bonding"/>
    <w:p>
      <w:pPr>
        <w:pStyle w:val="Heading3"/>
      </w:pPr>
      <w:r>
        <w:t xml:space="preserve">Earthing &amp; Bonding</w:t>
      </w:r>
    </w:p>
    <w:p>
      <w:pPr>
        <w:pStyle w:val="Compact"/>
        <w:numPr>
          <w:ilvl w:val="0"/>
          <w:numId w:val="1065"/>
        </w:numPr>
      </w:pPr>
      <w:r>
        <w:t xml:space="preserve">Target earth resistance and step/touch voltage compliance per IEC 61936-1; continuity test ≤ 1 Ω pit-to-grid.</w:t>
      </w:r>
    </w:p>
    <w:p>
      <w:pPr>
        <w:pStyle w:val="Compact"/>
        <w:numPr>
          <w:ilvl w:val="0"/>
          <w:numId w:val="1065"/>
        </w:numPr>
      </w:pPr>
      <w:r>
        <w:t xml:space="preserve">Sheath bonding scheme to avoid circulating currents; bond drums/JBs to grid with labeled test links.</w:t>
      </w:r>
    </w:p>
    <w:bookmarkEnd w:id="104"/>
    <w:bookmarkEnd w:id="105"/>
    <w:bookmarkStart w:id="106" w:name="Xe982b022b2d0d74966da0d52560acea9dbbb281"/>
    <w:p>
      <w:pPr>
        <w:pStyle w:val="Heading2"/>
      </w:pPr>
      <w:r>
        <w:t xml:space="preserve">Hardware Bill of Materials (Electrical — representative)</w:t>
      </w:r>
    </w:p>
    <w:p>
      <w:pPr>
        <w:pStyle w:val="Compact"/>
        <w:numPr>
          <w:ilvl w:val="0"/>
          <w:numId w:val="1066"/>
        </w:numPr>
      </w:pPr>
      <w:r>
        <w:t xml:space="preserve">MV termination/joint kits (e.g., Raychem/3M, IEC 60502-2 type-tested).</w:t>
      </w:r>
    </w:p>
    <w:p>
      <w:pPr>
        <w:pStyle w:val="Compact"/>
        <w:numPr>
          <w:ilvl w:val="0"/>
          <w:numId w:val="1066"/>
        </w:numPr>
      </w:pPr>
      <w:r>
        <w:t xml:space="preserve">SS enclosures IP67/IK10, C5M (e.g., Rittal/Rose) with breathers and gland plates.</w:t>
      </w:r>
    </w:p>
    <w:p>
      <w:pPr>
        <w:pStyle w:val="Compact"/>
        <w:numPr>
          <w:ilvl w:val="0"/>
          <w:numId w:val="1066"/>
        </w:numPr>
      </w:pPr>
      <w:r>
        <w:t xml:space="preserve">Test equipment: insulation tester, VLF set; thermal camera for scans.</w:t>
      </w:r>
    </w:p>
    <w:bookmarkEnd w:id="106"/>
    <w:bookmarkStart w:id="107" w:name="software-tooling"/>
    <w:p>
      <w:pPr>
        <w:pStyle w:val="Heading2"/>
      </w:pPr>
      <w:r>
        <w:t xml:space="preserve">Software &amp; Tooling</w:t>
      </w:r>
    </w:p>
    <w:p>
      <w:pPr>
        <w:pStyle w:val="Compact"/>
        <w:numPr>
          <w:ilvl w:val="0"/>
          <w:numId w:val="1067"/>
        </w:numPr>
      </w:pPr>
      <w:r>
        <w:t xml:space="preserve">ETAP/EasyPower for coordination; AutoCAD for drawings; SharePoint/Confluence for document control.</w:t>
      </w:r>
    </w:p>
    <w:bookmarkEnd w:id="107"/>
    <w:bookmarkStart w:id="108" w:name="work-breakdown-structure-wbs"/>
    <w:p>
      <w:pPr>
        <w:pStyle w:val="Heading2"/>
      </w:pPr>
      <w:r>
        <w:t xml:space="preserve">Work Breakdown Structure (WBS)</w:t>
      </w:r>
    </w:p>
    <w:p>
      <w:pPr>
        <w:pStyle w:val="Compact"/>
        <w:numPr>
          <w:ilvl w:val="0"/>
          <w:numId w:val="1068"/>
        </w:numPr>
      </w:pPr>
      <w:r>
        <w:t xml:space="preserve">Project Initiation</w:t>
      </w:r>
      <w:r>
        <w:t xml:space="preserve"> </w:t>
      </w:r>
      <w:r>
        <w:t xml:space="preserve">1.1 Kick-off, 1.2 Safety file, 1.3 Survey &amp; data collection, 1.4 Risk workshop</w:t>
      </w:r>
    </w:p>
    <w:p>
      <w:pPr>
        <w:pStyle w:val="Compact"/>
        <w:numPr>
          <w:ilvl w:val="0"/>
          <w:numId w:val="1068"/>
        </w:numPr>
      </w:pPr>
      <w:r>
        <w:t xml:space="preserve">Design</w:t>
      </w:r>
      <w:r>
        <w:t xml:space="preserve"> </w:t>
      </w:r>
      <w:r>
        <w:t xml:space="preserve">2.1 SLDs, 2.2 JB/Drum GA, 2.3 Cable sizing/VD, 2.4 Coordination settings, 2.5 ITPs/MoMs</w:t>
      </w:r>
    </w:p>
    <w:p>
      <w:pPr>
        <w:pStyle w:val="Compact"/>
        <w:numPr>
          <w:ilvl w:val="0"/>
          <w:numId w:val="1068"/>
        </w:numPr>
      </w:pPr>
      <w:r>
        <w:t xml:space="preserve">Procurement</w:t>
      </w:r>
      <w:r>
        <w:t xml:space="preserve"> </w:t>
      </w:r>
      <w:r>
        <w:t xml:space="preserve">3.1 RFQs, 3.2 Tech eval, 3.3 POs, 3.4 FAT/certificates, 3.5 Logistics</w:t>
      </w:r>
    </w:p>
    <w:p>
      <w:pPr>
        <w:pStyle w:val="Compact"/>
        <w:numPr>
          <w:ilvl w:val="0"/>
          <w:numId w:val="1068"/>
        </w:numPr>
      </w:pPr>
      <w:r>
        <w:t xml:space="preserve">Installation</w:t>
      </w:r>
      <w:r>
        <w:t xml:space="preserve"> </w:t>
      </w:r>
      <w:r>
        <w:t xml:space="preserve">4.1 MV STS04 migration, 4.2 CTP6 JBs/drums, 4.3 Earthing/labels</w:t>
      </w:r>
    </w:p>
    <w:p>
      <w:pPr>
        <w:pStyle w:val="Compact"/>
        <w:numPr>
          <w:ilvl w:val="0"/>
          <w:numId w:val="1068"/>
        </w:numPr>
      </w:pPr>
      <w:r>
        <w:t xml:space="preserve">Testing &amp; Commissioning</w:t>
      </w:r>
      <w:r>
        <w:t xml:space="preserve"> </w:t>
      </w:r>
      <w:r>
        <w:t xml:space="preserve">5.1 MV IR/VLF, 5.2 Protection verification</w:t>
      </w:r>
    </w:p>
    <w:p>
      <w:pPr>
        <w:pStyle w:val="Compact"/>
        <w:numPr>
          <w:ilvl w:val="0"/>
          <w:numId w:val="1068"/>
        </w:numPr>
      </w:pPr>
      <w:r>
        <w:t xml:space="preserve">Handover &amp; Legalisation</w:t>
      </w:r>
      <w:r>
        <w:t xml:space="preserve"> </w:t>
      </w:r>
      <w:r>
        <w:t xml:space="preserve">6.1 As-builts, 6.2 O&amp;M/training, 6.3 Dossier, 6.4 Punch list close</w:t>
      </w:r>
    </w:p>
    <w:bookmarkEnd w:id="108"/>
    <w:bookmarkStart w:id="111" w:name="Xcc6acf4f31a70b09bc22662f71fa6f5c092a564"/>
    <w:p>
      <w:pPr>
        <w:pStyle w:val="Heading2"/>
      </w:pPr>
      <w:r>
        <w:t xml:space="preserve">Acceptance Test Procedures (ATP) – Checklists</w:t>
      </w:r>
    </w:p>
    <w:p>
      <w:pPr>
        <w:pStyle w:val="SourceCode"/>
      </w:pPr>
      <w:r>
        <w:rPr>
          <w:rStyle w:val="VerbatimChar"/>
        </w:rPr>
        <w:t xml:space="preserve">[Pre-Checks] -&gt; [Visual/Mechanical] -&gt; [Electrical Tests] -&gt; [Protection Verify] -&gt; [Functional] -&gt; [ATP Sign-off]</w:t>
      </w:r>
    </w:p>
    <w:bookmarkStart w:id="109" w:name="mv"/>
    <w:p>
      <w:pPr>
        <w:pStyle w:val="Heading3"/>
      </w:pPr>
      <w:r>
        <w:t xml:space="preserve">MV</w:t>
      </w:r>
    </w:p>
    <w:p>
      <w:pPr>
        <w:pStyle w:val="Compact"/>
        <w:numPr>
          <w:ilvl w:val="0"/>
          <w:numId w:val="1069"/>
        </w:numPr>
      </w:pPr>
      <w:r>
        <w:t xml:space="preserve">Visual/ID: correct labels/IDs; hardware present; door seals/gaskets intact; photos captured.</w:t>
      </w:r>
    </w:p>
    <w:p>
      <w:pPr>
        <w:pStyle w:val="Compact"/>
        <w:numPr>
          <w:ilvl w:val="0"/>
          <w:numId w:val="1069"/>
        </w:numPr>
      </w:pPr>
      <w:r>
        <w:t xml:space="preserve">Mechanical: torque values checked against spec; earthing bonds verified; gland seals intact.</w:t>
      </w:r>
    </w:p>
    <w:p>
      <w:pPr>
        <w:pStyle w:val="Compact"/>
        <w:numPr>
          <w:ilvl w:val="0"/>
          <w:numId w:val="1069"/>
        </w:numPr>
      </w:pPr>
      <w:r>
        <w:t xml:space="preserve">Electrical: IR per core and to earth (temp-corrected); continuity and phase ID; VLF/withstand at rating/duration.</w:t>
      </w:r>
    </w:p>
    <w:p>
      <w:pPr>
        <w:pStyle w:val="Compact"/>
        <w:numPr>
          <w:ilvl w:val="0"/>
          <w:numId w:val="1069"/>
        </w:numPr>
      </w:pPr>
      <w:r>
        <w:t xml:space="preserve">Protection: secondary injection tests; trip logic and interlocks; settings cross-checked with approved sheet.</w:t>
      </w:r>
    </w:p>
    <w:p>
      <w:pPr>
        <w:pStyle w:val="Compact"/>
        <w:numPr>
          <w:ilvl w:val="0"/>
          <w:numId w:val="1069"/>
        </w:numPr>
      </w:pPr>
      <w:r>
        <w:t xml:space="preserve">Evidence: ITR forms completed; instrument serials and calibration dates recorded.</w:t>
      </w:r>
    </w:p>
    <w:bookmarkEnd w:id="109"/>
    <w:bookmarkStart w:id="110" w:name="documentation"/>
    <w:p>
      <w:pPr>
        <w:pStyle w:val="Heading3"/>
      </w:pPr>
      <w:r>
        <w:t xml:space="preserve">Documentation</w:t>
      </w:r>
    </w:p>
    <w:p>
      <w:pPr>
        <w:pStyle w:val="Compact"/>
        <w:numPr>
          <w:ilvl w:val="0"/>
          <w:numId w:val="1070"/>
        </w:numPr>
      </w:pPr>
      <w:r>
        <w:t xml:space="preserve">As-builts: SLDs, pit GA, termination schedules updated to</w:t>
      </w:r>
      <w:r>
        <w:t xml:space="preserve"> </w:t>
      </w:r>
      <w:r>
        <w:t xml:space="preserve">‘As-built’</w:t>
      </w:r>
      <w:r>
        <w:t xml:space="preserve"> </w:t>
      </w:r>
      <w:r>
        <w:t xml:space="preserve">revision.</w:t>
      </w:r>
    </w:p>
    <w:p>
      <w:pPr>
        <w:pStyle w:val="Compact"/>
        <w:numPr>
          <w:ilvl w:val="0"/>
          <w:numId w:val="1070"/>
        </w:numPr>
      </w:pPr>
      <w:r>
        <w:t xml:space="preserve">Test packs: IR/VLF traces, protection reports, torque logs compiled and indexed.</w:t>
      </w:r>
    </w:p>
    <w:p>
      <w:pPr>
        <w:pStyle w:val="Compact"/>
        <w:numPr>
          <w:ilvl w:val="0"/>
          <w:numId w:val="1070"/>
        </w:numPr>
      </w:pPr>
      <w:r>
        <w:t xml:space="preserve">Asset register: tags/serials/locations updated; QR codes validated on site.</w:t>
      </w:r>
    </w:p>
    <w:p>
      <w:pPr>
        <w:pStyle w:val="Compact"/>
        <w:numPr>
          <w:ilvl w:val="0"/>
          <w:numId w:val="1070"/>
        </w:numPr>
      </w:pPr>
      <w:r>
        <w:t xml:space="preserve">Training: attendance sheets, agenda, materials archived; feedback logged.</w:t>
      </w:r>
    </w:p>
    <w:p>
      <w:pPr>
        <w:pStyle w:val="Compact"/>
        <w:numPr>
          <w:ilvl w:val="0"/>
          <w:numId w:val="1070"/>
        </w:numPr>
      </w:pPr>
      <w:r>
        <w:t xml:space="preserve">Acceptance: punch list closed or formally agreed; sign-off certificates filed.</w:t>
      </w:r>
    </w:p>
    <w:bookmarkEnd w:id="110"/>
    <w:bookmarkEnd w:id="111"/>
    <w:bookmarkStart w:id="112" w:name="spares-om-electrical"/>
    <w:p>
      <w:pPr>
        <w:pStyle w:val="Heading2"/>
      </w:pPr>
      <w:r>
        <w:t xml:space="preserve">Spares &amp; O&amp;M (Electrical)</w:t>
      </w:r>
    </w:p>
    <w:p>
      <w:pPr>
        <w:pStyle w:val="Compact"/>
        <w:numPr>
          <w:ilvl w:val="0"/>
          <w:numId w:val="1071"/>
        </w:numPr>
      </w:pPr>
      <w:r>
        <w:t xml:space="preserve">MV spares: 2× termination kits (per core size/rating), 1× joint kit, labels set, spare glands/seals; stored in controlled environment with inventory log.</w:t>
      </w:r>
    </w:p>
    <w:p>
      <w:pPr>
        <w:pStyle w:val="Compact"/>
        <w:numPr>
          <w:ilvl w:val="0"/>
          <w:numId w:val="1071"/>
        </w:numPr>
      </w:pPr>
      <w:r>
        <w:t xml:space="preserve">Critical consumables: approved lubricant, cleaning alcohols, wipes, desiccants, anti-tracking sleeves.</w:t>
      </w:r>
    </w:p>
    <w:p>
      <w:pPr>
        <w:pStyle w:val="Compact"/>
        <w:numPr>
          <w:ilvl w:val="0"/>
          <w:numId w:val="1071"/>
        </w:numPr>
      </w:pPr>
      <w:r>
        <w:t xml:space="preserve">Preventive maintenance: quarterly visual/door seal check; annual torque sample check; 12–24 month thermal scan under load; breathers/filters inspection.</w:t>
      </w:r>
    </w:p>
    <w:p>
      <w:pPr>
        <w:pStyle w:val="Compact"/>
        <w:numPr>
          <w:ilvl w:val="0"/>
          <w:numId w:val="1071"/>
        </w:numPr>
      </w:pPr>
      <w:r>
        <w:t xml:space="preserve">Documentation updates: maintain service records, update asset register after interventions, refresh labels as needed.</w:t>
      </w:r>
    </w:p>
    <w:bookmarkEnd w:id="112"/>
    <w:bookmarkStart w:id="114" w:name="training-plan"/>
    <w:p>
      <w:pPr>
        <w:pStyle w:val="Heading2"/>
      </w:pPr>
      <w:r>
        <w:t xml:space="preserve">Training Plan</w:t>
      </w:r>
    </w:p>
    <w:bookmarkStart w:id="113" w:name="modules-outcomes"/>
    <w:p>
      <w:pPr>
        <w:pStyle w:val="Heading3"/>
      </w:pPr>
      <w:r>
        <w:t xml:space="preserve">Modules &amp; Outcomes</w:t>
      </w:r>
    </w:p>
    <w:p>
      <w:pPr>
        <w:pStyle w:val="Compact"/>
        <w:numPr>
          <w:ilvl w:val="0"/>
          <w:numId w:val="1072"/>
        </w:numPr>
      </w:pPr>
      <w:r>
        <w:t xml:space="preserve">Operator (4h): isolation/energization sequence; labeling and inspections; outcomes: demonstrate LOTO, verify phase rotation; assessment: practical demo.</w:t>
      </w:r>
    </w:p>
    <w:p>
      <w:pPr>
        <w:pStyle w:val="Compact"/>
        <w:numPr>
          <w:ilvl w:val="0"/>
          <w:numId w:val="1072"/>
        </w:numPr>
      </w:pPr>
      <w:r>
        <w:t xml:space="preserve">Maintenance (6h): termination inspection, earthing checks, torque verification; outcomes: complete sample ITR; assessment: supervised checklist.</w:t>
      </w:r>
    </w:p>
    <w:p>
      <w:pPr>
        <w:pStyle w:val="Compact"/>
        <w:numPr>
          <w:ilvl w:val="0"/>
          <w:numId w:val="1072"/>
        </w:numPr>
      </w:pPr>
      <w:r>
        <w:t xml:space="preserve">Documentation &amp; HSE (2h): records, permits, PPE, incident reporting; outcomes: complete PTW and toolbox forms; assessment: quiz + form review.</w:t>
      </w:r>
      <w:r>
        <w:t xml:space="preserve"> </w:t>
      </w:r>
      <w:r>
        <w:t xml:space="preserve">### Training Artefacts</w:t>
      </w:r>
    </w:p>
    <w:p>
      <w:pPr>
        <w:pStyle w:val="Compact"/>
        <w:numPr>
          <w:ilvl w:val="0"/>
          <w:numId w:val="1072"/>
        </w:numPr>
      </w:pPr>
      <w:r>
        <w:t xml:space="preserve">Slides, handouts, checklists, and short video clips; attendance sheet and feedback form archived to dossier.</w:t>
      </w:r>
    </w:p>
    <w:bookmarkEnd w:id="113"/>
    <w:bookmarkEnd w:id="114"/>
    <w:bookmarkStart w:id="118" w:name="warranty-sla"/>
    <w:p>
      <w:pPr>
        <w:pStyle w:val="Heading2"/>
      </w:pPr>
      <w:r>
        <w:t xml:space="preserve">Warranty &amp; SLA</w:t>
      </w:r>
    </w:p>
    <w:bookmarkStart w:id="115" w:name="coverage"/>
    <w:p>
      <w:pPr>
        <w:pStyle w:val="Heading3"/>
      </w:pPr>
      <w:r>
        <w:t xml:space="preserve">Coverage</w:t>
      </w:r>
    </w:p>
    <w:p>
      <w:pPr>
        <w:pStyle w:val="Compact"/>
        <w:numPr>
          <w:ilvl w:val="0"/>
          <w:numId w:val="1073"/>
        </w:numPr>
      </w:pPr>
      <w:r>
        <w:t xml:space="preserve">12 months workmanship/materials from handover (option to extend to 24 months).</w:t>
      </w:r>
    </w:p>
    <w:p>
      <w:pPr>
        <w:pStyle w:val="Compact"/>
        <w:numPr>
          <w:ilvl w:val="0"/>
          <w:numId w:val="1073"/>
        </w:numPr>
      </w:pPr>
      <w:r>
        <w:t xml:space="preserve">Includes replacement of defective workmanship parts, re-termination where required, documentation updates.</w:t>
      </w:r>
      <w:r>
        <w:t xml:space="preserve"> </w:t>
      </w:r>
      <w:r>
        <w:t xml:space="preserve">### Response &amp; Service Levels</w:t>
      </w:r>
      <w:r>
        <w:t xml:space="preserve"> </w:t>
      </w:r>
      <w:r>
        <w:t xml:space="preserve">| Event Type | Remote Response | On-site Response | Rectification Target |</w:t>
      </w:r>
      <w:r>
        <w:t xml:space="preserve"> </w:t>
      </w:r>
      <w:r>
        <w:t xml:space="preserve">|——————-|—————–|——————|———————-|</w:t>
      </w:r>
      <w:r>
        <w:t xml:space="preserve"> </w:t>
      </w:r>
      <w:r>
        <w:t xml:space="preserve">| Critical fault | 4 hours | 24 hours | 2 working days |</w:t>
      </w:r>
      <w:r>
        <w:t xml:space="preserve"> </w:t>
      </w:r>
      <w:r>
        <w:t xml:space="preserve">| Major defect | 1 business day | 48 hours | 5 working days |</w:t>
      </w:r>
      <w:r>
        <w:t xml:space="preserve"> </w:t>
      </w:r>
      <w:r>
        <w:t xml:space="preserve">| Minor snag | 2 business days | As scheduled | Next maintenance |</w:t>
      </w:r>
      <w:r>
        <w:t xml:space="preserve"> </w:t>
      </w:r>
      <w:r>
        <w:t xml:space="preserve">### Exclusions</w:t>
      </w:r>
    </w:p>
    <w:p>
      <w:pPr>
        <w:pStyle w:val="Compact"/>
        <w:numPr>
          <w:ilvl w:val="0"/>
          <w:numId w:val="1073"/>
        </w:numPr>
      </w:pPr>
      <w:r>
        <w:t xml:space="preserve">Damage due to third-party interference, force majeure, or operation outside specification; consumables excluded unless specified.</w:t>
      </w:r>
    </w:p>
    <w:bookmarkEnd w:id="115"/>
    <w:bookmarkStart w:id="116" w:name="step-by-step-warranty-claim-process"/>
    <w:p>
      <w:pPr>
        <w:pStyle w:val="Heading3"/>
      </w:pPr>
      <w:r>
        <w:t xml:space="preserve">Step-by-Step Warranty Claim Process</w:t>
      </w:r>
    </w:p>
    <w:p>
      <w:pPr>
        <w:pStyle w:val="Compact"/>
        <w:numPr>
          <w:ilvl w:val="0"/>
          <w:numId w:val="1074"/>
        </w:numPr>
      </w:pPr>
      <w:r>
        <w:t xml:space="preserve">Notification: customer notifies us in writing/email within warranty period.</w:t>
      </w:r>
    </w:p>
    <w:p>
      <w:pPr>
        <w:pStyle w:val="Compact"/>
        <w:numPr>
          <w:ilvl w:val="0"/>
          <w:numId w:val="1074"/>
        </w:numPr>
      </w:pPr>
      <w:r>
        <w:t xml:space="preserve">Assessment: our team assesses the claim within 24 hours; may request additional information.</w:t>
      </w:r>
    </w:p>
    <w:p>
      <w:pPr>
        <w:pStyle w:val="Compact"/>
        <w:numPr>
          <w:ilvl w:val="0"/>
          <w:numId w:val="1074"/>
        </w:numPr>
      </w:pPr>
      <w:r>
        <w:t xml:space="preserve">Approval: if approved, we provide a claim reference number and assign a technician.</w:t>
      </w:r>
    </w:p>
    <w:p>
      <w:pPr>
        <w:pStyle w:val="Compact"/>
        <w:numPr>
          <w:ilvl w:val="0"/>
          <w:numId w:val="1074"/>
        </w:numPr>
      </w:pPr>
      <w:r>
        <w:t xml:space="preserve">Rectification: technician attends site within agreed timeframe; completes repairs or replacements.</w:t>
      </w:r>
    </w:p>
    <w:p>
      <w:pPr>
        <w:pStyle w:val="Compact"/>
        <w:numPr>
          <w:ilvl w:val="0"/>
          <w:numId w:val="1074"/>
        </w:numPr>
      </w:pPr>
      <w:r>
        <w:t xml:space="preserve">Documentation: updated records and test reports provided to customer.</w:t>
      </w:r>
    </w:p>
    <w:bookmarkEnd w:id="116"/>
    <w:bookmarkStart w:id="117" w:name="sla-performance-metrics"/>
    <w:p>
      <w:pPr>
        <w:pStyle w:val="Heading3"/>
      </w:pPr>
      <w:r>
        <w:t xml:space="preserve">SLA Performance Metrics</w:t>
      </w:r>
    </w:p>
    <w:p>
      <w:pPr>
        <w:pStyle w:val="Compact"/>
        <w:numPr>
          <w:ilvl w:val="0"/>
          <w:numId w:val="1075"/>
        </w:numPr>
      </w:pPr>
      <w:r>
        <w:t xml:space="preserve">Mean Time To Respond (MTTR): average time to respond to events.</w:t>
      </w:r>
    </w:p>
    <w:p>
      <w:pPr>
        <w:pStyle w:val="Compact"/>
        <w:numPr>
          <w:ilvl w:val="0"/>
          <w:numId w:val="1075"/>
        </w:numPr>
      </w:pPr>
      <w:r>
        <w:t xml:space="preserve">Mean Time To Resolve (MTTR): average time to resolve events.</w:t>
      </w:r>
    </w:p>
    <w:p>
      <w:pPr>
        <w:pStyle w:val="Compact"/>
        <w:numPr>
          <w:ilvl w:val="0"/>
          <w:numId w:val="1075"/>
        </w:numPr>
      </w:pPr>
      <w:r>
        <w:t xml:space="preserve">First-Time Fix Rate (FTFR): percentage of events resolved on first visit.</w:t>
      </w:r>
    </w:p>
    <w:bookmarkEnd w:id="117"/>
    <w:bookmarkEnd w:id="118"/>
    <w:bookmarkStart w:id="121" w:name="project-execution-strategy"/>
    <w:p>
      <w:pPr>
        <w:pStyle w:val="Heading2"/>
      </w:pPr>
      <w:r>
        <w:t xml:space="preserve">Project Execution Strategy</w:t>
      </w:r>
    </w:p>
    <w:bookmarkStart w:id="119" w:name="governance-model"/>
    <w:p>
      <w:pPr>
        <w:pStyle w:val="Heading3"/>
      </w:pPr>
      <w:r>
        <w:t xml:space="preserve">Governance Model</w:t>
      </w:r>
    </w:p>
    <w:p>
      <w:pPr>
        <w:pStyle w:val="SourceCode"/>
      </w:pPr>
      <w:r>
        <w:rPr>
          <w:rStyle w:val="VerbatimChar"/>
        </w:rPr>
        <w:t xml:space="preserve">          +---------------+</w:t>
      </w:r>
      <w:r>
        <w:br/>
      </w:r>
      <w:r>
        <w:rPr>
          <w:rStyle w:val="VerbatimChar"/>
        </w:rPr>
        <w:t xml:space="preserve">          |  Project     |</w:t>
      </w:r>
      <w:r>
        <w:br/>
      </w:r>
      <w:r>
        <w:rPr>
          <w:rStyle w:val="VerbatimChar"/>
        </w:rPr>
        <w:t xml:space="preserve">          |  Director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Project Manager       |</w:t>
      </w:r>
      <w:r>
        <w:br/>
      </w:r>
      <w:r>
        <w:rPr>
          <w:rStyle w:val="VerbatimChar"/>
        </w:rPr>
        <w:t xml:space="preserve">|  (Planning, Cost, Risk,      |</w:t>
      </w:r>
      <w:r>
        <w:br/>
      </w:r>
      <w:r>
        <w:rPr>
          <w:rStyle w:val="VerbatimChar"/>
        </w:rPr>
        <w:t xml:space="preserve">|   Change Control, Client Comms)|</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Engineering  |  Site Supervisor  |  HSE Lead    |</w:t>
      </w:r>
      <w:r>
        <w:br/>
      </w:r>
      <w:r>
        <w:rPr>
          <w:rStyle w:val="VerbatimChar"/>
        </w:rPr>
        <w:t xml:space="preserve">|  Lead (SLDs,  |  (Daily Coord,   |  (PTW/LOTO,  |</w:t>
      </w:r>
      <w:r>
        <w:br/>
      </w:r>
      <w:r>
        <w:rPr>
          <w:rStyle w:val="VerbatimChar"/>
        </w:rPr>
        <w:t xml:space="preserve">|  Settings,    |   Permits, TBT)  |   RAMS, Incidents)|</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QA/QC Engineer|  MV Technicians/ |  Logistics   |</w:t>
      </w:r>
      <w:r>
        <w:br/>
      </w:r>
      <w:r>
        <w:rPr>
          <w:rStyle w:val="VerbatimChar"/>
        </w:rPr>
        <w:t xml:space="preserve">|  (ITP Execution,|  Jointers      |  (Materials,  |</w:t>
      </w:r>
      <w:r>
        <w:br/>
      </w:r>
      <w:r>
        <w:rPr>
          <w:rStyle w:val="VerbatimChar"/>
        </w:rPr>
        <w:t xml:space="preserve">|   Records, NCRs)|               |   Equipment)  |</w:t>
      </w:r>
      <w:r>
        <w:br/>
      </w:r>
      <w:r>
        <w:rPr>
          <w:rStyle w:val="VerbatimChar"/>
        </w:rPr>
        <w:t xml:space="preserve">+---------------+---------------+---------------+</w:t>
      </w:r>
    </w:p>
    <w:bookmarkEnd w:id="119"/>
    <w:bookmarkStart w:id="120" w:name="constraints-first-planning"/>
    <w:p>
      <w:pPr>
        <w:pStyle w:val="Heading3"/>
      </w:pPr>
      <w:r>
        <w:t xml:space="preserve">Constraints-First Planning</w:t>
      </w:r>
    </w:p>
    <w:p>
      <w:pPr>
        <w:pStyle w:val="Compact"/>
        <w:numPr>
          <w:ilvl w:val="0"/>
          <w:numId w:val="1076"/>
        </w:numPr>
      </w:pPr>
      <w:r>
        <w:t xml:space="preserve">Identify critical path activities and dependencies.</w:t>
      </w:r>
    </w:p>
    <w:p>
      <w:pPr>
        <w:pStyle w:val="Compact"/>
        <w:numPr>
          <w:ilvl w:val="0"/>
          <w:numId w:val="1076"/>
        </w:numPr>
      </w:pPr>
      <w:r>
        <w:t xml:space="preserve">Schedule around outage windows, crane availability, and access logistics.</w:t>
      </w:r>
    </w:p>
    <w:p>
      <w:pPr>
        <w:pStyle w:val="Compact"/>
        <w:numPr>
          <w:ilvl w:val="0"/>
          <w:numId w:val="1076"/>
        </w:numPr>
      </w:pPr>
      <w:r>
        <w:t xml:space="preserve">Plan for long-lead materials and potential weather delays.</w:t>
      </w:r>
    </w:p>
    <w:bookmarkEnd w:id="120"/>
    <w:bookmarkEnd w:id="121"/>
    <w:bookmarkStart w:id="122" w:name="project-phases-feed"/>
    <w:p>
      <w:pPr>
        <w:pStyle w:val="Heading2"/>
      </w:pPr>
      <w:r>
        <w:t xml:space="preserve">Project Phases &amp; FEED</w:t>
      </w:r>
    </w:p>
    <w:p>
      <w:pPr>
        <w:pStyle w:val="FirstParagraph"/>
      </w:pPr>
      <w:r>
        <w:t xml:space="preserve">The project progresses through the following phases:</w:t>
      </w:r>
      <w:r>
        <w:t xml:space="preserve"> </w:t>
      </w:r>
      <w:r>
        <w:t xml:space="preserve">- Confirm operating scenarios, protection philosophy, and earthing design targets.</w:t>
      </w:r>
      <w:r>
        <w:t xml:space="preserve"> </w:t>
      </w:r>
      <w:r>
        <w:t xml:space="preserve">- Route feasibility (rod/rope, mandrel, CCTV if required) and civil constraints/duct occupancy.</w:t>
      </w:r>
      <w:r>
        <w:t xml:space="preserve"> </w:t>
      </w:r>
      <w:r>
        <w:t xml:space="preserve">- Preliminary cable sizing/VD and short-circuit withstand checks; provisional settings philosophy.</w:t>
      </w:r>
      <w:r>
        <w:t xml:space="preserve"> </w:t>
      </w:r>
      <w:r>
        <w:t xml:space="preserve">- Define labeling schema, tagging, and documentation deliverables; agree interfaces with TiN stakeholders.</w:t>
      </w:r>
      <w:r>
        <w:t xml:space="preserve"> </w:t>
      </w:r>
      <w:r>
        <w:t xml:space="preserve">- Detailed Design &amp; Approvals</w:t>
      </w:r>
      <w:r>
        <w:t xml:space="preserve"> </w:t>
      </w:r>
      <w:r>
        <w:t xml:space="preserve">- Final SLDs, pit GA, termination schedules; earthing/bonding details; torque tables.</w:t>
      </w:r>
      <w:r>
        <w:t xml:space="preserve"> </w:t>
      </w:r>
      <w:r>
        <w:t xml:space="preserve">- ITPs, Method Statements, risk register; setting sheets and coordination curves.</w:t>
      </w:r>
      <w:r>
        <w:t xml:space="preserve"> </w:t>
      </w:r>
      <w:r>
        <w:t xml:space="preserve">- Execution &amp; Commissioning</w:t>
      </w:r>
      <w:r>
        <w:t xml:space="preserve"> </w:t>
      </w:r>
      <w:r>
        <w:t xml:space="preserve">- Mobilisation, installation, inspections, testing, SAT, handover, legalisation.</w:t>
      </w:r>
    </w:p>
    <w:bookmarkEnd w:id="122"/>
    <w:bookmarkStart w:id="123" w:name="part-a-electrical-bill-of-quantities-boq"/>
    <w:p>
      <w:pPr>
        <w:pStyle w:val="Heading2"/>
      </w:pPr>
      <w:r>
        <w:t xml:space="preserve">Part A – Electrical Bill of Quantities (BoQ)</w:t>
      </w:r>
    </w:p>
    <w:tbl>
      <w:tblPr>
        <w:tblStyle w:val="Table"/>
        <w:tblW w:type="pct" w:w="5000"/>
        <w:tblLayout w:type="fixed"/>
        <w:tblLook w:firstRow="1" w:lastRow="0" w:firstColumn="0" w:lastColumn="0" w:noHBand="0" w:noVBand="0" w:val="0020"/>
      </w:tblPr>
      <w:tblGrid>
        <w:gridCol w:w="1262"/>
        <w:gridCol w:w="4132"/>
        <w:gridCol w:w="344"/>
        <w:gridCol w:w="344"/>
        <w:gridCol w:w="1033"/>
        <w:gridCol w:w="803"/>
      </w:tblGrid>
      <w:tr>
        <w:trPr>
          <w:tblHeader w:val="on"/>
        </w:trPr>
        <w:tc>
          <w:tcPr/>
          <w:p>
            <w:pPr>
              <w:pStyle w:val="Compact"/>
            </w:pPr>
            <w:r>
              <w:t xml:space="preserve">Item</w:t>
            </w:r>
          </w:p>
        </w:tc>
        <w:tc>
          <w:tcPr/>
          <w:p>
            <w:pPr>
              <w:pStyle w:val="Compact"/>
            </w:pPr>
            <w:r>
              <w:t xml:space="preserve">Description / Spec</w:t>
            </w:r>
          </w:p>
        </w:tc>
        <w:tc>
          <w:tcPr/>
          <w:p>
            <w:pPr>
              <w:pStyle w:val="Compact"/>
            </w:pPr>
            <w:r>
              <w:t xml:space="preserve">Qty</w:t>
            </w:r>
          </w:p>
        </w:tc>
        <w:tc>
          <w:tcPr/>
          <w:p>
            <w:pPr>
              <w:pStyle w:val="Compact"/>
            </w:pPr>
            <w:r>
              <w:t xml:space="preserve">Unit</w:t>
            </w:r>
          </w:p>
        </w:tc>
        <w:tc>
          <w:tcPr/>
          <w:p>
            <w:pPr>
              <w:pStyle w:val="Compact"/>
            </w:pPr>
            <w:r>
              <w:t xml:space="preserve">Unit Price (USD)</w:t>
            </w:r>
          </w:p>
        </w:tc>
        <w:tc>
          <w:tcPr/>
          <w:p>
            <w:pPr>
              <w:pStyle w:val="Compact"/>
            </w:pPr>
            <w:r>
              <w:t xml:space="preserve">Amount (USD)</w:t>
            </w:r>
          </w:p>
        </w:tc>
      </w:tr>
      <w:tr>
        <w:tc>
          <w:tcPr/>
          <w:p>
            <w:pPr>
              <w:pStyle w:val="Compact"/>
            </w:pPr>
            <w:r>
              <w:t xml:space="preserve">Preliminaries (PM, HSE, QA)</w:t>
            </w:r>
          </w:p>
        </w:tc>
        <w:tc>
          <w:tcPr/>
          <w:p>
            <w:pPr>
              <w:pStyle w:val="Compact"/>
            </w:pPr>
            <w:r>
              <w:t xml:space="preserve">Governance, HSE, QA</w:t>
            </w:r>
          </w:p>
        </w:tc>
        <w:tc>
          <w:tcPr/>
          <w:p>
            <w:pPr>
              <w:pStyle w:val="Compact"/>
            </w:pPr>
            <w:r>
              <w:t xml:space="preserve">1</w:t>
            </w:r>
          </w:p>
        </w:tc>
        <w:tc>
          <w:tcPr/>
          <w:p>
            <w:pPr>
              <w:pStyle w:val="Compact"/>
            </w:pPr>
            <w:r>
              <w:t xml:space="preserve">Lot</w:t>
            </w:r>
          </w:p>
        </w:tc>
        <w:tc>
          <w:tcPr/>
          <w:p>
            <w:pPr>
              <w:pStyle w:val="Compact"/>
            </w:pPr>
            <w:r>
              <w:t xml:space="preserve">$18,500.00</w:t>
            </w:r>
          </w:p>
        </w:tc>
        <w:tc>
          <w:tcPr/>
          <w:p>
            <w:pPr>
              <w:pStyle w:val="Compact"/>
            </w:pPr>
            <w:r>
              <w:t xml:space="preserve">$18,500.00</w:t>
            </w:r>
          </w:p>
        </w:tc>
      </w:tr>
      <w:tr>
        <w:tc>
          <w:tcPr/>
          <w:p>
            <w:pPr>
              <w:pStyle w:val="Compact"/>
            </w:pPr>
            <w:r>
              <w:t xml:space="preserve">Detailed Design &amp; IFC</w:t>
            </w:r>
          </w:p>
        </w:tc>
        <w:tc>
          <w:tcPr/>
          <w:p>
            <w:pPr>
              <w:pStyle w:val="Compact"/>
            </w:pPr>
            <w:r>
              <w:t xml:space="preserve">Detailed design package and IFC approvals</w:t>
            </w:r>
          </w:p>
        </w:tc>
        <w:tc>
          <w:tcPr/>
          <w:p>
            <w:pPr>
              <w:pStyle w:val="Compact"/>
            </w:pPr>
            <w:r>
              <w:t xml:space="preserve">1</w:t>
            </w:r>
          </w:p>
        </w:tc>
        <w:tc>
          <w:tcPr/>
          <w:p>
            <w:pPr>
              <w:pStyle w:val="Compact"/>
            </w:pPr>
            <w:r>
              <w:t xml:space="preserve">Lot</w:t>
            </w:r>
          </w:p>
        </w:tc>
        <w:tc>
          <w:tcPr/>
          <w:p>
            <w:pPr>
              <w:pStyle w:val="Compact"/>
            </w:pPr>
            <w:r>
              <w:t xml:space="preserve">$12,000.00</w:t>
            </w:r>
          </w:p>
        </w:tc>
        <w:tc>
          <w:tcPr/>
          <w:p>
            <w:pPr>
              <w:pStyle w:val="Compact"/>
            </w:pPr>
            <w:r>
              <w:t xml:space="preserve">$12,000.00</w:t>
            </w:r>
          </w:p>
        </w:tc>
      </w:tr>
      <w:tr>
        <w:tc>
          <w:tcPr/>
          <w:p>
            <w:pPr>
              <w:pStyle w:val="Compact"/>
            </w:pPr>
            <w:r>
              <w:t xml:space="preserve">MV Cable</w:t>
            </w:r>
          </w:p>
        </w:tc>
        <w:tc>
          <w:tcPr/>
          <w:p>
            <w:pPr>
              <w:pStyle w:val="Compact"/>
            </w:pPr>
            <w:r>
              <w:t xml:space="preserve">3C Cu XLPE 95 mm², IEC 60502-2, 12/20 kV class (for 11 kV system)</w:t>
            </w:r>
          </w:p>
        </w:tc>
        <w:tc>
          <w:tcPr/>
          <w:p>
            <w:pPr>
              <w:pStyle w:val="Compact"/>
            </w:pPr>
            <w:r>
              <w:t xml:space="preserve">1200</w:t>
            </w:r>
          </w:p>
        </w:tc>
        <w:tc>
          <w:tcPr/>
          <w:p>
            <w:pPr>
              <w:pStyle w:val="Compact"/>
            </w:pPr>
            <w:r>
              <w:t xml:space="preserve">Lm</w:t>
            </w:r>
          </w:p>
        </w:tc>
        <w:tc>
          <w:tcPr/>
          <w:p>
            <w:pPr>
              <w:pStyle w:val="Compact"/>
            </w:pPr>
            <w:r>
              <w:t xml:space="preserve">$85.00</w:t>
            </w:r>
          </w:p>
        </w:tc>
        <w:tc>
          <w:tcPr/>
          <w:p>
            <w:pPr>
              <w:pStyle w:val="Compact"/>
            </w:pPr>
            <w:r>
              <w:t xml:space="preserve">$102,000.00</w:t>
            </w:r>
          </w:p>
        </w:tc>
      </w:tr>
      <w:tr>
        <w:tc>
          <w:tcPr/>
          <w:p>
            <w:pPr>
              <w:pStyle w:val="Compact"/>
            </w:pPr>
            <w:r>
              <w:t xml:space="preserve">MV Termination Kits</w:t>
            </w:r>
          </w:p>
        </w:tc>
        <w:tc>
          <w:tcPr/>
          <w:p>
            <w:pPr>
              <w:pStyle w:val="Compact"/>
            </w:pPr>
            <w:r>
              <w:t xml:space="preserve">Heat/cold-shrink termination kits, IEC type-tested</w:t>
            </w:r>
          </w:p>
        </w:tc>
        <w:tc>
          <w:tcPr/>
          <w:p>
            <w:pPr>
              <w:pStyle w:val="Compact"/>
            </w:pPr>
            <w:r>
              <w:t xml:space="preserve">12</w:t>
            </w:r>
          </w:p>
        </w:tc>
        <w:tc>
          <w:tcPr/>
          <w:p>
            <w:pPr>
              <w:pStyle w:val="Compact"/>
            </w:pPr>
            <w:r>
              <w:t xml:space="preserve">Set</w:t>
            </w:r>
          </w:p>
        </w:tc>
        <w:tc>
          <w:tcPr/>
          <w:p>
            <w:pPr>
              <w:pStyle w:val="Compact"/>
            </w:pPr>
            <w:r>
              <w:t xml:space="preserve">$450.00</w:t>
            </w:r>
          </w:p>
        </w:tc>
        <w:tc>
          <w:tcPr/>
          <w:p>
            <w:pPr>
              <w:pStyle w:val="Compact"/>
            </w:pPr>
            <w:r>
              <w:t xml:space="preserve">$5,400.00</w:t>
            </w:r>
          </w:p>
        </w:tc>
      </w:tr>
      <w:tr>
        <w:tc>
          <w:tcPr/>
          <w:p>
            <w:pPr>
              <w:pStyle w:val="Compact"/>
            </w:pPr>
            <w:r>
              <w:t xml:space="preserve">MV Joints (spares)</w:t>
            </w:r>
          </w:p>
        </w:tc>
        <w:tc>
          <w:tcPr/>
          <w:p>
            <w:pPr>
              <w:pStyle w:val="Compact"/>
            </w:pPr>
            <w:r>
              <w:t xml:space="preserve">Heat/cold-shrink joint kits, IEC type-tested</w:t>
            </w:r>
          </w:p>
        </w:tc>
        <w:tc>
          <w:tcPr/>
          <w:p>
            <w:pPr>
              <w:pStyle w:val="Compact"/>
            </w:pPr>
            <w:r>
              <w:t xml:space="preserve">4</w:t>
            </w:r>
          </w:p>
        </w:tc>
        <w:tc>
          <w:tcPr/>
          <w:p>
            <w:pPr>
              <w:pStyle w:val="Compact"/>
            </w:pPr>
            <w:r>
              <w:t xml:space="preserve">Set</w:t>
            </w:r>
          </w:p>
        </w:tc>
        <w:tc>
          <w:tcPr/>
          <w:p>
            <w:pPr>
              <w:pStyle w:val="Compact"/>
            </w:pPr>
            <w:r>
              <w:t xml:space="preserve">$600.00</w:t>
            </w:r>
          </w:p>
        </w:tc>
        <w:tc>
          <w:tcPr/>
          <w:p>
            <w:pPr>
              <w:pStyle w:val="Compact"/>
            </w:pPr>
            <w:r>
              <w:t xml:space="preserve">$2,400.00</w:t>
            </w:r>
          </w:p>
        </w:tc>
      </w:tr>
      <w:tr>
        <w:tc>
          <w:tcPr/>
          <w:p>
            <w:pPr>
              <w:pStyle w:val="Compact"/>
            </w:pPr>
            <w:r>
              <w:t xml:space="preserve">MV Junction Boxes</w:t>
            </w:r>
          </w:p>
        </w:tc>
        <w:tc>
          <w:tcPr/>
          <w:p>
            <w:pPr>
              <w:pStyle w:val="Compact"/>
            </w:pPr>
            <w:r>
              <w:t xml:space="preserve">SS IP67/IK10, C5M, earth bar, labels (CTP6×2, CTP5×1)</w:t>
            </w:r>
          </w:p>
        </w:tc>
        <w:tc>
          <w:tcPr/>
          <w:p>
            <w:pPr>
              <w:pStyle w:val="Compact"/>
            </w:pPr>
            <w:r>
              <w:t xml:space="preserve">3</w:t>
            </w:r>
          </w:p>
        </w:tc>
        <w:tc>
          <w:tcPr/>
          <w:p>
            <w:pPr>
              <w:pStyle w:val="Compact"/>
            </w:pPr>
            <w:r>
              <w:t xml:space="preserve">EA</w:t>
            </w:r>
          </w:p>
        </w:tc>
        <w:tc>
          <w:tcPr/>
          <w:p>
            <w:pPr>
              <w:pStyle w:val="Compact"/>
            </w:pPr>
            <w:r>
              <w:t xml:space="preserve">$3,500.00</w:t>
            </w:r>
          </w:p>
        </w:tc>
        <w:tc>
          <w:tcPr/>
          <w:p>
            <w:pPr>
              <w:pStyle w:val="Compact"/>
            </w:pPr>
            <w:r>
              <w:t xml:space="preserve">$10,500.00</w:t>
            </w:r>
          </w:p>
        </w:tc>
      </w:tr>
      <w:tr>
        <w:tc>
          <w:tcPr/>
          <w:p>
            <w:pPr>
              <w:pStyle w:val="Compact"/>
            </w:pPr>
            <w:r>
              <w:t xml:space="preserve">Cable Drums</w:t>
            </w:r>
          </w:p>
        </w:tc>
        <w:tc>
          <w:tcPr/>
          <w:p>
            <w:pPr>
              <w:pStyle w:val="Compact"/>
            </w:pPr>
            <w:r>
              <w:t xml:space="preserve">Marine-grade reels with IP67 tails for STS04/05/06</w:t>
            </w:r>
          </w:p>
        </w:tc>
        <w:tc>
          <w:tcPr/>
          <w:p>
            <w:pPr>
              <w:pStyle w:val="Compact"/>
            </w:pPr>
            <w:r>
              <w:t xml:space="preserve">3</w:t>
            </w:r>
          </w:p>
        </w:tc>
        <w:tc>
          <w:tcPr/>
          <w:p>
            <w:pPr>
              <w:pStyle w:val="Compact"/>
            </w:pPr>
            <w:r>
              <w:t xml:space="preserve">EA</w:t>
            </w:r>
          </w:p>
        </w:tc>
        <w:tc>
          <w:tcPr/>
          <w:p>
            <w:pPr>
              <w:pStyle w:val="Compact"/>
            </w:pPr>
            <w:r>
              <w:t xml:space="preserve">$1,200.00</w:t>
            </w:r>
          </w:p>
        </w:tc>
        <w:tc>
          <w:tcPr/>
          <w:p>
            <w:pPr>
              <w:pStyle w:val="Compact"/>
            </w:pPr>
            <w:r>
              <w:t xml:space="preserve">$3,600.00</w:t>
            </w:r>
          </w:p>
        </w:tc>
      </w:tr>
      <w:tr>
        <w:tc>
          <w:tcPr/>
          <w:p>
            <w:pPr>
              <w:pStyle w:val="Compact"/>
            </w:pPr>
            <w:r>
              <w:t xml:space="preserve">Earthing Kit</w:t>
            </w:r>
          </w:p>
        </w:tc>
        <w:tc>
          <w:tcPr/>
          <w:p>
            <w:pPr>
              <w:pStyle w:val="Compact"/>
            </w:pPr>
            <w:r>
              <w:t xml:space="preserve">25–50 mm² Cu, clamps, test links</w:t>
            </w:r>
          </w:p>
        </w:tc>
        <w:tc>
          <w:tcPr/>
          <w:p>
            <w:pPr>
              <w:pStyle w:val="Compact"/>
            </w:pPr>
            <w:r>
              <w:t xml:space="preserve">1</w:t>
            </w:r>
          </w:p>
        </w:tc>
        <w:tc>
          <w:tcPr/>
          <w:p>
            <w:pPr>
              <w:pStyle w:val="Compact"/>
            </w:pPr>
            <w:r>
              <w:t xml:space="preserve">Lot</w:t>
            </w:r>
          </w:p>
        </w:tc>
        <w:tc>
          <w:tcPr/>
          <w:p>
            <w:pPr>
              <w:pStyle w:val="Compact"/>
            </w:pPr>
            <w:r>
              <w:t xml:space="preserve">$2,800.00</w:t>
            </w:r>
          </w:p>
        </w:tc>
        <w:tc>
          <w:tcPr/>
          <w:p>
            <w:pPr>
              <w:pStyle w:val="Compact"/>
            </w:pPr>
            <w:r>
              <w:t xml:space="preserve">$2,800.00</w:t>
            </w:r>
          </w:p>
        </w:tc>
      </w:tr>
      <w:tr>
        <w:tc>
          <w:tcPr/>
          <w:p>
            <w:pPr>
              <w:pStyle w:val="Compact"/>
            </w:pPr>
            <w:r>
              <w:t xml:space="preserve">Surge Protection</w:t>
            </w:r>
          </w:p>
        </w:tc>
        <w:tc>
          <w:tcPr/>
          <w:p>
            <w:pPr>
              <w:pStyle w:val="Compact"/>
            </w:pPr>
            <w:r>
              <w:t xml:space="preserve">Per TiN policy for pit equipment</w:t>
            </w:r>
          </w:p>
        </w:tc>
        <w:tc>
          <w:tcPr/>
          <w:p>
            <w:pPr>
              <w:pStyle w:val="Compact"/>
            </w:pPr>
            <w:r>
              <w:t xml:space="preserve">3</w:t>
            </w:r>
          </w:p>
        </w:tc>
        <w:tc>
          <w:tcPr/>
          <w:p>
            <w:pPr>
              <w:pStyle w:val="Compact"/>
            </w:pPr>
            <w:r>
              <w:t xml:space="preserve">EA</w:t>
            </w:r>
          </w:p>
        </w:tc>
        <w:tc>
          <w:tcPr/>
          <w:p>
            <w:pPr>
              <w:pStyle w:val="Compact"/>
            </w:pPr>
            <w:r>
              <w:t xml:space="preserve">$450.00</w:t>
            </w:r>
          </w:p>
        </w:tc>
        <w:tc>
          <w:tcPr/>
          <w:p>
            <w:pPr>
              <w:pStyle w:val="Compact"/>
            </w:pPr>
            <w:r>
              <w:t xml:space="preserve">$1,350.00</w:t>
            </w:r>
          </w:p>
        </w:tc>
      </w:tr>
      <w:tr>
        <w:tc>
          <w:tcPr/>
          <w:p>
            <w:pPr>
              <w:pStyle w:val="Compact"/>
            </w:pPr>
            <w:r>
              <w:t xml:space="preserve">Labels/Marking</w:t>
            </w:r>
          </w:p>
        </w:tc>
        <w:tc>
          <w:tcPr/>
          <w:p>
            <w:pPr>
              <w:pStyle w:val="Compact"/>
            </w:pPr>
            <w:r>
              <w:t xml:space="preserve">UV-stable engraved plates; markers</w:t>
            </w:r>
          </w:p>
        </w:tc>
        <w:tc>
          <w:tcPr/>
          <w:p>
            <w:pPr>
              <w:pStyle w:val="Compact"/>
            </w:pPr>
            <w:r>
              <w:t xml:space="preserve">1</w:t>
            </w:r>
          </w:p>
        </w:tc>
        <w:tc>
          <w:tcPr/>
          <w:p>
            <w:pPr>
              <w:pStyle w:val="Compact"/>
            </w:pPr>
            <w:r>
              <w:t xml:space="preserve">Lot</w:t>
            </w:r>
          </w:p>
        </w:tc>
        <w:tc>
          <w:tcPr/>
          <w:p>
            <w:pPr>
              <w:pStyle w:val="Compact"/>
            </w:pPr>
            <w:r>
              <w:t xml:space="preserve">$600.00</w:t>
            </w:r>
          </w:p>
        </w:tc>
        <w:tc>
          <w:tcPr/>
          <w:p>
            <w:pPr>
              <w:pStyle w:val="Compact"/>
            </w:pPr>
            <w:r>
              <w:t xml:space="preserve">$600.00</w:t>
            </w:r>
          </w:p>
        </w:tc>
      </w:tr>
      <w:tr>
        <w:tc>
          <w:tcPr/>
          <w:p>
            <w:pPr>
              <w:pStyle w:val="Compact"/>
            </w:pPr>
            <w:r>
              <w:t xml:space="preserve">Testing Services</w:t>
            </w:r>
          </w:p>
        </w:tc>
        <w:tc>
          <w:tcPr/>
          <w:p>
            <w:pPr>
              <w:pStyle w:val="Compact"/>
            </w:pPr>
            <w:r>
              <w:t xml:space="preserve">VLF/withstand, IR, certificates</w:t>
            </w:r>
          </w:p>
        </w:tc>
        <w:tc>
          <w:tcPr/>
          <w:p>
            <w:pPr>
              <w:pStyle w:val="Compact"/>
            </w:pPr>
            <w:r>
              <w:t xml:space="preserve">1</w:t>
            </w:r>
          </w:p>
        </w:tc>
        <w:tc>
          <w:tcPr/>
          <w:p>
            <w:pPr>
              <w:pStyle w:val="Compact"/>
            </w:pPr>
            <w:r>
              <w:t xml:space="preserve">Lot</w:t>
            </w:r>
          </w:p>
        </w:tc>
        <w:tc>
          <w:tcPr/>
          <w:p>
            <w:pPr>
              <w:pStyle w:val="Compact"/>
            </w:pPr>
            <w:r>
              <w:t xml:space="preserve">$4,500.00</w:t>
            </w:r>
          </w:p>
        </w:tc>
        <w:tc>
          <w:tcPr/>
          <w:p>
            <w:pPr>
              <w:pStyle w:val="Compact"/>
            </w:pPr>
            <w:r>
              <w:t xml:space="preserve">$4,500.00</w:t>
            </w:r>
          </w:p>
        </w:tc>
      </w:tr>
      <w:tr>
        <w:tc>
          <w:tcPr/>
          <w:p>
            <w:pPr>
              <w:pStyle w:val="Compact"/>
            </w:pPr>
            <w:r>
              <w:t xml:space="preserve">Installation &amp; Commissioning</w:t>
            </w:r>
          </w:p>
        </w:tc>
        <w:tc>
          <w:tcPr/>
          <w:p>
            <w:pPr>
              <w:pStyle w:val="Compact"/>
            </w:pPr>
            <w:r>
              <w:t xml:space="preserve">MV works labor</w:t>
            </w:r>
          </w:p>
        </w:tc>
        <w:tc>
          <w:tcPr/>
          <w:p>
            <w:pPr>
              <w:pStyle w:val="Compact"/>
            </w:pPr>
            <w:r>
              <w:t xml:space="preserve">1</w:t>
            </w:r>
          </w:p>
        </w:tc>
        <w:tc>
          <w:tcPr/>
          <w:p>
            <w:pPr>
              <w:pStyle w:val="Compact"/>
            </w:pPr>
            <w:r>
              <w:t xml:space="preserve">Lot</w:t>
            </w:r>
          </w:p>
        </w:tc>
        <w:tc>
          <w:tcPr/>
          <w:p>
            <w:pPr>
              <w:pStyle w:val="Compact"/>
            </w:pPr>
            <w:r>
              <w:t xml:space="preserve">$38,000.00</w:t>
            </w:r>
          </w:p>
        </w:tc>
        <w:tc>
          <w:tcPr/>
          <w:p>
            <w:pPr>
              <w:pStyle w:val="Compact"/>
            </w:pPr>
            <w:r>
              <w:t xml:space="preserve">$38,000.00</w:t>
            </w:r>
          </w:p>
        </w:tc>
      </w:tr>
    </w:tbl>
    <w:p>
      <w:pPr>
        <w:pStyle w:val="Compact"/>
        <w:numPr>
          <w:ilvl w:val="0"/>
          <w:numId w:val="1077"/>
        </w:numPr>
      </w:pPr>
      <w:r>
        <w:t xml:space="preserve">Total (Electrical): $201,650.00</w:t>
      </w:r>
    </w:p>
    <w:bookmarkEnd w:id="123"/>
    <w:bookmarkStart w:id="124" w:name="detailed-boq-expanded-electrical"/>
    <w:p>
      <w:pPr>
        <w:pStyle w:val="Heading2"/>
      </w:pPr>
      <w:r>
        <w:t xml:space="preserve">Detailed BoQ (Expanded — Electrical)</w:t>
      </w:r>
    </w:p>
    <w:tbl>
      <w:tblPr>
        <w:tblStyle w:val="Table"/>
        <w:tblW w:type="pct" w:w="5000"/>
        <w:tblLayout w:type="fixed"/>
        <w:tblLook w:firstRow="1" w:lastRow="0" w:firstColumn="0" w:lastColumn="0" w:noHBand="0" w:noVBand="0" w:val="0020"/>
      </w:tblPr>
      <w:tblGrid>
        <w:gridCol w:w="3273"/>
        <w:gridCol w:w="633"/>
        <w:gridCol w:w="633"/>
        <w:gridCol w:w="1900"/>
        <w:gridCol w:w="1478"/>
      </w:tblGrid>
      <w:tr>
        <w:trPr>
          <w:tblHeader w:val="on"/>
        </w:trPr>
        <w:tc>
          <w:tcPr/>
          <w:p>
            <w:pPr>
              <w:pStyle w:val="Compact"/>
            </w:pPr>
            <w:r>
              <w:t xml:space="preserve">Item</w:t>
            </w:r>
          </w:p>
        </w:tc>
        <w:tc>
          <w:tcPr/>
          <w:p>
            <w:pPr>
              <w:pStyle w:val="Compact"/>
            </w:pPr>
            <w:r>
              <w:t xml:space="preserve">Qty</w:t>
            </w:r>
          </w:p>
        </w:tc>
        <w:tc>
          <w:tcPr/>
          <w:p>
            <w:pPr>
              <w:pStyle w:val="Compact"/>
            </w:pPr>
            <w:r>
              <w:t xml:space="preserve">Unit</w:t>
            </w:r>
          </w:p>
        </w:tc>
        <w:tc>
          <w:tcPr/>
          <w:p>
            <w:pPr>
              <w:pStyle w:val="Compact"/>
            </w:pPr>
            <w:r>
              <w:t xml:space="preserve">Unit Price (USD)</w:t>
            </w:r>
          </w:p>
        </w:tc>
        <w:tc>
          <w:tcPr/>
          <w:p>
            <w:pPr>
              <w:pStyle w:val="Compact"/>
            </w:pPr>
            <w:r>
              <w:t xml:space="preserve">Amount (USD)</w:t>
            </w:r>
          </w:p>
        </w:tc>
      </w:tr>
      <w:tr>
        <w:tc>
          <w:tcPr/>
          <w:p>
            <w:pPr>
              <w:pStyle w:val="Compact"/>
            </w:pPr>
            <w:r>
              <w:t xml:space="preserve">MV Cable 3C XLPE (IEC 60502-2)</w:t>
            </w:r>
          </w:p>
        </w:tc>
        <w:tc>
          <w:tcPr/>
          <w:p>
            <w:pPr>
              <w:pStyle w:val="Compact"/>
            </w:pPr>
            <w:r>
              <w:t xml:space="preserve">1,200</w:t>
            </w:r>
          </w:p>
        </w:tc>
        <w:tc>
          <w:tcPr/>
          <w:p>
            <w:pPr>
              <w:pStyle w:val="Compact"/>
            </w:pPr>
            <w:r>
              <w:t xml:space="preserve">Lm</w:t>
            </w:r>
          </w:p>
        </w:tc>
        <w:tc>
          <w:tcPr/>
          <w:p>
            <w:pPr>
              <w:pStyle w:val="Compact"/>
            </w:pPr>
            <w:r>
              <w:t xml:space="preserve">85.00</w:t>
            </w:r>
          </w:p>
        </w:tc>
        <w:tc>
          <w:tcPr/>
          <w:p>
            <w:pPr>
              <w:pStyle w:val="Compact"/>
            </w:pPr>
            <w:r>
              <w:t xml:space="preserve">102,000.00</w:t>
            </w:r>
          </w:p>
        </w:tc>
      </w:tr>
      <w:tr>
        <w:tc>
          <w:tcPr/>
          <w:p>
            <w:pPr>
              <w:pStyle w:val="Compact"/>
            </w:pPr>
            <w:r>
              <w:t xml:space="preserve">MV Termination Kits</w:t>
            </w:r>
          </w:p>
        </w:tc>
        <w:tc>
          <w:tcPr/>
          <w:p>
            <w:pPr>
              <w:pStyle w:val="Compact"/>
            </w:pPr>
            <w:r>
              <w:t xml:space="preserve">12</w:t>
            </w:r>
          </w:p>
        </w:tc>
        <w:tc>
          <w:tcPr/>
          <w:p>
            <w:pPr>
              <w:pStyle w:val="Compact"/>
            </w:pPr>
            <w:r>
              <w:t xml:space="preserve">Set</w:t>
            </w:r>
          </w:p>
        </w:tc>
        <w:tc>
          <w:tcPr/>
          <w:p>
            <w:pPr>
              <w:pStyle w:val="Compact"/>
            </w:pPr>
            <w:r>
              <w:t xml:space="preserve">450.00</w:t>
            </w:r>
          </w:p>
        </w:tc>
        <w:tc>
          <w:tcPr/>
          <w:p>
            <w:pPr>
              <w:pStyle w:val="Compact"/>
            </w:pPr>
            <w:r>
              <w:t xml:space="preserve">5,400.00</w:t>
            </w:r>
          </w:p>
        </w:tc>
      </w:tr>
      <w:tr>
        <w:tc>
          <w:tcPr/>
          <w:p>
            <w:pPr>
              <w:pStyle w:val="Compact"/>
            </w:pPr>
            <w:r>
              <w:t xml:space="preserve">MV Joint Kits (spares)</w:t>
            </w:r>
          </w:p>
        </w:tc>
        <w:tc>
          <w:tcPr/>
          <w:p>
            <w:pPr>
              <w:pStyle w:val="Compact"/>
            </w:pPr>
            <w:r>
              <w:t xml:space="preserve">4</w:t>
            </w:r>
          </w:p>
        </w:tc>
        <w:tc>
          <w:tcPr/>
          <w:p>
            <w:pPr>
              <w:pStyle w:val="Compact"/>
            </w:pPr>
            <w:r>
              <w:t xml:space="preserve">Set</w:t>
            </w:r>
          </w:p>
        </w:tc>
        <w:tc>
          <w:tcPr/>
          <w:p>
            <w:pPr>
              <w:pStyle w:val="Compact"/>
            </w:pPr>
            <w:r>
              <w:t xml:space="preserve">600.00</w:t>
            </w:r>
          </w:p>
        </w:tc>
        <w:tc>
          <w:tcPr/>
          <w:p>
            <w:pPr>
              <w:pStyle w:val="Compact"/>
            </w:pPr>
            <w:r>
              <w:t xml:space="preserve">2,400.00</w:t>
            </w:r>
          </w:p>
        </w:tc>
      </w:tr>
      <w:tr>
        <w:tc>
          <w:tcPr/>
          <w:p>
            <w:pPr>
              <w:pStyle w:val="Compact"/>
            </w:pPr>
            <w:r>
              <w:t xml:space="preserve">SS JB Enclosures (C5M)</w:t>
            </w:r>
          </w:p>
        </w:tc>
        <w:tc>
          <w:tcPr/>
          <w:p>
            <w:pPr>
              <w:pStyle w:val="Compact"/>
            </w:pPr>
            <w:r>
              <w:t xml:space="preserve">3</w:t>
            </w:r>
          </w:p>
        </w:tc>
        <w:tc>
          <w:tcPr/>
          <w:p>
            <w:pPr>
              <w:pStyle w:val="Compact"/>
            </w:pPr>
            <w:r>
              <w:t xml:space="preserve">EA</w:t>
            </w:r>
          </w:p>
        </w:tc>
        <w:tc>
          <w:tcPr/>
          <w:p>
            <w:pPr>
              <w:pStyle w:val="Compact"/>
            </w:pPr>
            <w:r>
              <w:t xml:space="preserve">3,500.00</w:t>
            </w:r>
          </w:p>
        </w:tc>
        <w:tc>
          <w:tcPr/>
          <w:p>
            <w:pPr>
              <w:pStyle w:val="Compact"/>
            </w:pPr>
            <w:r>
              <w:t xml:space="preserve">10,500.00</w:t>
            </w:r>
          </w:p>
        </w:tc>
      </w:tr>
      <w:tr>
        <w:tc>
          <w:tcPr/>
          <w:p>
            <w:pPr>
              <w:pStyle w:val="Compact"/>
            </w:pPr>
            <w:r>
              <w:t xml:space="preserve">Cable Drums with tails</w:t>
            </w:r>
          </w:p>
        </w:tc>
        <w:tc>
          <w:tcPr/>
          <w:p>
            <w:pPr>
              <w:pStyle w:val="Compact"/>
            </w:pPr>
            <w:r>
              <w:t xml:space="preserve">3</w:t>
            </w:r>
          </w:p>
        </w:tc>
        <w:tc>
          <w:tcPr/>
          <w:p>
            <w:pPr>
              <w:pStyle w:val="Compact"/>
            </w:pPr>
            <w:r>
              <w:t xml:space="preserve">EA</w:t>
            </w:r>
          </w:p>
        </w:tc>
        <w:tc>
          <w:tcPr/>
          <w:p>
            <w:pPr>
              <w:pStyle w:val="Compact"/>
            </w:pPr>
            <w:r>
              <w:t xml:space="preserve">1,200.00</w:t>
            </w:r>
          </w:p>
        </w:tc>
        <w:tc>
          <w:tcPr/>
          <w:p>
            <w:pPr>
              <w:pStyle w:val="Compact"/>
            </w:pPr>
            <w:r>
              <w:t xml:space="preserve">3,600.00</w:t>
            </w:r>
          </w:p>
        </w:tc>
      </w:tr>
      <w:tr>
        <w:tc>
          <w:tcPr/>
          <w:p>
            <w:pPr>
              <w:pStyle w:val="Compact"/>
            </w:pPr>
            <w:r>
              <w:t xml:space="preserve">Earthing Kit &amp; Materials</w:t>
            </w:r>
          </w:p>
        </w:tc>
        <w:tc>
          <w:tcPr/>
          <w:p>
            <w:pPr>
              <w:pStyle w:val="Compact"/>
            </w:pPr>
            <w:r>
              <w:t xml:space="preserve">1</w:t>
            </w:r>
          </w:p>
        </w:tc>
        <w:tc>
          <w:tcPr/>
          <w:p>
            <w:pPr>
              <w:pStyle w:val="Compact"/>
            </w:pPr>
            <w:r>
              <w:t xml:space="preserve">Lot</w:t>
            </w:r>
          </w:p>
        </w:tc>
        <w:tc>
          <w:tcPr/>
          <w:p>
            <w:pPr>
              <w:pStyle w:val="Compact"/>
            </w:pPr>
            <w:r>
              <w:t xml:space="preserve">2,800.00</w:t>
            </w:r>
          </w:p>
        </w:tc>
        <w:tc>
          <w:tcPr/>
          <w:p>
            <w:pPr>
              <w:pStyle w:val="Compact"/>
            </w:pPr>
            <w:r>
              <w:t xml:space="preserve">2,800.00</w:t>
            </w:r>
          </w:p>
        </w:tc>
      </w:tr>
      <w:tr>
        <w:tc>
          <w:tcPr/>
          <w:p>
            <w:pPr>
              <w:pStyle w:val="Compact"/>
            </w:pPr>
            <w:r>
              <w:t xml:space="preserve">Surge Protection</w:t>
            </w:r>
          </w:p>
        </w:tc>
        <w:tc>
          <w:tcPr/>
          <w:p>
            <w:pPr>
              <w:pStyle w:val="Compact"/>
            </w:pPr>
            <w:r>
              <w:t xml:space="preserve">3</w:t>
            </w:r>
          </w:p>
        </w:tc>
        <w:tc>
          <w:tcPr/>
          <w:p>
            <w:pPr>
              <w:pStyle w:val="Compact"/>
            </w:pPr>
            <w:r>
              <w:t xml:space="preserve">EA</w:t>
            </w:r>
          </w:p>
        </w:tc>
        <w:tc>
          <w:tcPr/>
          <w:p>
            <w:pPr>
              <w:pStyle w:val="Compact"/>
            </w:pPr>
            <w:r>
              <w:t xml:space="preserve">450.00</w:t>
            </w:r>
          </w:p>
        </w:tc>
        <w:tc>
          <w:tcPr/>
          <w:p>
            <w:pPr>
              <w:pStyle w:val="Compact"/>
            </w:pPr>
            <w:r>
              <w:t xml:space="preserve">1,350.00</w:t>
            </w:r>
          </w:p>
        </w:tc>
      </w:tr>
      <w:tr>
        <w:tc>
          <w:tcPr/>
          <w:p>
            <w:pPr>
              <w:pStyle w:val="Compact"/>
            </w:pPr>
            <w:r>
              <w:t xml:space="preserve">Labels/Marking</w:t>
            </w:r>
          </w:p>
        </w:tc>
        <w:tc>
          <w:tcPr/>
          <w:p>
            <w:pPr>
              <w:pStyle w:val="Compact"/>
            </w:pPr>
            <w:r>
              <w:t xml:space="preserve">1</w:t>
            </w:r>
          </w:p>
        </w:tc>
        <w:tc>
          <w:tcPr/>
          <w:p>
            <w:pPr>
              <w:pStyle w:val="Compact"/>
            </w:pPr>
            <w:r>
              <w:t xml:space="preserve">Lot</w:t>
            </w:r>
          </w:p>
        </w:tc>
        <w:tc>
          <w:tcPr/>
          <w:p>
            <w:pPr>
              <w:pStyle w:val="Compact"/>
            </w:pPr>
            <w:r>
              <w:t xml:space="preserve">600.00</w:t>
            </w:r>
          </w:p>
        </w:tc>
        <w:tc>
          <w:tcPr/>
          <w:p>
            <w:pPr>
              <w:pStyle w:val="Compact"/>
            </w:pPr>
            <w:r>
              <w:t xml:space="preserve">600.00</w:t>
            </w:r>
          </w:p>
        </w:tc>
      </w:tr>
      <w:tr>
        <w:tc>
          <w:tcPr/>
          <w:p>
            <w:pPr>
              <w:pStyle w:val="Compact"/>
            </w:pPr>
            <w:r>
              <w:t xml:space="preserve">Testing Services (MV)</w:t>
            </w:r>
          </w:p>
        </w:tc>
        <w:tc>
          <w:tcPr/>
          <w:p>
            <w:pPr>
              <w:pStyle w:val="Compact"/>
            </w:pPr>
            <w:r>
              <w:t xml:space="preserve">1</w:t>
            </w:r>
          </w:p>
        </w:tc>
        <w:tc>
          <w:tcPr/>
          <w:p>
            <w:pPr>
              <w:pStyle w:val="Compact"/>
            </w:pPr>
            <w:r>
              <w:t xml:space="preserve">Lot</w:t>
            </w:r>
          </w:p>
        </w:tc>
        <w:tc>
          <w:tcPr/>
          <w:p>
            <w:pPr>
              <w:pStyle w:val="Compact"/>
            </w:pPr>
            <w:r>
              <w:t xml:space="preserve">4,500.00</w:t>
            </w:r>
          </w:p>
        </w:tc>
        <w:tc>
          <w:tcPr/>
          <w:p>
            <w:pPr>
              <w:pStyle w:val="Compact"/>
            </w:pPr>
            <w:r>
              <w:t xml:space="preserve">4,500.00</w:t>
            </w:r>
          </w:p>
        </w:tc>
      </w:tr>
      <w:tr>
        <w:tc>
          <w:tcPr/>
          <w:p>
            <w:pPr>
              <w:pStyle w:val="Compact"/>
            </w:pPr>
            <w:r>
              <w:t xml:space="preserve">Installation &amp; Commissioning</w:t>
            </w:r>
          </w:p>
        </w:tc>
        <w:tc>
          <w:tcPr/>
          <w:p>
            <w:pPr>
              <w:pStyle w:val="Compact"/>
            </w:pPr>
            <w:r>
              <w:t xml:space="preserve">1</w:t>
            </w:r>
          </w:p>
        </w:tc>
        <w:tc>
          <w:tcPr/>
          <w:p>
            <w:pPr>
              <w:pStyle w:val="Compact"/>
            </w:pPr>
            <w:r>
              <w:t xml:space="preserve">Lot</w:t>
            </w:r>
          </w:p>
        </w:tc>
        <w:tc>
          <w:tcPr/>
          <w:p>
            <w:pPr>
              <w:pStyle w:val="Compact"/>
            </w:pPr>
            <w:r>
              <w:t xml:space="preserve">38,000.00</w:t>
            </w:r>
          </w:p>
        </w:tc>
        <w:tc>
          <w:tcPr/>
          <w:p>
            <w:pPr>
              <w:pStyle w:val="Compact"/>
            </w:pPr>
            <w:r>
              <w:t xml:space="preserve">38,000.00</w:t>
            </w:r>
          </w:p>
        </w:tc>
      </w:tr>
      <w:tr>
        <w:tc>
          <w:tcPr/>
          <w:p>
            <w:pPr>
              <w:pStyle w:val="Compact"/>
            </w:pPr>
            <w:r>
              <w:t xml:space="preserve">Subtotal (Electrical, direct)</w:t>
            </w:r>
          </w:p>
        </w:tc>
        <w:tc>
          <w:tcPr/>
          <w:p>
            <w:pPr>
              <w:pStyle w:val="Compact"/>
            </w:pPr>
          </w:p>
        </w:tc>
        <w:tc>
          <w:tcPr/>
          <w:p>
            <w:pPr>
              <w:pStyle w:val="Compact"/>
            </w:pPr>
          </w:p>
        </w:tc>
        <w:tc>
          <w:tcPr/>
          <w:p>
            <w:pPr>
              <w:pStyle w:val="Compact"/>
            </w:pPr>
          </w:p>
        </w:tc>
        <w:tc>
          <w:tcPr/>
          <w:p>
            <w:pPr>
              <w:pStyle w:val="Compact"/>
            </w:pPr>
            <w:r>
              <w:t xml:space="preserve">201,650.00</w:t>
            </w:r>
          </w:p>
        </w:tc>
      </w:tr>
    </w:tbl>
    <w:bookmarkEnd w:id="124"/>
    <w:bookmarkStart w:id="125" w:name="part-a-electrical-commercial-offer"/>
    <w:p>
      <w:pPr>
        <w:pStyle w:val="Heading2"/>
      </w:pPr>
      <w:r>
        <w:t xml:space="preserve">Part A – Electrical Commercial Offer</w:t>
      </w:r>
    </w:p>
    <w:p>
      <w:pPr>
        <w:pStyle w:val="Compact"/>
        <w:numPr>
          <w:ilvl w:val="0"/>
          <w:numId w:val="1078"/>
        </w:numPr>
      </w:pPr>
      <w:r>
        <w:t xml:space="preserve">Payment Schedule:</w:t>
      </w:r>
    </w:p>
    <w:p>
      <w:pPr>
        <w:pStyle w:val="Compact"/>
        <w:numPr>
          <w:ilvl w:val="1"/>
          <w:numId w:val="1079"/>
        </w:numPr>
      </w:pPr>
      <w:r>
        <w:t xml:space="preserve">20% advance</w:t>
      </w:r>
    </w:p>
    <w:p>
      <w:pPr>
        <w:pStyle w:val="Compact"/>
        <w:numPr>
          <w:ilvl w:val="1"/>
          <w:numId w:val="1079"/>
        </w:numPr>
      </w:pPr>
      <w:r>
        <w:t xml:space="preserve">30% materials on site</w:t>
      </w:r>
    </w:p>
    <w:p>
      <w:pPr>
        <w:pStyle w:val="Compact"/>
        <w:numPr>
          <w:ilvl w:val="1"/>
          <w:numId w:val="1079"/>
        </w:numPr>
      </w:pPr>
      <w:r>
        <w:t xml:space="preserve">30% substantial completion</w:t>
      </w:r>
    </w:p>
    <w:p>
      <w:pPr>
        <w:pStyle w:val="Compact"/>
        <w:numPr>
          <w:ilvl w:val="1"/>
          <w:numId w:val="1079"/>
        </w:numPr>
      </w:pPr>
      <w:r>
        <w:t xml:space="preserve">10% Testing &amp; Commissioning</w:t>
      </w:r>
    </w:p>
    <w:p>
      <w:pPr>
        <w:pStyle w:val="Compact"/>
        <w:numPr>
          <w:ilvl w:val="1"/>
          <w:numId w:val="1079"/>
        </w:numPr>
      </w:pPr>
      <w:r>
        <w:t xml:space="preserve">10% final handover &amp; legalisation</w:t>
      </w:r>
    </w:p>
    <w:p>
      <w:pPr>
        <w:pStyle w:val="Compact"/>
        <w:numPr>
          <w:ilvl w:val="0"/>
          <w:numId w:val="1078"/>
        </w:numPr>
      </w:pPr>
      <w:r>
        <w:t xml:space="preserve">Warranty: 12 months minimum; optional 24 months.</w:t>
      </w:r>
    </w:p>
    <w:p>
      <w:pPr>
        <w:pStyle w:val="Compact"/>
        <w:numPr>
          <w:ilvl w:val="0"/>
          <w:numId w:val="1078"/>
        </w:numPr>
      </w:pPr>
      <w:r>
        <w:t xml:space="preserve">Exclusions: Permanent MV tie-in hardware if outside scope; civil works beyond pit reinstatement.</w:t>
      </w:r>
    </w:p>
    <w:p>
      <w:pPr>
        <w:pStyle w:val="Compact"/>
        <w:numPr>
          <w:ilvl w:val="0"/>
          <w:numId w:val="1078"/>
        </w:numPr>
      </w:pPr>
      <w:r>
        <w:t xml:space="preserve">Employer-Supplied Items: MV switchgear (per V3.1).</w:t>
      </w:r>
    </w:p>
    <w:bookmarkEnd w:id="125"/>
    <w:bookmarkEnd w:id="1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1"/>
  </w:num>
  <w:num w:numId="1073">
    <w:abstractNumId w:val="991"/>
  </w:num>
  <w:num w:numId="1074">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1"/>
  </w:num>
  <w:num w:numId="1078">
    <w:abstractNumId w:val="991"/>
  </w:num>
  <w:num w:numId="107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9" Target="Appendices%20copy/1%29%20ELECTRICAL%20INSTALLATION%20LAYOUT%20PLAN%28SHEET%204%20OF%209%29.pdf" TargetMode="External" /><Relationship Type="http://schemas.openxmlformats.org/officeDocument/2006/relationships/hyperlink" Id="rId48" Target="Appendices%20copy/10%29%20ABB%20Cast%20coil%20dry-type%20transformer.pdf" TargetMode="External" /><Relationship Type="http://schemas.openxmlformats.org/officeDocument/2006/relationships/hyperlink" Id="rId49" Target="Appendices%20copy/11%29%20TiN%20STS%20MV%20switchgear%20protection%20setting%20value.pdf" TargetMode="External" /><Relationship Type="http://schemas.openxmlformats.org/officeDocument/2006/relationships/hyperlink" Id="rId50" Target="Appendices%20copy/12%29%20Protection%20Relay.pdf" TargetMode="External" /><Relationship Type="http://schemas.openxmlformats.org/officeDocument/2006/relationships/hyperlink" Id="rId51" Target="Appendices%20copy/13%29%20UniGear%C2%A0ZS1.pdf" TargetMode="External" /><Relationship Type="http://schemas.openxmlformats.org/officeDocument/2006/relationships/hyperlink" Id="rId52" Target="Appendices%20copy/14%29%20TiN%20Short-circuit%20current%20calculation-MV%20trailing%20cable%2050mm%C2%B2.pdf" TargetMode="External" /><Relationship Type="http://schemas.openxmlformats.org/officeDocument/2006/relationships/hyperlink" Id="rId40" Target="Appendices%20copy/2%29%20ELECTRICAL%20INSTALLATION%20LAYOUT%20PLAN%28SHEET%205%20OF%209%29.pdf" TargetMode="External" /><Relationship Type="http://schemas.openxmlformats.org/officeDocument/2006/relationships/hyperlink" Id="rId41" Target="Appendices%20copy/3%29%20Communication%20duct%20layout%20%28sheet%204%20of%209%29.pdf" TargetMode="External" /><Relationship Type="http://schemas.openxmlformats.org/officeDocument/2006/relationships/hyperlink" Id="rId42" Target="Appendices%20copy/4%29%20Communication%20duct%20layout%20%28sheet%205%20of%209%29.pdf" TargetMode="External" /><Relationship Type="http://schemas.openxmlformats.org/officeDocument/2006/relationships/hyperlink" Id="rId43" Target="Appendices%20copy/5%29%20TERMINAL%20LAYOUT.pdf" TargetMode="External" /><Relationship Type="http://schemas.openxmlformats.org/officeDocument/2006/relationships/hyperlink" Id="rId44" Target="Appendices%20copy/6%29%20Protolon%20data%20sheet.pdf" TargetMode="External" /><Relationship Type="http://schemas.openxmlformats.org/officeDocument/2006/relationships/hyperlink" Id="rId45" Target="Appendices%20copy/7%29%20Prysmian-%C2%A0Protolon%28SMK%29-LWL.pdf" TargetMode="External" /><Relationship Type="http://schemas.openxmlformats.org/officeDocument/2006/relationships/hyperlink" Id="rId46" Target="Appendices%20copy/8%29%20STS%20Main%20transformer%20data%20sheet.pdf" TargetMode="External" /><Relationship Type="http://schemas.openxmlformats.org/officeDocument/2006/relationships/hyperlink" Id="rId47" Target="Appendices%20copy/9%29%20STS%20Auxiliary%20transformer%20data%20sheet.pdf" TargetMode="External" /></Relationships>
</file>

<file path=word/_rels/footnotes.xml.rels><?xml version="1.0" encoding="UTF-8"?><Relationships xmlns="http://schemas.openxmlformats.org/package/2006/relationships"><Relationship Type="http://schemas.openxmlformats.org/officeDocument/2006/relationships/hyperlink" Id="rId39" Target="Appendices%20copy/1%29%20ELECTRICAL%20INSTALLATION%20LAYOUT%20PLAN%28SHEET%204%20OF%209%29.pdf" TargetMode="External" /><Relationship Type="http://schemas.openxmlformats.org/officeDocument/2006/relationships/hyperlink" Id="rId48" Target="Appendices%20copy/10%29%20ABB%20Cast%20coil%20dry-type%20transformer.pdf" TargetMode="External" /><Relationship Type="http://schemas.openxmlformats.org/officeDocument/2006/relationships/hyperlink" Id="rId49" Target="Appendices%20copy/11%29%20TiN%20STS%20MV%20switchgear%20protection%20setting%20value.pdf" TargetMode="External" /><Relationship Type="http://schemas.openxmlformats.org/officeDocument/2006/relationships/hyperlink" Id="rId50" Target="Appendices%20copy/12%29%20Protection%20Relay.pdf" TargetMode="External" /><Relationship Type="http://schemas.openxmlformats.org/officeDocument/2006/relationships/hyperlink" Id="rId51" Target="Appendices%20copy/13%29%20UniGear%C2%A0ZS1.pdf" TargetMode="External" /><Relationship Type="http://schemas.openxmlformats.org/officeDocument/2006/relationships/hyperlink" Id="rId52" Target="Appendices%20copy/14%29%20TiN%20Short-circuit%20current%20calculation-MV%20trailing%20cable%2050mm%C2%B2.pdf" TargetMode="External" /><Relationship Type="http://schemas.openxmlformats.org/officeDocument/2006/relationships/hyperlink" Id="rId40" Target="Appendices%20copy/2%29%20ELECTRICAL%20INSTALLATION%20LAYOUT%20PLAN%28SHEET%205%20OF%209%29.pdf" TargetMode="External" /><Relationship Type="http://schemas.openxmlformats.org/officeDocument/2006/relationships/hyperlink" Id="rId41" Target="Appendices%20copy/3%29%20Communication%20duct%20layout%20%28sheet%204%20of%209%29.pdf" TargetMode="External" /><Relationship Type="http://schemas.openxmlformats.org/officeDocument/2006/relationships/hyperlink" Id="rId42" Target="Appendices%20copy/4%29%20Communication%20duct%20layout%20%28sheet%205%20of%209%29.pdf" TargetMode="External" /><Relationship Type="http://schemas.openxmlformats.org/officeDocument/2006/relationships/hyperlink" Id="rId43" Target="Appendices%20copy/5%29%20TERMINAL%20LAYOUT.pdf" TargetMode="External" /><Relationship Type="http://schemas.openxmlformats.org/officeDocument/2006/relationships/hyperlink" Id="rId44" Target="Appendices%20copy/6%29%20Protolon%20data%20sheet.pdf" TargetMode="External" /><Relationship Type="http://schemas.openxmlformats.org/officeDocument/2006/relationships/hyperlink" Id="rId45" Target="Appendices%20copy/7%29%20Prysmian-%C2%A0Protolon%28SMK%29-LWL.pdf" TargetMode="External" /><Relationship Type="http://schemas.openxmlformats.org/officeDocument/2006/relationships/hyperlink" Id="rId46" Target="Appendices%20copy/8%29%20STS%20Main%20transformer%20data%20sheet.pdf" TargetMode="External" /><Relationship Type="http://schemas.openxmlformats.org/officeDocument/2006/relationships/hyperlink" Id="rId47" Target="Appendices%20copy/9%29%20STS%20Auxiliary%20transformer%20data%20sheet.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STS Tender V3.1 – Electrical</dc:title>
  <dc:creator/>
  <cp:keywords/>
  <dcterms:created xsi:type="dcterms:W3CDTF">2025-08-22T10:51:10Z</dcterms:created>
  <dcterms:modified xsi:type="dcterms:W3CDTF">2025-08-22T10:51:10Z</dcterms:modified>
</cp:coreProperties>
</file>

<file path=docProps/custom.xml><?xml version="1.0" encoding="utf-8"?>
<Properties xmlns="http://schemas.openxmlformats.org/officeDocument/2006/custom-properties" xmlns:vt="http://schemas.openxmlformats.org/officeDocument/2006/docPropsVTypes"/>
</file>