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Модуль 1. Архітектура під змінами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У межах модуля потрібно проаналізувати наявну архітектуру OrderFlow та запропонувати обґрунтований план її еволюції відповідно до нових бізнес-вимог, ризиків і змін у процесі delivery.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Основні цілі: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проаналізувати поточні архітектурні boundaries і dependencies;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визначити пріоритетні architectural characteristics та relevant design principles;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оцінити cost of change, risks, trade-offs і можливі architecture changes;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визначити, що варто змінити, а що доцільно залишити без змін;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запропонувати metrics і fitness functions для перевірки результату;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Модуль та всі матеріали знаходяться в репозиторії:</w:t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https://github.com/vivalafit/architecture-module-1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vivalafit/architecture-module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YA7S5m/gJrNW5/xvjMQYGmpnw==">CgMxLjA4AHIhMXZGY2VuNXNKUTQ5aGVwMk02ZHNlWFp6YTdxTHNEZ2Za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