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SP12title"/>
      </w:pPr>
      <w:r>
        <w:t>AUTHORS’ RESPONSE TO THE EDITORS AND REVIEWERS</w:t>
      </w:r>
    </w:p>
    <w:p>
      <w:pPr>
        <w:pStyle w:val="TSP13authornames"/>
      </w:pPr>
      <w:r>
        <w:t>Prior submission ID 76149</w:t>
      </w:r>
    </w:p>
    <w:p>
      <w:pPr>
        <w:pStyle w:val="TSP31text"/>
      </w:pPr>
      <w:r>
        <w:t>Revised title: A Leakage-Controlled Evaluation of Class-Imbalance Strategies for Credit-Card Fraud Detection</w:t>
      </w:r>
    </w:p>
    <w:p>
      <w:pPr>
        <w:pStyle w:val="TSP31text"/>
      </w:pPr>
      <w:r>
        <w:t>Dear Editor and Reviewers,</w:t>
      </w:r>
    </w:p>
    <w:p>
      <w:pPr>
        <w:pStyle w:val="TSP31text"/>
      </w:pPr>
      <w:r>
        <w:t>Thank you for the detailed assessment. We rebuilt the evaluation from the supplied source data and code because the prior notebook’s saved outputs were inconsistent with its current source cells, its threshold-selection code used test labels, and the claimed MobileNetV3–GRU–MLP system was not implemented in the executable notebook. We have replaced the original performance claims with a leakage-controlled chronological evaluation and narrowed the paper to the models and results that can be reproduced. The revised manuscript, analysis code, results and figures are included in the branch reviewer-revisions-2026.</w:t>
      </w:r>
    </w:p>
    <w:p>
      <w:pPr>
        <w:pStyle w:val="TSP31text"/>
      </w:pPr>
      <w:r>
        <w:t>The earlier F1=0.992 claim, edge-readiness statements, unverified literature leaderboard and perfect Transformer comparison have been withdrawn. Our new test partition has 52 fraud cases; its best F1 is 0.788, with uncertainty reported. We make no claim that these results establish performance on another institution’s data or on an edge device.</w:t>
      </w:r>
    </w:p>
    <w:p>
      <w:pPr>
        <w:pStyle w:val="TSP21heading1"/>
        <w:keepNext/>
      </w:pPr>
      <w:r>
        <w:t>Reviewer 1</w:t>
      </w:r>
    </w:p>
    <w:p>
      <w:pPr>
        <w:pStyle w:val="TSP31text"/>
      </w:pPr>
      <w:r>
        <w:rPr>
          <w:b/>
        </w:rPr>
        <w:t xml:space="preserve">1.1 Comment: </w:t>
      </w:r>
      <w:r>
        <w:rPr>
          <w:i/>
          <w:color w:val="465260"/>
        </w:rPr>
        <w:t>The reported near-perfect F1 suggests data leakage; split before resampling and keep test data untouched.</w:t>
      </w:r>
    </w:p>
    <w:p>
      <w:pPr>
        <w:pStyle w:val="TSP31text"/>
      </w:pPr>
      <w:r>
        <w:rPr>
          <w:b/>
        </w:rPr>
        <w:t xml:space="preserve">Response: </w:t>
      </w:r>
      <w:r>
        <w:t>We agree that leakage would invalidate the earlier estimates. We sorted the full original dataset by Time and then made a chronological 70/15/15 split on whole timestamp groups. The scaler was fitted on training data only. SMOTE-ENN was fitted only on the training partition after the split; the resulting 397,960 balanced rows were used only to train the resampled variants. Validation and test data were not resampled. Thresholds were chosen by validation F1 and then held fixed for test evaluation. The test set has 42,721 records and 52 frauds. The supplied notebook also used test labels to set thresholds and contains stale saved outputs, so we withdrew its previous headline metrics rather than reinterpret them.</w:t>
      </w:r>
    </w:p>
    <w:p>
      <w:pPr>
        <w:pStyle w:val="TSP31text"/>
      </w:pPr>
      <w:r>
        <w:rPr>
          <w:b/>
        </w:rPr>
        <w:t xml:space="preserve">1.2 Comment: </w:t>
      </w:r>
      <w:r>
        <w:rPr>
          <w:i/>
          <w:color w:val="465260"/>
        </w:rPr>
        <w:t>Read and cite DOI 10.1016/j.neunet.2025.108267 as a paper discussing leakage on this dataset.</w:t>
      </w:r>
    </w:p>
    <w:p>
      <w:pPr>
        <w:pStyle w:val="TSP31text"/>
      </w:pPr>
      <w:r>
        <w:rPr>
          <w:b/>
        </w:rPr>
        <w:t xml:space="preserve">Response: </w:t>
      </w:r>
      <w:r>
        <w:t>We checked the DOI. It resolves to Yousefimehr, Ghatee and Razavi-Far, “Multi-teacher knowledge distillation framework for lightweight anomaly detection,” published in Neural Networks 195 (2026), article 108267. It concerns lightweight anomaly detection and knowledge distillation; it is not a direct study of leakage on this credit-card dataset. We cite it only for its actual scope and added direct references on leakage and deceptive evaluation, including Kapoor and Narayanan (2023) and Hayat and Magnier (2025).</w:t>
      </w:r>
    </w:p>
    <w:p>
      <w:pPr>
        <w:pStyle w:val="TSP31text"/>
      </w:pPr>
      <w:r>
        <w:rPr>
          <w:b/>
        </w:rPr>
        <w:t xml:space="preserve">1.3 Comment: </w:t>
      </w:r>
      <w:r>
        <w:rPr>
          <w:i/>
          <w:color w:val="465260"/>
        </w:rPr>
        <w:t>Validate on additional datasets.</w:t>
      </w:r>
    </w:p>
    <w:p>
      <w:pPr>
        <w:pStyle w:val="TSP31text"/>
      </w:pPr>
      <w:r>
        <w:rPr>
          <w:b/>
        </w:rPr>
        <w:t xml:space="preserve">Response: </w:t>
      </w:r>
      <w:r>
        <w:t>We did not add a second dataset. The supplied research and executable pipeline concern this ULB benchmark, and the available dataset has no card identifier needed to reproduce the claimed sequence architecture. We have narrowed the claims to this one benchmark, identified the lack of external validation as a limitation, and state that independent contemporary datasets are required before generalization can be claimed. This suggestion remains open for a subsequent study.</w:t>
      </w:r>
    </w:p>
    <w:p>
      <w:pPr>
        <w:pStyle w:val="TSP31text"/>
      </w:pPr>
      <w:r>
        <w:rPr>
          <w:b/>
        </w:rPr>
        <w:t xml:space="preserve">1.4 Comment: </w:t>
      </w:r>
      <w:r>
        <w:rPr>
          <w:i/>
          <w:color w:val="465260"/>
        </w:rPr>
        <w:t>Report inference efficiency and memory, and consider a lighter model.</w:t>
      </w:r>
    </w:p>
    <w:p>
      <w:pPr>
        <w:pStyle w:val="TSP31text"/>
      </w:pPr>
      <w:r>
        <w:rPr>
          <w:b/>
        </w:rPr>
        <w:t xml:space="preserve">Response: </w:t>
      </w:r>
      <w:r>
        <w:t>We measured classifier fit time, batch-averaged CPU inference time and serialized estimator size on an Intel Core i7-1165G7 workstation. The shared SMOTE-ENN preparation took about 21.6 minutes. The largest serialized estimator was the SMOTE-ENN random forest at 29.68 MB; the weighted random forest was 5.58 MB. These are model-file sizes, not peak RAM. We could not support a claim about peak memory or a target device because no memory profiler or edge device was used. The revised paper reports these limits and withdraws edge suitability claims.</w:t>
      </w:r>
    </w:p>
    <w:p>
      <w:pPr>
        <w:pStyle w:val="TSP31text"/>
      </w:pPr>
      <w:r>
        <w:rPr>
          <w:b/>
        </w:rPr>
        <w:t xml:space="preserve">1.5 Comment: </w:t>
      </w:r>
      <w:r>
        <w:rPr>
          <w:i/>
          <w:color w:val="465260"/>
        </w:rPr>
        <w:t>Add XAI such as SHAP or LIME.</w:t>
      </w:r>
    </w:p>
    <w:p>
      <w:pPr>
        <w:pStyle w:val="TSP31text"/>
      </w:pPr>
      <w:r>
        <w:rPr>
          <w:b/>
        </w:rPr>
        <w:t xml:space="preserve">Response: </w:t>
      </w:r>
      <w:r>
        <w:t>We added global model-agnostic permutation importance on the validation set. The model was selected by validation AP, and no test labels were used for the explanation. V4 and V14 produced the largest mean decreases in validation AP. We describe this as predictive reliance, not causality, and state the limitation that correlated PCA inputs can share importance. We did not add SHAP or local explanations.</w:t>
      </w:r>
    </w:p>
    <w:p>
      <w:pPr>
        <w:pStyle w:val="TSP31text"/>
      </w:pPr>
      <w:r>
        <w:rPr>
          <w:b/>
        </w:rPr>
        <w:t xml:space="preserve">1.6 Comment: </w:t>
      </w:r>
      <w:r>
        <w:rPr>
          <w:i/>
          <w:color w:val="465260"/>
        </w:rPr>
        <w:t>Avoid comparisons with likely leaked studies, improve figures, equations, English and recent references.</w:t>
      </w:r>
    </w:p>
    <w:p>
      <w:pPr>
        <w:pStyle w:val="TSP31text"/>
      </w:pPr>
      <w:r>
        <w:rPr>
          <w:b/>
        </w:rPr>
        <w:t xml:space="preserve">Response: </w:t>
      </w:r>
      <w:r>
        <w:t>We removed cross-paper performance tables and the unsupported “state-of-the-art” wording, including the perfect Transformer row. The revised results compare only six variants trained and evaluated with the same split and protocol. We regenerated the workflow, validation precision–recall and permutation-importance figures as SVG and 600 dpi PNG. The manuscript uses explicit metric definitions, Wilson intervals, class-stratified bootstrap intervals, Vancouver numeric citations and an expanded reference list with recent leakage literature. The figure data and analysis code are included in the branch.</w:t>
      </w:r>
    </w:p>
    <w:p>
      <w:pPr>
        <w:pStyle w:val="TSP21heading1"/>
        <w:keepNext/>
      </w:pPr>
      <w:r>
        <w:t>Reviewer 2</w:t>
      </w:r>
    </w:p>
    <w:p>
      <w:pPr>
        <w:pStyle w:val="TSP31text"/>
      </w:pPr>
      <w:r>
        <w:rPr>
          <w:b/>
        </w:rPr>
        <w:t xml:space="preserve">2.1 Comment: </w:t>
      </w:r>
      <w:r>
        <w:rPr>
          <w:i/>
          <w:color w:val="465260"/>
        </w:rPr>
        <w:t>Clarify the temporal processing and substantiate MobileNetV3–GRU and edge-efficiency claims.</w:t>
      </w:r>
    </w:p>
    <w:p>
      <w:pPr>
        <w:pStyle w:val="TSP31text"/>
      </w:pPr>
      <w:r>
        <w:rPr>
          <w:b/>
        </w:rPr>
        <w:t xml:space="preserve">Response: </w:t>
      </w:r>
      <w:r>
        <w:t>The audit found no MobileNetV3, GRU or MLP stacker in the executable notebook. The benchmark contains Time but no stable card/account identifier, so a valid per-card sequence cannot be constructed from this file. We now use Time for chronological splitting and as a tabular predictor and do not claim sequential learning. We removed the unsupported architecture and edge claims. CPU fit/inference and serialized estimator size are measured and reported, with explicit limits on the batch protocol, peak memory and absence of device-specific testing.</w:t>
      </w:r>
    </w:p>
    <w:p>
      <w:pPr>
        <w:pStyle w:val="TSP21heading1"/>
        <w:keepNext/>
      </w:pPr>
      <w:r>
        <w:t>Reviewer 3</w:t>
      </w:r>
    </w:p>
    <w:p>
      <w:pPr>
        <w:pStyle w:val="TSP31text"/>
      </w:pPr>
      <w:r>
        <w:rPr>
          <w:b/>
        </w:rPr>
        <w:t xml:space="preserve">3.1 Comment: </w:t>
      </w:r>
      <w:r>
        <w:rPr>
          <w:i/>
          <w:color w:val="465260"/>
        </w:rPr>
        <w:t>Clarify originality and why MobileNetV3 should be superior on tabular data; explain how the hybrid differs from existing models.</w:t>
      </w:r>
    </w:p>
    <w:p>
      <w:pPr>
        <w:pStyle w:val="TSP31text"/>
      </w:pPr>
      <w:r>
        <w:rPr>
          <w:b/>
        </w:rPr>
        <w:t xml:space="preserve">Response: </w:t>
      </w:r>
      <w:r>
        <w:t>We could not substantiate superiority or a distinct hybrid contribution: the source code does not implement the described architecture, and the dataset does not support card-level sequences. We therefore removed the architectural novelty claim. The revised contribution is a reproducible leakage-controlled comparison with uncertainty, resource measurements and validation-set explanation. We cite MobileNetV3 in its original mobile-vision context and do not infer tabular superiority from that work.</w:t>
      </w:r>
    </w:p>
    <w:p>
      <w:pPr>
        <w:pStyle w:val="TSP31text"/>
      </w:pPr>
      <w:r>
        <w:rPr>
          <w:b/>
        </w:rPr>
        <w:t xml:space="preserve">3.2 Comment: </w:t>
      </w:r>
      <w:r>
        <w:rPr>
          <w:i/>
          <w:color w:val="465260"/>
        </w:rPr>
        <w:t>Explain the 1D adaptation and clarify whether SMOTE-ENN was applied only to training data.</w:t>
      </w:r>
    </w:p>
    <w:p>
      <w:pPr>
        <w:pStyle w:val="TSP31text"/>
      </w:pPr>
      <w:r>
        <w:rPr>
          <w:b/>
        </w:rPr>
        <w:t xml:space="preserve">Response: </w:t>
      </w:r>
      <w:r>
        <w:t>The proposed 1D adaptation was not present in the runnable code, so we removed it rather than describe an unverified implementation. In the new experiment, we split first and fitted SMOTE-ENN only to the scaled training partition. Whole timestamp groups remain intact; validation and test contain only original records. Figure 1 shows this sequence.</w:t>
      </w:r>
    </w:p>
    <w:p>
      <w:pPr>
        <w:pStyle w:val="TSP31text"/>
      </w:pPr>
      <w:r>
        <w:rPr>
          <w:b/>
        </w:rPr>
        <w:t xml:space="preserve">3.3 Comment: </w:t>
      </w:r>
      <w:r>
        <w:rPr>
          <w:i/>
          <w:color w:val="465260"/>
        </w:rPr>
        <w:t>Report confidence intervals and statistical testing.</w:t>
      </w:r>
    </w:p>
    <w:p>
      <w:pPr>
        <w:pStyle w:val="TSP31text"/>
      </w:pPr>
      <w:r>
        <w:rPr>
          <w:b/>
        </w:rPr>
        <w:t xml:space="preserve">Response: </w:t>
      </w:r>
      <w:r>
        <w:t>We added 95% Wilson intervals for precision and recall, 2,000-replicate class-stratified bootstrap intervals for F1, and an exploratory paired class-stratified bootstrap interval and exact McNemar test for the two random-forest variants. The paired F1 difference (SMOTE-ENN minus class weighting) is 0.011 (95% CI −0.043 to 0.062), with McNemar p=1.00. The manuscript explains that these intervals condition on one fitted model and that the paired comparison covers only this model pair.</w:t>
      </w:r>
    </w:p>
    <w:p>
      <w:pPr>
        <w:pStyle w:val="TSP31text"/>
      </w:pPr>
      <w:r>
        <w:rPr>
          <w:b/>
        </w:rPr>
        <w:t xml:space="preserve">3.4 Comment: </w:t>
      </w:r>
      <w:r>
        <w:rPr>
          <w:i/>
          <w:color w:val="465260"/>
        </w:rPr>
        <w:t>Verify the source and comparability of the perfect Transformer and other literature comparisons.</w:t>
      </w:r>
    </w:p>
    <w:p>
      <w:pPr>
        <w:pStyle w:val="TSP31text"/>
      </w:pPr>
      <w:r>
        <w:rPr>
          <w:b/>
        </w:rPr>
        <w:t xml:space="preserve">Response: </w:t>
      </w:r>
      <w:r>
        <w:t>The former Transformer result was not a reproducible experiment in the supplied code and its evaluation conditions could not be verified. We removed it and the other external performance leaderboard. The new table contains only the six direct model variants evaluated on the same chronological partitions.</w:t>
      </w:r>
    </w:p>
    <w:p>
      <w:pPr>
        <w:pStyle w:val="TSP31text"/>
      </w:pPr>
      <w:r>
        <w:rPr>
          <w:b/>
        </w:rPr>
        <w:t xml:space="preserve">3.5 Comment: </w:t>
      </w:r>
      <w:r>
        <w:rPr>
          <w:i/>
          <w:color w:val="465260"/>
        </w:rPr>
        <w:t>Improve figures, tables and English presentation.</w:t>
      </w:r>
    </w:p>
    <w:p>
      <w:pPr>
        <w:pStyle w:val="TSP31text"/>
      </w:pPr>
      <w:r>
        <w:rPr>
          <w:b/>
        </w:rPr>
        <w:t xml:space="preserve">Response: </w:t>
      </w:r>
      <w:r>
        <w:t>We replaced the unclear architecture figure with a readable evaluation-flow diagram and added vector SVG and 600 dpi PNG versions of the workflow, validation PR curves and permutation importance. The tables use consistent labels and report uncertainty. The manuscript has been rewritten for clarity and checked against the revised code and outputs.</w:t>
      </w:r>
    </w:p>
    <w:p>
      <w:pPr>
        <w:pStyle w:val="TSP21heading1"/>
        <w:keepNext/>
      </w:pPr>
      <w:r>
        <w:t>Items for author confirmation before resubmission</w:t>
      </w:r>
    </w:p>
    <w:p>
      <w:pPr>
        <w:pStyle w:val="TSP31text"/>
      </w:pPr>
      <w:r>
        <w:t>The prior decision letter records a rejection and invites authors to attach a reply if they submit a revised version. Before sending a new submission, the authors should confirm the updated CRediT contributions, funding and conflict-of-interest declarations, confirm the acknowledgment, and review and approve every AI-assisted method, result, figure, citation and passage. The current draft transparently marks statements that require this confirmation. The editors may also require a new submission rather than a formal revision under ID 76149.</w:t>
      </w:r>
    </w:p>
    <w:sectPr w:rsidR="00074D05" w:rsidRPr="000C53B9" w:rsidSect="00F42D8E">
      <w:headerReference w:type="even" r:id="rId11"/>
      <w:headerReference w:type="default" r:id="rId12"/>
      <w:headerReference w:type="first" r:id="rId13"/>
      <w:footerReference w:type="first" r:id="rId14"/>
      <w:footerReference w:type="default" r:id="rId17"/>
      <w:footerReference w:type="even" r:id="rId18"/>
      <w:type w:val="continuous"/>
      <w:pgSz w:w="12242" w:h="15842" w:code="1"/>
      <w:pgMar w:top="1224" w:right="1296" w:bottom="1224" w:left="1296" w:header="1020" w:footer="624" w:gutter="0"/>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D45D0" w:rsidRDefault="00DD45D0">
      <w:pPr>
        <w:spacing w:line="240" w:lineRule="auto"/>
      </w:pPr>
      <w:r>
        <w:separator/>
      </w:r>
    </w:p>
  </w:endnote>
  <w:endnote w:type="continuationSeparator" w:id="0">
    <w:p w:rsidR="00DD45D0" w:rsidRDefault="00DD45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6DCE" w:rsidRPr="00375B4C" w:rsidRDefault="002B6DCE" w:rsidP="00640712">
    <w:pPr>
      <w:spacing w:before="240" w:line="100" w:lineRule="exact"/>
      <w:jc w:val="left"/>
      <w:rPr>
        <w:sz w:val="16"/>
        <w:szCs w:val="16"/>
      </w:rPr>
    </w:pPr>
  </w:p>
  <w:p w:rsidR="002B6DCE" w:rsidRDefault="002B6DCE" w:rsidP="0074379F">
    <w:pPr>
      <w:pStyle w:val="Footer"/>
      <w:spacing w:line="192" w:lineRule="auto"/>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D45D0" w:rsidRDefault="00DD45D0">
      <w:pPr>
        <w:spacing w:line="240" w:lineRule="auto"/>
      </w:pPr>
      <w:r>
        <w:separator/>
      </w:r>
    </w:p>
  </w:footnote>
  <w:footnote w:type="continuationSeparator" w:id="0">
    <w:p w:rsidR="00DD45D0" w:rsidRDefault="00DD45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379F" w:rsidRPr="00186037" w:rsidRDefault="002B6DCE" w:rsidP="0074379F">
    <w:pPr>
      <w:pStyle w:val="TSPheader"/>
      <w:tabs>
        <w:tab w:val="right" w:pos="9362"/>
      </w:tabs>
      <w:rPr>
        <w:rFonts w:eastAsia="DengXian"/>
        <w:lang w:eastAsia="zh-CN"/>
      </w:rPr>
    </w:pPr>
  </w:p>
  <w:p w:rsidR="002B6DCE" w:rsidRDefault="002B6DCE" w:rsidP="0074379F">
    <w:pPr>
      <w:pStyle w:val="TSPheader"/>
    </w:pPr>
  </w:p>
  <w:p w:rsidR="0074379F" w:rsidRDefault="0074379F" w:rsidP="0074379F">
    <w:pPr>
      <w:pStyle w:val="TSP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6DCE" w:rsidRDefault="0074379F" w:rsidP="00673B6B">
    <w:pPr>
      <w:pStyle w:val="TSPheader"/>
    </w:pPr>
  </w:p>
  <w:p w:rsidR="002B6DCE" w:rsidRPr="00661AA8" w:rsidRDefault="002B6DCE" w:rsidP="00640712">
    <w:pPr>
      <w:tabs>
        <w:tab w:val="left" w:pos="8335"/>
      </w:tabs>
      <w:spacing w:after="240" w:line="100" w:lineRule="atLeas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6DCE" w:rsidRPr="00776E78" w:rsidRDefault="002B6DCE" w:rsidP="00776E78">
    <w:pPr>
      <w:pStyle w:val="Header"/>
      <w:spacing w:line="60" w:lineRule="exact"/>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F"/>
    <w:multiLevelType w:val="singleLevel"/>
    <w:tmpl w:val="40489954"/>
    <w:lvl w:ilvl="0">
      <w:start w:val="1"/>
      <w:numFmt w:val="decimal"/>
      <w:lvlText w:val="%1."/>
      <w:lvlJc w:val="left"/>
      <w:pPr>
        <w:tabs>
          <w:tab w:val="num" w:pos="643"/>
        </w:tabs>
        <w:ind w:left="643" w:hanging="360"/>
      </w:pPr>
    </w:lvl>
  </w:abstractNum>
  <w:abstractNum w:abstractNumId="1" w15:restartNumberingAfterBreak="0">
    <w:nsid w:val="FFFFFF81"/>
    <w:multiLevelType w:val="singleLevel"/>
    <w:tmpl w:val="0FF0D19A"/>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8"/>
    <w:multiLevelType w:val="singleLevel"/>
    <w:tmpl w:val="59FED07A"/>
    <w:lvl w:ilvl="0">
      <w:start w:val="1"/>
      <w:numFmt w:val="decimal"/>
      <w:lvlText w:val="%1."/>
      <w:lvlJc w:val="left"/>
      <w:pPr>
        <w:tabs>
          <w:tab w:val="num" w:pos="360"/>
        </w:tabs>
        <w:ind w:left="360" w:hanging="360"/>
      </w:pPr>
    </w:lvl>
  </w:abstractNum>
  <w:abstractNum w:abstractNumId="3" w15:restartNumberingAfterBreak="0">
    <w:nsid w:val="02065858"/>
    <w:multiLevelType w:val="hybridMultilevel"/>
    <w:tmpl w:val="4B0C72EA"/>
    <w:lvl w:ilvl="0" w:tplc="A67EA6DA">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8A037C"/>
    <w:multiLevelType w:val="hybridMultilevel"/>
    <w:tmpl w:val="2F484F9A"/>
    <w:lvl w:ilvl="0" w:tplc="B77A7188">
      <w:start w:val="1"/>
      <w:numFmt w:val="decimal"/>
      <w:lvlText w:val="%1."/>
      <w:lvlJc w:val="left"/>
      <w:pPr>
        <w:ind w:left="360" w:hanging="360"/>
      </w:pPr>
      <w:rPr>
        <w:rFonts w:hint="default"/>
      </w:rPr>
    </w:lvl>
    <w:lvl w:ilvl="1" w:tplc="3058227C">
      <w:start w:val="1"/>
      <w:numFmt w:val="upperLetter"/>
      <w:lvlText w:val="%2."/>
      <w:lvlJc w:val="left"/>
      <w:pPr>
        <w:ind w:left="800" w:hanging="360"/>
      </w:pPr>
      <w:rPr>
        <w:rFonts w:eastAsia="SimSun" w:hint="default"/>
        <w:color w:val="auto"/>
        <w:sz w:val="22"/>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0E30A2A"/>
    <w:multiLevelType w:val="hybridMultilevel"/>
    <w:tmpl w:val="19D2000E"/>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6" w15:restartNumberingAfterBreak="0">
    <w:nsid w:val="12FD2432"/>
    <w:multiLevelType w:val="hybridMultilevel"/>
    <w:tmpl w:val="3856C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B468F5"/>
    <w:multiLevelType w:val="hybridMultilevel"/>
    <w:tmpl w:val="CC4E56EA"/>
    <w:lvl w:ilvl="0" w:tplc="E264CA32">
      <w:start w:val="1"/>
      <w:numFmt w:val="bullet"/>
      <w:lvlRestart w:val="0"/>
      <w:pStyle w:val="TSP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52085B"/>
    <w:multiLevelType w:val="hybridMultilevel"/>
    <w:tmpl w:val="CB98231C"/>
    <w:lvl w:ilvl="0" w:tplc="664029F2">
      <w:start w:val="1"/>
      <w:numFmt w:val="decimal"/>
      <w:lvlRestart w:val="0"/>
      <w:pStyle w:val="TSP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F92519"/>
    <w:multiLevelType w:val="hybridMultilevel"/>
    <w:tmpl w:val="F86602B4"/>
    <w:lvl w:ilvl="0" w:tplc="A67EA6DA">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1" w15:restartNumberingAfterBreak="0">
    <w:nsid w:val="24D96086"/>
    <w:multiLevelType w:val="hybridMultilevel"/>
    <w:tmpl w:val="5CA6B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6"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8" w15:restartNumberingAfterBreak="0">
    <w:nsid w:val="59F251C5"/>
    <w:multiLevelType w:val="hybridMultilevel"/>
    <w:tmpl w:val="E2ACA3DC"/>
    <w:lvl w:ilvl="0" w:tplc="F574F898">
      <w:start w:val="1"/>
      <w:numFmt w:val="lowerLetter"/>
      <w:lvlText w:val="(%1)"/>
      <w:lvlJc w:val="left"/>
      <w:pPr>
        <w:ind w:left="1160" w:hanging="360"/>
      </w:pPr>
      <w:rPr>
        <w:rFonts w:hint="eastAsia"/>
      </w:r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9" w15:restartNumberingAfterBreak="0">
    <w:nsid w:val="5D206535"/>
    <w:multiLevelType w:val="hybridMultilevel"/>
    <w:tmpl w:val="CBC275A6"/>
    <w:lvl w:ilvl="0" w:tplc="A67EA6DA">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E01B78"/>
    <w:multiLevelType w:val="hybridMultilevel"/>
    <w:tmpl w:val="E5348BD8"/>
    <w:lvl w:ilvl="0" w:tplc="A67EA6D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950A46"/>
    <w:multiLevelType w:val="hybridMultilevel"/>
    <w:tmpl w:val="C046ED72"/>
    <w:lvl w:ilvl="0" w:tplc="A67EA6DA">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012E46"/>
    <w:multiLevelType w:val="hybridMultilevel"/>
    <w:tmpl w:val="88C2FAD8"/>
    <w:lvl w:ilvl="0" w:tplc="5C06B1C6">
      <w:start w:val="1"/>
      <w:numFmt w:val="decimal"/>
      <w:pStyle w:val="TSP71References"/>
      <w:lvlText w:val="%1."/>
      <w:lvlJc w:val="left"/>
      <w:pPr>
        <w:ind w:left="360" w:hanging="360"/>
      </w:pPr>
      <w:rPr>
        <w:rFonts w:hint="eastAsia"/>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311A3B"/>
    <w:multiLevelType w:val="hybridMultilevel"/>
    <w:tmpl w:val="9EF4A612"/>
    <w:lvl w:ilvl="0" w:tplc="BED0D818">
      <w:start w:val="1"/>
      <w:numFmt w:val="decimal"/>
      <w:lvlRestart w:val="0"/>
      <w:pStyle w:val="TSP37itemize"/>
      <w:lvlText w:val="%1."/>
      <w:lvlJc w:val="left"/>
      <w:pPr>
        <w:tabs>
          <w:tab w:val="num" w:pos="0"/>
        </w:tabs>
        <w:ind w:left="425" w:hanging="425"/>
      </w:pPr>
      <w:rPr>
        <w:rFonts w:hint="eastAsia"/>
        <w:b w:val="0"/>
        <w:i w:val="0"/>
        <w:caps w:val="0"/>
        <w:strike w:val="0"/>
        <w:dstrike w:val="0"/>
        <w:outline w:val="0"/>
        <w:shadow w:val="0"/>
        <w:emboss w:val="0"/>
        <w:imprint w:val="0"/>
        <w:vanish w:val="0"/>
        <w:color w:val="auto"/>
        <w:sz w:val="20"/>
        <w:u w:val="none"/>
        <w:effect w:val="none"/>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abstractNumId w:val="13"/>
  </w:num>
  <w:num w:numId="2">
    <w:abstractNumId w:val="15"/>
  </w:num>
  <w:num w:numId="3">
    <w:abstractNumId w:val="12"/>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num>
  <w:num w:numId="6">
    <w:abstractNumId w:val="17"/>
  </w:num>
  <w:num w:numId="7">
    <w:abstractNumId w:val="10"/>
  </w:num>
  <w:num w:numId="8">
    <w:abstractNumId w:val="17"/>
  </w:num>
  <w:num w:numId="9">
    <w:abstractNumId w:val="10"/>
  </w:num>
  <w:num w:numId="10">
    <w:abstractNumId w:val="17"/>
  </w:num>
  <w:num w:numId="11">
    <w:abstractNumId w:val="10"/>
  </w:num>
  <w:num w:numId="12">
    <w:abstractNumId w:val="23"/>
  </w:num>
  <w:num w:numId="13">
    <w:abstractNumId w:val="17"/>
  </w:num>
  <w:num w:numId="14">
    <w:abstractNumId w:val="10"/>
  </w:num>
  <w:num w:numId="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num>
  <w:num w:numId="1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num>
  <w:num w:numId="19">
    <w:abstractNumId w:val="16"/>
  </w:num>
  <w:num w:numId="20">
    <w:abstractNumId w:val="7"/>
  </w:num>
  <w:num w:numId="21">
    <w:abstractNumId w:val="17"/>
  </w:num>
  <w:num w:numId="22">
    <w:abstractNumId w:val="10"/>
  </w:num>
  <w:num w:numId="23">
    <w:abstractNumId w:val="7"/>
  </w:num>
  <w:num w:numId="24">
    <w:abstractNumId w:val="8"/>
  </w:num>
  <w:num w:numId="25">
    <w:abstractNumId w:val="24"/>
  </w:num>
  <w:num w:numId="26">
    <w:abstractNumId w:val="22"/>
  </w:num>
  <w:num w:numId="27">
    <w:abstractNumId w:val="24"/>
  </w:num>
  <w:num w:numId="28">
    <w:abstractNumId w:val="7"/>
  </w:num>
  <w:num w:numId="29">
    <w:abstractNumId w:val="8"/>
  </w:num>
  <w:num w:numId="30">
    <w:abstractNumId w:val="22"/>
  </w:num>
  <w:num w:numId="31">
    <w:abstractNumId w:val="1"/>
  </w:num>
  <w:num w:numId="32">
    <w:abstractNumId w:val="2"/>
  </w:num>
  <w:num w:numId="33">
    <w:abstractNumId w:val="0"/>
  </w:num>
  <w:num w:numId="34">
    <w:abstractNumId w:val="4"/>
  </w:num>
  <w:num w:numId="35">
    <w:abstractNumId w:val="18"/>
  </w:num>
  <w:num w:numId="36">
    <w:abstractNumId w:val="11"/>
  </w:num>
  <w:num w:numId="37">
    <w:abstractNumId w:val="6"/>
  </w:num>
  <w:num w:numId="38">
    <w:abstractNumId w:val="19"/>
  </w:num>
  <w:num w:numId="39">
    <w:abstractNumId w:val="21"/>
  </w:num>
  <w:num w:numId="40">
    <w:abstractNumId w:val="3"/>
  </w:num>
  <w:num w:numId="41">
    <w:abstractNumId w:val="9"/>
  </w:num>
  <w:num w:numId="42">
    <w:abstractNumId w:val="20"/>
  </w:num>
  <w:num w:numId="43">
    <w:abstractNumId w:val="24"/>
    <w:lvlOverride w:ilvl="0">
      <w:startOverride w:val="1"/>
    </w:lvlOverride>
  </w:num>
  <w:num w:numId="44">
    <w:abstractNumId w:val="24"/>
    <w:lvlOverride w:ilvl="0">
      <w:startOverride w:val="1"/>
    </w:lvlOverride>
  </w:num>
  <w:num w:numId="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evenAndOddHeaders/>
  <w:drawingGridHorizontalSpacing w:val="10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F9A"/>
    <w:rsid w:val="000067B7"/>
    <w:rsid w:val="00014243"/>
    <w:rsid w:val="000327B8"/>
    <w:rsid w:val="000348D8"/>
    <w:rsid w:val="00035FC3"/>
    <w:rsid w:val="00042AF8"/>
    <w:rsid w:val="0004400E"/>
    <w:rsid w:val="00044BC6"/>
    <w:rsid w:val="00044C0A"/>
    <w:rsid w:val="0004721A"/>
    <w:rsid w:val="00053EBF"/>
    <w:rsid w:val="00066035"/>
    <w:rsid w:val="00074D05"/>
    <w:rsid w:val="000761DC"/>
    <w:rsid w:val="0009213F"/>
    <w:rsid w:val="000924DC"/>
    <w:rsid w:val="000A02DD"/>
    <w:rsid w:val="000A0F93"/>
    <w:rsid w:val="000B1F19"/>
    <w:rsid w:val="000B3947"/>
    <w:rsid w:val="000B5171"/>
    <w:rsid w:val="000B6836"/>
    <w:rsid w:val="000B74CE"/>
    <w:rsid w:val="000C151B"/>
    <w:rsid w:val="000C2465"/>
    <w:rsid w:val="000C3A50"/>
    <w:rsid w:val="000C504E"/>
    <w:rsid w:val="000C53B9"/>
    <w:rsid w:val="000D1C00"/>
    <w:rsid w:val="000F74CC"/>
    <w:rsid w:val="00107178"/>
    <w:rsid w:val="00120C0D"/>
    <w:rsid w:val="0012177F"/>
    <w:rsid w:val="00123A57"/>
    <w:rsid w:val="001266E5"/>
    <w:rsid w:val="00127184"/>
    <w:rsid w:val="00135C88"/>
    <w:rsid w:val="00144467"/>
    <w:rsid w:val="0015485D"/>
    <w:rsid w:val="0016006D"/>
    <w:rsid w:val="001614A0"/>
    <w:rsid w:val="001669CA"/>
    <w:rsid w:val="00167105"/>
    <w:rsid w:val="00175C5A"/>
    <w:rsid w:val="00176609"/>
    <w:rsid w:val="0018737C"/>
    <w:rsid w:val="001933FC"/>
    <w:rsid w:val="0019364C"/>
    <w:rsid w:val="001A0192"/>
    <w:rsid w:val="001A18BB"/>
    <w:rsid w:val="001A1E76"/>
    <w:rsid w:val="001A6200"/>
    <w:rsid w:val="001C5DD8"/>
    <w:rsid w:val="001C75BF"/>
    <w:rsid w:val="001D349C"/>
    <w:rsid w:val="001D4D23"/>
    <w:rsid w:val="001E2AEB"/>
    <w:rsid w:val="001E4A07"/>
    <w:rsid w:val="0020081E"/>
    <w:rsid w:val="00206E80"/>
    <w:rsid w:val="00211F69"/>
    <w:rsid w:val="0021217E"/>
    <w:rsid w:val="002223FC"/>
    <w:rsid w:val="00222904"/>
    <w:rsid w:val="00240486"/>
    <w:rsid w:val="00241471"/>
    <w:rsid w:val="002432B5"/>
    <w:rsid w:val="002505E8"/>
    <w:rsid w:val="00252F0C"/>
    <w:rsid w:val="00254437"/>
    <w:rsid w:val="002915FF"/>
    <w:rsid w:val="002946D9"/>
    <w:rsid w:val="002A76DC"/>
    <w:rsid w:val="002B6DCE"/>
    <w:rsid w:val="002C4A07"/>
    <w:rsid w:val="002E255F"/>
    <w:rsid w:val="002F4A79"/>
    <w:rsid w:val="00302A12"/>
    <w:rsid w:val="003040E0"/>
    <w:rsid w:val="00324292"/>
    <w:rsid w:val="00326141"/>
    <w:rsid w:val="00330316"/>
    <w:rsid w:val="00331431"/>
    <w:rsid w:val="003539E4"/>
    <w:rsid w:val="00357E10"/>
    <w:rsid w:val="00364C29"/>
    <w:rsid w:val="00370EC8"/>
    <w:rsid w:val="0037766B"/>
    <w:rsid w:val="00377F4F"/>
    <w:rsid w:val="003817A5"/>
    <w:rsid w:val="00381C31"/>
    <w:rsid w:val="0038794D"/>
    <w:rsid w:val="00390202"/>
    <w:rsid w:val="00397AC9"/>
    <w:rsid w:val="003A15E9"/>
    <w:rsid w:val="003A791E"/>
    <w:rsid w:val="003B7C96"/>
    <w:rsid w:val="003C241C"/>
    <w:rsid w:val="003D3232"/>
    <w:rsid w:val="003D7079"/>
    <w:rsid w:val="003E012D"/>
    <w:rsid w:val="003F00CA"/>
    <w:rsid w:val="003F0E95"/>
    <w:rsid w:val="003F1497"/>
    <w:rsid w:val="003F49FF"/>
    <w:rsid w:val="00401D30"/>
    <w:rsid w:val="004053AB"/>
    <w:rsid w:val="00406628"/>
    <w:rsid w:val="00413E4D"/>
    <w:rsid w:val="0041581F"/>
    <w:rsid w:val="00423C9D"/>
    <w:rsid w:val="0042484A"/>
    <w:rsid w:val="00424C01"/>
    <w:rsid w:val="00425800"/>
    <w:rsid w:val="00425DAF"/>
    <w:rsid w:val="004324A8"/>
    <w:rsid w:val="004340C2"/>
    <w:rsid w:val="00443AAF"/>
    <w:rsid w:val="004504C9"/>
    <w:rsid w:val="004505CF"/>
    <w:rsid w:val="004556AD"/>
    <w:rsid w:val="004669B4"/>
    <w:rsid w:val="0046725B"/>
    <w:rsid w:val="00471F5A"/>
    <w:rsid w:val="00475043"/>
    <w:rsid w:val="004874CA"/>
    <w:rsid w:val="00497BF4"/>
    <w:rsid w:val="004A046F"/>
    <w:rsid w:val="004A346F"/>
    <w:rsid w:val="004A5645"/>
    <w:rsid w:val="004D1456"/>
    <w:rsid w:val="004D3B65"/>
    <w:rsid w:val="004E48DB"/>
    <w:rsid w:val="00501D0F"/>
    <w:rsid w:val="00504B24"/>
    <w:rsid w:val="00506BC0"/>
    <w:rsid w:val="0051540B"/>
    <w:rsid w:val="0053256F"/>
    <w:rsid w:val="005332CC"/>
    <w:rsid w:val="00535B84"/>
    <w:rsid w:val="005429B5"/>
    <w:rsid w:val="00557B4B"/>
    <w:rsid w:val="00562123"/>
    <w:rsid w:val="005664C6"/>
    <w:rsid w:val="005A6A67"/>
    <w:rsid w:val="005B3389"/>
    <w:rsid w:val="005B6005"/>
    <w:rsid w:val="005B7792"/>
    <w:rsid w:val="005C5DE8"/>
    <w:rsid w:val="00605718"/>
    <w:rsid w:val="00606DEF"/>
    <w:rsid w:val="00606FD6"/>
    <w:rsid w:val="00617A4D"/>
    <w:rsid w:val="006205C4"/>
    <w:rsid w:val="00630526"/>
    <w:rsid w:val="00640712"/>
    <w:rsid w:val="00644710"/>
    <w:rsid w:val="00645D18"/>
    <w:rsid w:val="00646BFC"/>
    <w:rsid w:val="00653AA5"/>
    <w:rsid w:val="0065560B"/>
    <w:rsid w:val="00666C02"/>
    <w:rsid w:val="00671626"/>
    <w:rsid w:val="00673B6B"/>
    <w:rsid w:val="00676A5F"/>
    <w:rsid w:val="0068381A"/>
    <w:rsid w:val="00686D0C"/>
    <w:rsid w:val="00691777"/>
    <w:rsid w:val="00692393"/>
    <w:rsid w:val="006A4249"/>
    <w:rsid w:val="006A74F9"/>
    <w:rsid w:val="006B24A6"/>
    <w:rsid w:val="006C6DB8"/>
    <w:rsid w:val="006D3428"/>
    <w:rsid w:val="006D7D99"/>
    <w:rsid w:val="006E1066"/>
    <w:rsid w:val="006E4229"/>
    <w:rsid w:val="006E63FE"/>
    <w:rsid w:val="006F7353"/>
    <w:rsid w:val="006F797D"/>
    <w:rsid w:val="00702642"/>
    <w:rsid w:val="0071323C"/>
    <w:rsid w:val="00713B93"/>
    <w:rsid w:val="007204D6"/>
    <w:rsid w:val="00722347"/>
    <w:rsid w:val="00724867"/>
    <w:rsid w:val="00726007"/>
    <w:rsid w:val="007379C4"/>
    <w:rsid w:val="0074379F"/>
    <w:rsid w:val="007445BC"/>
    <w:rsid w:val="00744F06"/>
    <w:rsid w:val="00745CCF"/>
    <w:rsid w:val="007471D3"/>
    <w:rsid w:val="00750361"/>
    <w:rsid w:val="00762525"/>
    <w:rsid w:val="00764162"/>
    <w:rsid w:val="007648D8"/>
    <w:rsid w:val="007666FC"/>
    <w:rsid w:val="0077159E"/>
    <w:rsid w:val="00775B3B"/>
    <w:rsid w:val="00776E78"/>
    <w:rsid w:val="00792DC7"/>
    <w:rsid w:val="00797AB1"/>
    <w:rsid w:val="007A0644"/>
    <w:rsid w:val="007A5887"/>
    <w:rsid w:val="007B1ABD"/>
    <w:rsid w:val="007C021F"/>
    <w:rsid w:val="007D0ABE"/>
    <w:rsid w:val="007D3EBF"/>
    <w:rsid w:val="007D7C1C"/>
    <w:rsid w:val="007F1339"/>
    <w:rsid w:val="007F773B"/>
    <w:rsid w:val="00804595"/>
    <w:rsid w:val="008145DC"/>
    <w:rsid w:val="00814FF4"/>
    <w:rsid w:val="00815D1E"/>
    <w:rsid w:val="0082500C"/>
    <w:rsid w:val="00843AAF"/>
    <w:rsid w:val="008474ED"/>
    <w:rsid w:val="00857C45"/>
    <w:rsid w:val="00862B31"/>
    <w:rsid w:val="008669FB"/>
    <w:rsid w:val="00873E13"/>
    <w:rsid w:val="008808F9"/>
    <w:rsid w:val="00881ECE"/>
    <w:rsid w:val="008844DD"/>
    <w:rsid w:val="00884A10"/>
    <w:rsid w:val="008A3D4D"/>
    <w:rsid w:val="008B6A2E"/>
    <w:rsid w:val="008C1897"/>
    <w:rsid w:val="008D62D4"/>
    <w:rsid w:val="008D685D"/>
    <w:rsid w:val="008D69AF"/>
    <w:rsid w:val="008E6EA5"/>
    <w:rsid w:val="008F0BBC"/>
    <w:rsid w:val="008F2594"/>
    <w:rsid w:val="00911F22"/>
    <w:rsid w:val="009161FF"/>
    <w:rsid w:val="009208CF"/>
    <w:rsid w:val="0094505B"/>
    <w:rsid w:val="00951142"/>
    <w:rsid w:val="009660A1"/>
    <w:rsid w:val="009905BD"/>
    <w:rsid w:val="00993114"/>
    <w:rsid w:val="009936AB"/>
    <w:rsid w:val="00993C64"/>
    <w:rsid w:val="00994C74"/>
    <w:rsid w:val="009A7262"/>
    <w:rsid w:val="009B1FFA"/>
    <w:rsid w:val="009B54F4"/>
    <w:rsid w:val="009B551E"/>
    <w:rsid w:val="009C1F04"/>
    <w:rsid w:val="009C2946"/>
    <w:rsid w:val="009E4060"/>
    <w:rsid w:val="009F081D"/>
    <w:rsid w:val="009F5C65"/>
    <w:rsid w:val="009F70E6"/>
    <w:rsid w:val="00A042AC"/>
    <w:rsid w:val="00A15FF4"/>
    <w:rsid w:val="00A1712D"/>
    <w:rsid w:val="00A20BD2"/>
    <w:rsid w:val="00A20FAB"/>
    <w:rsid w:val="00A24869"/>
    <w:rsid w:val="00A27D3A"/>
    <w:rsid w:val="00A33BFB"/>
    <w:rsid w:val="00A5062B"/>
    <w:rsid w:val="00A563F4"/>
    <w:rsid w:val="00A56FF8"/>
    <w:rsid w:val="00A62565"/>
    <w:rsid w:val="00A63B49"/>
    <w:rsid w:val="00A65FB0"/>
    <w:rsid w:val="00A70C73"/>
    <w:rsid w:val="00A8104C"/>
    <w:rsid w:val="00A852BC"/>
    <w:rsid w:val="00A9313E"/>
    <w:rsid w:val="00AA03F5"/>
    <w:rsid w:val="00AA1BD0"/>
    <w:rsid w:val="00AB5AEE"/>
    <w:rsid w:val="00AC0491"/>
    <w:rsid w:val="00AC5809"/>
    <w:rsid w:val="00AD3F77"/>
    <w:rsid w:val="00AD4C85"/>
    <w:rsid w:val="00AD7138"/>
    <w:rsid w:val="00AD7B01"/>
    <w:rsid w:val="00AD7E83"/>
    <w:rsid w:val="00AF78DE"/>
    <w:rsid w:val="00B00D2E"/>
    <w:rsid w:val="00B03BEC"/>
    <w:rsid w:val="00B05206"/>
    <w:rsid w:val="00B0633B"/>
    <w:rsid w:val="00B06860"/>
    <w:rsid w:val="00B22E26"/>
    <w:rsid w:val="00B37458"/>
    <w:rsid w:val="00B377C4"/>
    <w:rsid w:val="00B46F24"/>
    <w:rsid w:val="00B47634"/>
    <w:rsid w:val="00B60928"/>
    <w:rsid w:val="00B622F2"/>
    <w:rsid w:val="00B71516"/>
    <w:rsid w:val="00B718C5"/>
    <w:rsid w:val="00B72696"/>
    <w:rsid w:val="00B75C9A"/>
    <w:rsid w:val="00B9215D"/>
    <w:rsid w:val="00B93109"/>
    <w:rsid w:val="00B94D10"/>
    <w:rsid w:val="00BA586B"/>
    <w:rsid w:val="00BB4E27"/>
    <w:rsid w:val="00BB6B31"/>
    <w:rsid w:val="00BC221F"/>
    <w:rsid w:val="00BC33BF"/>
    <w:rsid w:val="00BC39AD"/>
    <w:rsid w:val="00BC727B"/>
    <w:rsid w:val="00BC74C5"/>
    <w:rsid w:val="00BD0D11"/>
    <w:rsid w:val="00BE2474"/>
    <w:rsid w:val="00BE71F4"/>
    <w:rsid w:val="00BF06D2"/>
    <w:rsid w:val="00BF28B4"/>
    <w:rsid w:val="00C02446"/>
    <w:rsid w:val="00C0392A"/>
    <w:rsid w:val="00C03FCF"/>
    <w:rsid w:val="00C16DD7"/>
    <w:rsid w:val="00C2375A"/>
    <w:rsid w:val="00C34E4B"/>
    <w:rsid w:val="00C36608"/>
    <w:rsid w:val="00C47AA8"/>
    <w:rsid w:val="00C818EC"/>
    <w:rsid w:val="00C86F84"/>
    <w:rsid w:val="00CB5AAB"/>
    <w:rsid w:val="00CC1538"/>
    <w:rsid w:val="00CC7AAB"/>
    <w:rsid w:val="00CD54D3"/>
    <w:rsid w:val="00CE4114"/>
    <w:rsid w:val="00CE4479"/>
    <w:rsid w:val="00CF67CD"/>
    <w:rsid w:val="00D15FD7"/>
    <w:rsid w:val="00D16721"/>
    <w:rsid w:val="00D20D10"/>
    <w:rsid w:val="00D21AA3"/>
    <w:rsid w:val="00D27228"/>
    <w:rsid w:val="00D300EC"/>
    <w:rsid w:val="00D328A0"/>
    <w:rsid w:val="00D5407A"/>
    <w:rsid w:val="00D727F8"/>
    <w:rsid w:val="00D7325D"/>
    <w:rsid w:val="00D76D5F"/>
    <w:rsid w:val="00D86142"/>
    <w:rsid w:val="00D91DD8"/>
    <w:rsid w:val="00DA071E"/>
    <w:rsid w:val="00DA6AE2"/>
    <w:rsid w:val="00DA7729"/>
    <w:rsid w:val="00DB553D"/>
    <w:rsid w:val="00DB56BC"/>
    <w:rsid w:val="00DC7518"/>
    <w:rsid w:val="00DD45D0"/>
    <w:rsid w:val="00DE07DE"/>
    <w:rsid w:val="00DE228F"/>
    <w:rsid w:val="00DE26A7"/>
    <w:rsid w:val="00DE2C5F"/>
    <w:rsid w:val="00DF16E9"/>
    <w:rsid w:val="00E02579"/>
    <w:rsid w:val="00E03F44"/>
    <w:rsid w:val="00E14912"/>
    <w:rsid w:val="00E17581"/>
    <w:rsid w:val="00E20009"/>
    <w:rsid w:val="00E228AA"/>
    <w:rsid w:val="00E257FA"/>
    <w:rsid w:val="00E26A84"/>
    <w:rsid w:val="00E36F71"/>
    <w:rsid w:val="00E445B7"/>
    <w:rsid w:val="00E52B18"/>
    <w:rsid w:val="00E52E54"/>
    <w:rsid w:val="00E53385"/>
    <w:rsid w:val="00E55942"/>
    <w:rsid w:val="00E55DCB"/>
    <w:rsid w:val="00E57E08"/>
    <w:rsid w:val="00E63ECE"/>
    <w:rsid w:val="00E659DB"/>
    <w:rsid w:val="00E81963"/>
    <w:rsid w:val="00E82717"/>
    <w:rsid w:val="00E82DCF"/>
    <w:rsid w:val="00E8311E"/>
    <w:rsid w:val="00E92649"/>
    <w:rsid w:val="00E972A4"/>
    <w:rsid w:val="00EA1F9A"/>
    <w:rsid w:val="00EA2289"/>
    <w:rsid w:val="00EA591D"/>
    <w:rsid w:val="00EA6902"/>
    <w:rsid w:val="00EA77C5"/>
    <w:rsid w:val="00EC23EC"/>
    <w:rsid w:val="00ED2E2A"/>
    <w:rsid w:val="00ED4753"/>
    <w:rsid w:val="00ED6EB1"/>
    <w:rsid w:val="00EE0715"/>
    <w:rsid w:val="00EE0DD2"/>
    <w:rsid w:val="00EE3F08"/>
    <w:rsid w:val="00EF6690"/>
    <w:rsid w:val="00F0466A"/>
    <w:rsid w:val="00F05B9C"/>
    <w:rsid w:val="00F1193E"/>
    <w:rsid w:val="00F1450C"/>
    <w:rsid w:val="00F14FB5"/>
    <w:rsid w:val="00F330F0"/>
    <w:rsid w:val="00F42807"/>
    <w:rsid w:val="00F42D8E"/>
    <w:rsid w:val="00F460DA"/>
    <w:rsid w:val="00F46CCC"/>
    <w:rsid w:val="00F54E21"/>
    <w:rsid w:val="00F56AAC"/>
    <w:rsid w:val="00F57FA0"/>
    <w:rsid w:val="00F654F2"/>
    <w:rsid w:val="00F70440"/>
    <w:rsid w:val="00F8065D"/>
    <w:rsid w:val="00F8502F"/>
    <w:rsid w:val="00F879E4"/>
    <w:rsid w:val="00F91974"/>
    <w:rsid w:val="00F91C19"/>
    <w:rsid w:val="00FA029E"/>
    <w:rsid w:val="00FB7B26"/>
    <w:rsid w:val="00FC3455"/>
    <w:rsid w:val="00FC39AC"/>
    <w:rsid w:val="00FC7435"/>
    <w:rsid w:val="00FC7515"/>
    <w:rsid w:val="00FD698E"/>
    <w:rsid w:val="00FE76F9"/>
    <w:rsid w:val="00FF5DF8"/>
    <w:rsid w:val="00FF6C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chartTrackingRefBased/>
  <w15:docId w15:val="{430808BC-EC3C-4EC3-9E9F-7A37E37C6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30316"/>
    <w:pPr>
      <w:spacing w:line="260" w:lineRule="atLeast"/>
      <w:jc w:val="both"/>
    </w:pPr>
    <w:rPr>
      <w:rFonts w:ascii="Minion Pro" w:hAnsi="Minion Pro"/>
      <w:color w:val="000000"/>
    </w:rPr>
  </w:style>
  <w:style w:type="paragraph" w:styleId="Heading1">
    <w:name w:val="heading 1"/>
    <w:basedOn w:val="Normal"/>
    <w:next w:val="Normal"/>
    <w:link w:val="Heading1Char"/>
    <w:uiPriority w:val="9"/>
    <w:qFormat/>
    <w:rsid w:val="00397AC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97AC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SP11articletype">
    <w:name w:val="TSP_1.1_article_type"/>
    <w:next w:val="Normal"/>
    <w:qFormat/>
    <w:rsid w:val="000C53B9"/>
    <w:pPr>
      <w:adjustRightInd w:val="0"/>
      <w:snapToGrid w:val="0"/>
      <w:spacing w:before="240" w:line="240" w:lineRule="atLeast"/>
    </w:pPr>
    <w:rPr>
      <w:rFonts w:ascii="Minion Pro" w:eastAsia="Times New Roman" w:hAnsi="Minion Pro"/>
      <w:b/>
      <w:caps/>
      <w:snapToGrid w:val="0"/>
      <w:color w:val="000000"/>
      <w:sz w:val="18"/>
      <w:szCs w:val="22"/>
      <w:u w:val="single"/>
      <w:lang w:eastAsia="de-DE" w:bidi="en-US"/>
    </w:rPr>
  </w:style>
  <w:style w:type="paragraph" w:customStyle="1" w:styleId="TSP110doinum">
    <w:name w:val="TSP_1.10_doinum"/>
    <w:basedOn w:val="Normal"/>
    <w:qFormat/>
    <w:rsid w:val="005429B5"/>
    <w:pPr>
      <w:spacing w:after="240" w:line="60" w:lineRule="atLeast"/>
      <w:jc w:val="left"/>
    </w:pPr>
    <w:rPr>
      <w:rFonts w:eastAsiaTheme="minorEastAsia"/>
      <w:kern w:val="2"/>
      <w:sz w:val="14"/>
      <w14:ligatures w14:val="standardContextual"/>
    </w:rPr>
  </w:style>
  <w:style w:type="paragraph" w:customStyle="1" w:styleId="TSP12title">
    <w:name w:val="TSP_1.2_title"/>
    <w:next w:val="Normal"/>
    <w:qFormat/>
    <w:rsid w:val="005429B5"/>
    <w:pPr>
      <w:adjustRightInd w:val="0"/>
      <w:snapToGrid w:val="0"/>
      <w:spacing w:before="240" w:after="240" w:line="240" w:lineRule="atLeast"/>
    </w:pPr>
    <w:rPr>
      <w:rFonts w:ascii="Minion Pro" w:eastAsia="Times New Roman" w:hAnsi="Minion Pro"/>
      <w:b/>
      <w:snapToGrid w:val="0"/>
      <w:color w:val="000000"/>
      <w:sz w:val="28"/>
      <w:lang w:eastAsia="de-DE" w:bidi="en-US"/>
    </w:rPr>
  </w:style>
  <w:style w:type="paragraph" w:customStyle="1" w:styleId="TSP13authornames">
    <w:name w:val="TSP_1.3_authornames"/>
    <w:next w:val="Normal"/>
    <w:qFormat/>
    <w:rsid w:val="005429B5"/>
    <w:pPr>
      <w:adjustRightInd w:val="0"/>
      <w:snapToGrid w:val="0"/>
      <w:spacing w:before="240" w:after="240" w:line="240" w:lineRule="atLeast"/>
    </w:pPr>
    <w:rPr>
      <w:rFonts w:ascii="Minion Pro" w:eastAsia="Times New Roman" w:hAnsi="Minion Pro"/>
      <w:b/>
      <w:color w:val="000000"/>
      <w:sz w:val="22"/>
      <w:szCs w:val="22"/>
      <w:lang w:eastAsia="de-DE" w:bidi="en-US"/>
    </w:rPr>
  </w:style>
  <w:style w:type="paragraph" w:customStyle="1" w:styleId="TSP14history">
    <w:name w:val="TSP_1.4_history"/>
    <w:basedOn w:val="Normal"/>
    <w:next w:val="Normal"/>
    <w:autoRedefine/>
    <w:qFormat/>
    <w:rsid w:val="000C53B9"/>
    <w:pPr>
      <w:adjustRightInd w:val="0"/>
      <w:snapToGrid w:val="0"/>
      <w:spacing w:before="60" w:after="240" w:line="240" w:lineRule="atLeast"/>
      <w:jc w:val="left"/>
    </w:pPr>
    <w:rPr>
      <w:rFonts w:eastAsia="Times New Roman"/>
      <w:sz w:val="18"/>
      <w:lang w:eastAsia="de-DE" w:bidi="en-US"/>
    </w:rPr>
  </w:style>
  <w:style w:type="paragraph" w:customStyle="1" w:styleId="TSP15academiceditor">
    <w:name w:val="TSP_1.5_academic_editor"/>
    <w:qFormat/>
    <w:rsid w:val="006E63FE"/>
    <w:pPr>
      <w:adjustRightInd w:val="0"/>
      <w:snapToGrid w:val="0"/>
      <w:spacing w:before="120" w:after="120" w:line="240" w:lineRule="atLeast"/>
    </w:pPr>
    <w:rPr>
      <w:rFonts w:ascii="Minion Pro" w:eastAsia="Times New Roman" w:hAnsi="Minion Pro"/>
      <w:color w:val="000000"/>
      <w:sz w:val="18"/>
      <w:szCs w:val="22"/>
      <w:lang w:eastAsia="de-DE" w:bidi="en-US"/>
    </w:rPr>
  </w:style>
  <w:style w:type="paragraph" w:customStyle="1" w:styleId="TSP16affiliation">
    <w:name w:val="TSP_1.6_affiliation"/>
    <w:qFormat/>
    <w:rsid w:val="005429B5"/>
    <w:pPr>
      <w:adjustRightInd w:val="0"/>
      <w:snapToGrid w:val="0"/>
      <w:spacing w:line="240" w:lineRule="atLeast"/>
    </w:pPr>
    <w:rPr>
      <w:rFonts w:ascii="Minion Pro" w:eastAsia="Times New Roman" w:hAnsi="Minion Pro"/>
      <w:color w:val="000000"/>
      <w:sz w:val="18"/>
      <w:szCs w:val="18"/>
      <w:lang w:eastAsia="de-DE" w:bidi="en-US"/>
    </w:rPr>
  </w:style>
  <w:style w:type="paragraph" w:customStyle="1" w:styleId="TSP17abstract">
    <w:name w:val="TSP_1.7_abstract"/>
    <w:next w:val="Normal"/>
    <w:qFormat/>
    <w:rsid w:val="005429B5"/>
    <w:pPr>
      <w:adjustRightInd w:val="0"/>
      <w:snapToGrid w:val="0"/>
      <w:spacing w:before="240" w:after="240" w:line="240" w:lineRule="atLeast"/>
      <w:jc w:val="both"/>
    </w:pPr>
    <w:rPr>
      <w:rFonts w:ascii="Minion Pro" w:eastAsia="Times New Roman" w:hAnsi="Minion Pro"/>
      <w:color w:val="000000"/>
      <w:szCs w:val="22"/>
      <w:lang w:eastAsia="de-DE" w:bidi="en-US"/>
    </w:rPr>
  </w:style>
  <w:style w:type="paragraph" w:styleId="Footer">
    <w:name w:val="footer"/>
    <w:basedOn w:val="Normal"/>
    <w:link w:val="FooterChar"/>
    <w:uiPriority w:val="99"/>
    <w:qFormat/>
    <w:rsid w:val="00C34E4B"/>
    <w:pPr>
      <w:tabs>
        <w:tab w:val="center" w:pos="4153"/>
        <w:tab w:val="right" w:pos="8306"/>
      </w:tabs>
      <w:snapToGrid w:val="0"/>
      <w:spacing w:line="240" w:lineRule="atLeast"/>
      <w:jc w:val="left"/>
    </w:pPr>
    <w:rPr>
      <w:szCs w:val="18"/>
    </w:rPr>
  </w:style>
  <w:style w:type="character" w:customStyle="1" w:styleId="FooterChar">
    <w:name w:val="Footer Char"/>
    <w:link w:val="Footer"/>
    <w:uiPriority w:val="99"/>
    <w:qFormat/>
    <w:rsid w:val="00C34E4B"/>
    <w:rPr>
      <w:rFonts w:ascii="Minion Pro" w:hAnsi="Minion Pro"/>
      <w:noProof/>
      <w:color w:val="000000"/>
      <w:szCs w:val="18"/>
    </w:rPr>
  </w:style>
  <w:style w:type="paragraph" w:styleId="Header">
    <w:name w:val="header"/>
    <w:basedOn w:val="Normal"/>
    <w:link w:val="HeaderChar"/>
    <w:uiPriority w:val="99"/>
    <w:rsid w:val="00397AC9"/>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397AC9"/>
    <w:rPr>
      <w:rFonts w:ascii="Minion Pro" w:hAnsi="Minion Pro"/>
      <w:noProof/>
      <w:color w:val="000000"/>
      <w:szCs w:val="18"/>
    </w:rPr>
  </w:style>
  <w:style w:type="paragraph" w:customStyle="1" w:styleId="TSP18keywords">
    <w:name w:val="TSP_1.8_keywords"/>
    <w:next w:val="Normal"/>
    <w:qFormat/>
    <w:rsid w:val="006E63FE"/>
    <w:pPr>
      <w:adjustRightInd w:val="0"/>
      <w:snapToGrid w:val="0"/>
      <w:spacing w:before="240" w:line="240" w:lineRule="atLeast"/>
      <w:jc w:val="both"/>
    </w:pPr>
    <w:rPr>
      <w:rFonts w:ascii="Minion Pro" w:eastAsia="Times New Roman" w:hAnsi="Minion Pro"/>
      <w:snapToGrid w:val="0"/>
      <w:color w:val="000000"/>
      <w:szCs w:val="22"/>
      <w:lang w:eastAsia="de-DE" w:bidi="en-US"/>
    </w:rPr>
  </w:style>
  <w:style w:type="paragraph" w:customStyle="1" w:styleId="TSP19classification">
    <w:name w:val="TSP_1.9_classification"/>
    <w:qFormat/>
    <w:rsid w:val="006E63FE"/>
    <w:pPr>
      <w:spacing w:before="240" w:line="240" w:lineRule="atLeast"/>
      <w:jc w:val="both"/>
    </w:pPr>
    <w:rPr>
      <w:rFonts w:ascii="Minion Pro" w:eastAsia="Times New Roman" w:hAnsi="Minion Pro"/>
      <w:b/>
      <w:color w:val="000000"/>
      <w:szCs w:val="22"/>
      <w:lang w:eastAsia="de-DE" w:bidi="en-US"/>
    </w:rPr>
  </w:style>
  <w:style w:type="paragraph" w:customStyle="1" w:styleId="TSP19line">
    <w:name w:val="TSP_1.9_line"/>
    <w:qFormat/>
    <w:rsid w:val="006E63FE"/>
    <w:pPr>
      <w:pBdr>
        <w:bottom w:val="single" w:sz="6" w:space="1" w:color="auto"/>
      </w:pBdr>
      <w:adjustRightInd w:val="0"/>
      <w:snapToGrid w:val="0"/>
      <w:spacing w:after="480" w:line="240" w:lineRule="atLeast"/>
      <w:jc w:val="both"/>
    </w:pPr>
    <w:rPr>
      <w:rFonts w:ascii="Minion Pro" w:eastAsia="Times New Roman" w:hAnsi="Minion Pro" w:cs="Cordia New"/>
      <w:color w:val="000000"/>
      <w:szCs w:val="24"/>
      <w:lang w:eastAsia="de-DE" w:bidi="en-US"/>
    </w:rPr>
  </w:style>
  <w:style w:type="paragraph" w:customStyle="1" w:styleId="TSP21heading1">
    <w:name w:val="TSP_2.1_heading1"/>
    <w:qFormat/>
    <w:rsid w:val="000C53B9"/>
    <w:pPr>
      <w:adjustRightInd w:val="0"/>
      <w:snapToGrid w:val="0"/>
      <w:spacing w:before="240" w:after="60" w:line="240" w:lineRule="atLeast"/>
      <w:outlineLvl w:val="0"/>
    </w:pPr>
    <w:rPr>
      <w:rFonts w:ascii="Minion Pro" w:eastAsia="Times New Roman" w:hAnsi="Minion Pro"/>
      <w:b/>
      <w:snapToGrid w:val="0"/>
      <w:color w:val="000000"/>
      <w:sz w:val="22"/>
      <w:szCs w:val="22"/>
      <w:lang w:eastAsia="de-DE" w:bidi="en-US"/>
    </w:rPr>
  </w:style>
  <w:style w:type="paragraph" w:customStyle="1" w:styleId="TSP22heading2">
    <w:name w:val="TSP_2.2_heading2"/>
    <w:qFormat/>
    <w:rsid w:val="005429B5"/>
    <w:pPr>
      <w:adjustRightInd w:val="0"/>
      <w:snapToGrid w:val="0"/>
      <w:spacing w:before="60" w:after="60" w:line="240" w:lineRule="atLeast"/>
      <w:outlineLvl w:val="1"/>
    </w:pPr>
    <w:rPr>
      <w:rFonts w:ascii="Minion Pro" w:eastAsia="Times New Roman" w:hAnsi="Minion Pro"/>
      <w:b/>
      <w:i/>
      <w:noProof/>
      <w:snapToGrid w:val="0"/>
      <w:color w:val="000000"/>
      <w:sz w:val="22"/>
      <w:szCs w:val="22"/>
      <w:lang w:eastAsia="de-DE" w:bidi="en-US"/>
    </w:rPr>
  </w:style>
  <w:style w:type="paragraph" w:customStyle="1" w:styleId="TSP23heading3">
    <w:name w:val="TSP_2.3_heading3"/>
    <w:qFormat/>
    <w:rsid w:val="000C53B9"/>
    <w:pPr>
      <w:adjustRightInd w:val="0"/>
      <w:snapToGrid w:val="0"/>
      <w:spacing w:before="60" w:after="60" w:line="240" w:lineRule="atLeast"/>
      <w:outlineLvl w:val="2"/>
    </w:pPr>
    <w:rPr>
      <w:rFonts w:ascii="Minion Pro" w:eastAsia="Times New Roman" w:hAnsi="Minion Pro"/>
      <w:i/>
      <w:snapToGrid w:val="0"/>
      <w:color w:val="000000"/>
      <w:sz w:val="22"/>
      <w:szCs w:val="22"/>
      <w:lang w:eastAsia="de-DE" w:bidi="en-US"/>
    </w:rPr>
  </w:style>
  <w:style w:type="paragraph" w:customStyle="1" w:styleId="TSP31text">
    <w:name w:val="TSP_3.1_text"/>
    <w:qFormat/>
    <w:rsid w:val="005429B5"/>
    <w:pPr>
      <w:adjustRightInd w:val="0"/>
      <w:snapToGrid w:val="0"/>
      <w:spacing w:after="6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2textnoindent">
    <w:name w:val="TSP_3.2_text_no_indent"/>
    <w:basedOn w:val="TSP31text"/>
    <w:qFormat/>
    <w:rsid w:val="005429B5"/>
    <w:pPr>
      <w:ind w:firstLine="0"/>
    </w:pPr>
  </w:style>
  <w:style w:type="paragraph" w:customStyle="1" w:styleId="TSP33textspaceafter">
    <w:name w:val="TSP_3.3_text_space_after"/>
    <w:qFormat/>
    <w:rsid w:val="005429B5"/>
    <w:pPr>
      <w:adjustRightInd w:val="0"/>
      <w:snapToGrid w:val="0"/>
      <w:spacing w:after="24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4textspacebefore">
    <w:name w:val="TSP_3.4_text_space_before"/>
    <w:qFormat/>
    <w:rsid w:val="00330316"/>
    <w:pPr>
      <w:adjustRightInd w:val="0"/>
      <w:snapToGrid w:val="0"/>
      <w:spacing w:before="24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5textbeforelist">
    <w:name w:val="TSP_3.5_text_before_list"/>
    <w:qFormat/>
    <w:rsid w:val="00330316"/>
    <w:pPr>
      <w:adjustRightInd w:val="0"/>
      <w:snapToGrid w:val="0"/>
      <w:spacing w:after="6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6textafterlist">
    <w:name w:val="TSP_3.6_text_after_list"/>
    <w:qFormat/>
    <w:rsid w:val="00330316"/>
    <w:pPr>
      <w:adjustRightInd w:val="0"/>
      <w:snapToGrid w:val="0"/>
      <w:spacing w:before="6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7itemize">
    <w:name w:val="TSP_3.7_itemize"/>
    <w:qFormat/>
    <w:rsid w:val="005429B5"/>
    <w:pPr>
      <w:numPr>
        <w:numId w:val="27"/>
      </w:numPr>
      <w:adjustRightInd w:val="0"/>
      <w:snapToGrid w:val="0"/>
      <w:spacing w:line="228" w:lineRule="auto"/>
      <w:jc w:val="both"/>
    </w:pPr>
    <w:rPr>
      <w:rFonts w:ascii="Minion Pro" w:eastAsia="Times New Roman" w:hAnsi="Minion Pro"/>
      <w:color w:val="000000"/>
      <w:sz w:val="22"/>
      <w:szCs w:val="22"/>
      <w:lang w:eastAsia="de-DE" w:bidi="en-US"/>
    </w:rPr>
  </w:style>
  <w:style w:type="paragraph" w:customStyle="1" w:styleId="TSP38bullet">
    <w:name w:val="TSP_3.8_bullet"/>
    <w:qFormat/>
    <w:rsid w:val="005429B5"/>
    <w:pPr>
      <w:numPr>
        <w:numId w:val="28"/>
      </w:numPr>
      <w:adjustRightInd w:val="0"/>
      <w:snapToGrid w:val="0"/>
      <w:spacing w:line="228" w:lineRule="auto"/>
      <w:ind w:left="425"/>
      <w:jc w:val="both"/>
    </w:pPr>
    <w:rPr>
      <w:rFonts w:ascii="Minion Pro" w:eastAsia="Times New Roman" w:hAnsi="Minion Pro"/>
      <w:color w:val="000000"/>
      <w:sz w:val="22"/>
      <w:szCs w:val="22"/>
      <w:lang w:eastAsia="de-DE" w:bidi="en-US"/>
    </w:rPr>
  </w:style>
  <w:style w:type="paragraph" w:customStyle="1" w:styleId="TSP39equation">
    <w:name w:val="TSP_3.9_equation"/>
    <w:qFormat/>
    <w:rsid w:val="005429B5"/>
    <w:pPr>
      <w:adjustRightInd w:val="0"/>
      <w:snapToGrid w:val="0"/>
      <w:spacing w:before="120" w:after="120" w:line="240" w:lineRule="atLeast"/>
    </w:pPr>
    <w:rPr>
      <w:rFonts w:ascii="Minion Pro" w:eastAsia="Times New Roman" w:hAnsi="Minion Pro"/>
      <w:snapToGrid w:val="0"/>
      <w:color w:val="000000"/>
      <w:sz w:val="22"/>
      <w:szCs w:val="22"/>
      <w:lang w:eastAsia="de-DE" w:bidi="en-US"/>
    </w:rPr>
  </w:style>
  <w:style w:type="paragraph" w:customStyle="1" w:styleId="TSP3aequationnumber">
    <w:name w:val="TSP_3.a_equation_number"/>
    <w:qFormat/>
    <w:rsid w:val="00BD0D11"/>
    <w:pPr>
      <w:spacing w:before="120" w:after="120" w:line="240" w:lineRule="atLeast"/>
      <w:jc w:val="right"/>
    </w:pPr>
    <w:rPr>
      <w:rFonts w:ascii="Minion Pro" w:eastAsia="Times New Roman" w:hAnsi="Minion Pro"/>
      <w:snapToGrid w:val="0"/>
      <w:color w:val="000000"/>
      <w:sz w:val="22"/>
      <w:szCs w:val="22"/>
      <w:lang w:eastAsia="de-DE" w:bidi="en-US"/>
    </w:rPr>
  </w:style>
  <w:style w:type="paragraph" w:customStyle="1" w:styleId="TSP411onetablecaption">
    <w:name w:val="TSP_4.1.1_one_table_caption"/>
    <w:qFormat/>
    <w:rsid w:val="00BD0D11"/>
    <w:pPr>
      <w:adjustRightInd w:val="0"/>
      <w:snapToGrid w:val="0"/>
      <w:spacing w:before="240" w:after="120" w:line="240" w:lineRule="atLeast"/>
      <w:jc w:val="center"/>
    </w:pPr>
    <w:rPr>
      <w:rFonts w:ascii="Minion Pro" w:hAnsi="Minion Pro" w:cs="Cordia New"/>
      <w:noProof/>
      <w:color w:val="000000"/>
      <w:szCs w:val="22"/>
      <w:lang w:bidi="en-US"/>
    </w:rPr>
  </w:style>
  <w:style w:type="paragraph" w:customStyle="1" w:styleId="TSP41tablecaption">
    <w:name w:val="TSP_4.1_table_caption"/>
    <w:qFormat/>
    <w:rsid w:val="00BD0D11"/>
    <w:pPr>
      <w:adjustRightInd w:val="0"/>
      <w:snapToGrid w:val="0"/>
      <w:spacing w:before="240" w:after="120" w:line="240" w:lineRule="atLeast"/>
      <w:jc w:val="both"/>
    </w:pPr>
    <w:rPr>
      <w:rFonts w:ascii="Minion Pro" w:eastAsia="Times New Roman" w:hAnsi="Minion Pro" w:cs="Cordia New"/>
      <w:color w:val="000000"/>
      <w:szCs w:val="22"/>
      <w:lang w:eastAsia="de-DE" w:bidi="en-US"/>
    </w:rPr>
  </w:style>
  <w:style w:type="paragraph" w:customStyle="1" w:styleId="TSP42tablebody">
    <w:name w:val="TSP_4.2_table_body"/>
    <w:qFormat/>
    <w:rsid w:val="00BD0D11"/>
    <w:pPr>
      <w:adjustRightInd w:val="0"/>
      <w:snapToGrid w:val="0"/>
      <w:spacing w:line="240" w:lineRule="atLeast"/>
      <w:jc w:val="center"/>
    </w:pPr>
    <w:rPr>
      <w:rFonts w:ascii="Minion Pro" w:eastAsia="Times New Roman" w:hAnsi="Minion Pro"/>
      <w:snapToGrid w:val="0"/>
      <w:color w:val="000000"/>
      <w:lang w:eastAsia="de-DE" w:bidi="en-US"/>
    </w:rPr>
  </w:style>
  <w:style w:type="paragraph" w:customStyle="1" w:styleId="TSP43tablefooter">
    <w:name w:val="TSP_4.3_table_footer"/>
    <w:next w:val="TSP31text"/>
    <w:qFormat/>
    <w:rsid w:val="00BD0D11"/>
    <w:pPr>
      <w:adjustRightInd w:val="0"/>
      <w:snapToGrid w:val="0"/>
      <w:spacing w:after="240" w:line="240" w:lineRule="atLeast"/>
      <w:jc w:val="both"/>
    </w:pPr>
    <w:rPr>
      <w:rFonts w:ascii="Minion Pro" w:eastAsia="Times New Roman" w:hAnsi="Minion Pro" w:cs="Cordia New"/>
      <w:color w:val="000000"/>
      <w:szCs w:val="22"/>
      <w:lang w:eastAsia="de-DE" w:bidi="en-US"/>
    </w:rPr>
  </w:style>
  <w:style w:type="paragraph" w:customStyle="1" w:styleId="TSP511onefigurecaption">
    <w:name w:val="TSP_5.1.1_one_figure_caption"/>
    <w:qFormat/>
    <w:rsid w:val="00BD0D11"/>
    <w:pPr>
      <w:adjustRightInd w:val="0"/>
      <w:snapToGrid w:val="0"/>
      <w:spacing w:before="120" w:after="240" w:line="240" w:lineRule="atLeast"/>
      <w:jc w:val="center"/>
    </w:pPr>
    <w:rPr>
      <w:rFonts w:ascii="Minion Pro" w:hAnsi="Minion Pro"/>
      <w:noProof/>
      <w:color w:val="000000"/>
      <w:lang w:bidi="en-US"/>
    </w:rPr>
  </w:style>
  <w:style w:type="paragraph" w:customStyle="1" w:styleId="TSP51figurecaption">
    <w:name w:val="TSP_5.1_figure_caption"/>
    <w:qFormat/>
    <w:rsid w:val="00BD0D11"/>
    <w:pPr>
      <w:adjustRightInd w:val="0"/>
      <w:snapToGrid w:val="0"/>
      <w:spacing w:before="120" w:after="240" w:line="240" w:lineRule="atLeast"/>
      <w:jc w:val="both"/>
    </w:pPr>
    <w:rPr>
      <w:rFonts w:ascii="Minion Pro" w:eastAsia="Times New Roman" w:hAnsi="Minion Pro"/>
      <w:color w:val="000000"/>
      <w:lang w:eastAsia="de-DE" w:bidi="en-US"/>
    </w:rPr>
  </w:style>
  <w:style w:type="paragraph" w:customStyle="1" w:styleId="TSP52figure">
    <w:name w:val="TSP_5.2_figure"/>
    <w:qFormat/>
    <w:rsid w:val="00BD0D11"/>
    <w:pPr>
      <w:adjustRightInd w:val="0"/>
      <w:snapToGrid w:val="0"/>
      <w:spacing w:before="240" w:after="120" w:line="240" w:lineRule="atLeast"/>
      <w:jc w:val="center"/>
    </w:pPr>
    <w:rPr>
      <w:rFonts w:ascii="Minion Pro" w:eastAsia="Times New Roman" w:hAnsi="Minion Pro"/>
      <w:snapToGrid w:val="0"/>
      <w:color w:val="000000"/>
      <w:lang w:eastAsia="de-DE" w:bidi="en-US"/>
    </w:rPr>
  </w:style>
  <w:style w:type="paragraph" w:styleId="BalloonText">
    <w:name w:val="Balloon Text"/>
    <w:basedOn w:val="Normal"/>
    <w:link w:val="BalloonTextChar"/>
    <w:uiPriority w:val="99"/>
    <w:rsid w:val="00397AC9"/>
    <w:rPr>
      <w:rFonts w:cs="Tahoma"/>
      <w:szCs w:val="18"/>
    </w:rPr>
  </w:style>
  <w:style w:type="character" w:customStyle="1" w:styleId="BalloonTextChar">
    <w:name w:val="Balloon Text Char"/>
    <w:link w:val="BalloonText"/>
    <w:uiPriority w:val="99"/>
    <w:rsid w:val="00397AC9"/>
    <w:rPr>
      <w:rFonts w:ascii="Minion Pro" w:hAnsi="Minion Pro" w:cs="Tahoma"/>
      <w:noProof/>
      <w:color w:val="000000"/>
      <w:szCs w:val="18"/>
    </w:rPr>
  </w:style>
  <w:style w:type="character" w:styleId="LineNumber">
    <w:name w:val="line number"/>
    <w:uiPriority w:val="99"/>
    <w:rsid w:val="00397AC9"/>
    <w:rPr>
      <w:rFonts w:ascii="Minion Pro" w:hAnsi="Minion Pro"/>
      <w:sz w:val="16"/>
    </w:rPr>
  </w:style>
  <w:style w:type="paragraph" w:customStyle="1" w:styleId="TSP61Citation">
    <w:name w:val="TSP_6.1_Citation"/>
    <w:qFormat/>
    <w:rsid w:val="00BD0D11"/>
    <w:pPr>
      <w:adjustRightInd w:val="0"/>
      <w:snapToGrid w:val="0"/>
      <w:spacing w:line="240" w:lineRule="atLeast"/>
    </w:pPr>
    <w:rPr>
      <w:rFonts w:ascii="Minion Pro" w:hAnsi="Minion Pro" w:cs="Cordia New"/>
      <w:sz w:val="22"/>
      <w:szCs w:val="22"/>
    </w:rPr>
  </w:style>
  <w:style w:type="character" w:styleId="Hyperlink">
    <w:name w:val="Hyperlink"/>
    <w:uiPriority w:val="99"/>
    <w:rsid w:val="00397AC9"/>
    <w:rPr>
      <w:color w:val="2F5496" w:themeColor="accent1" w:themeShade="BF"/>
      <w:u w:val="single"/>
    </w:rPr>
  </w:style>
  <w:style w:type="character" w:styleId="UnresolvedMention">
    <w:name w:val="Unresolved Mention"/>
    <w:uiPriority w:val="99"/>
    <w:semiHidden/>
    <w:unhideWhenUsed/>
    <w:rsid w:val="00A65FB0"/>
    <w:rPr>
      <w:color w:val="605E5C"/>
      <w:shd w:val="clear" w:color="auto" w:fill="E1DFDD"/>
    </w:rPr>
  </w:style>
  <w:style w:type="table" w:styleId="TableGrid">
    <w:name w:val="Table Grid"/>
    <w:basedOn w:val="TableNormal"/>
    <w:uiPriority w:val="59"/>
    <w:rsid w:val="00397AC9"/>
    <w:pPr>
      <w:spacing w:line="260" w:lineRule="atLeast"/>
      <w:jc w:val="both"/>
    </w:pPr>
    <w:rPr>
      <w:rFonts w:ascii="Minion Pro" w:hAnsi="Minion Pro"/>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506BC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SP62BackMatter">
    <w:name w:val="TSP_6.2_BackMatter"/>
    <w:qFormat/>
    <w:rsid w:val="000C53B9"/>
    <w:pPr>
      <w:adjustRightInd w:val="0"/>
      <w:snapToGrid w:val="0"/>
      <w:spacing w:before="120" w:after="120" w:line="240" w:lineRule="atLeast"/>
      <w:jc w:val="both"/>
    </w:pPr>
    <w:rPr>
      <w:rFonts w:ascii="Minion Pro" w:eastAsia="Times New Roman" w:hAnsi="Minion Pro"/>
      <w:snapToGrid w:val="0"/>
      <w:color w:val="000000"/>
      <w:lang w:eastAsia="en-US" w:bidi="en-US"/>
    </w:rPr>
  </w:style>
  <w:style w:type="paragraph" w:customStyle="1" w:styleId="TSP63Notes">
    <w:name w:val="TSP_6.3_Notes"/>
    <w:qFormat/>
    <w:rsid w:val="000C53B9"/>
    <w:pPr>
      <w:adjustRightInd w:val="0"/>
      <w:snapToGrid w:val="0"/>
      <w:spacing w:before="60" w:after="60" w:line="228" w:lineRule="auto"/>
      <w:jc w:val="both"/>
    </w:pPr>
    <w:rPr>
      <w:rFonts w:ascii="Minion Pro" w:hAnsi="Minion Pro"/>
      <w:snapToGrid w:val="0"/>
      <w:color w:val="000000"/>
      <w:sz w:val="18"/>
      <w:lang w:eastAsia="en-US" w:bidi="en-US"/>
    </w:rPr>
  </w:style>
  <w:style w:type="paragraph" w:customStyle="1" w:styleId="TSP71FootNotes">
    <w:name w:val="TSP_7.1_FootNotes"/>
    <w:qFormat/>
    <w:rsid w:val="00F14FB5"/>
    <w:pPr>
      <w:numPr>
        <w:numId w:val="29"/>
      </w:numPr>
      <w:adjustRightInd w:val="0"/>
      <w:snapToGrid w:val="0"/>
      <w:spacing w:before="60" w:after="60" w:line="228" w:lineRule="auto"/>
      <w:jc w:val="both"/>
    </w:pPr>
    <w:rPr>
      <w:rFonts w:ascii="Minion Pro" w:eastAsiaTheme="minorEastAsia" w:hAnsi="Minion Pro"/>
      <w:noProof/>
      <w:color w:val="000000"/>
      <w:sz w:val="18"/>
    </w:rPr>
  </w:style>
  <w:style w:type="paragraph" w:customStyle="1" w:styleId="TSP71References">
    <w:name w:val="TSP_7.1_References"/>
    <w:qFormat/>
    <w:rsid w:val="00BD0D11"/>
    <w:pPr>
      <w:numPr>
        <w:numId w:val="30"/>
      </w:numPr>
      <w:adjustRightInd w:val="0"/>
      <w:snapToGrid w:val="0"/>
      <w:spacing w:line="228" w:lineRule="auto"/>
      <w:ind w:left="425" w:hanging="425"/>
      <w:jc w:val="both"/>
    </w:pPr>
    <w:rPr>
      <w:rFonts w:ascii="Minion Pro" w:eastAsia="DengXian" w:hAnsi="Minion Pro"/>
      <w:color w:val="000000"/>
      <w:lang w:eastAsia="de-DE" w:bidi="en-US"/>
    </w:rPr>
  </w:style>
  <w:style w:type="paragraph" w:customStyle="1" w:styleId="TSP72Copyright">
    <w:name w:val="TSP_7.2_Copyright"/>
    <w:qFormat/>
    <w:rsid w:val="00673B6B"/>
    <w:pPr>
      <w:adjustRightInd w:val="0"/>
      <w:snapToGrid w:val="0"/>
      <w:spacing w:line="192" w:lineRule="auto"/>
      <w:jc w:val="both"/>
    </w:pPr>
    <w:rPr>
      <w:rFonts w:ascii="Minion Pro" w:eastAsia="Times New Roman" w:hAnsi="Minion Pro"/>
      <w:noProof/>
      <w:snapToGrid w:val="0"/>
      <w:color w:val="000000"/>
      <w:sz w:val="18"/>
      <w:lang w:val="en-GB" w:eastAsia="en-GB"/>
    </w:rPr>
  </w:style>
  <w:style w:type="paragraph" w:customStyle="1" w:styleId="TSP73CopyrightImage">
    <w:name w:val="TSP_7.3_CopyrightImage"/>
    <w:qFormat/>
    <w:rsid w:val="00BD0D11"/>
    <w:pPr>
      <w:adjustRightInd w:val="0"/>
      <w:snapToGrid w:val="0"/>
      <w:spacing w:before="20" w:line="228" w:lineRule="auto"/>
    </w:pPr>
    <w:rPr>
      <w:rFonts w:ascii="Minion Pro" w:eastAsia="Times New Roman" w:hAnsi="Minion Pro"/>
      <w:color w:val="000000"/>
      <w:sz w:val="18"/>
      <w:lang w:eastAsia="de-CH"/>
    </w:rPr>
  </w:style>
  <w:style w:type="paragraph" w:customStyle="1" w:styleId="TSP81theorem">
    <w:name w:val="TSP_8.1_theorem"/>
    <w:qFormat/>
    <w:rsid w:val="00BD0D11"/>
    <w:pPr>
      <w:adjustRightInd w:val="0"/>
      <w:snapToGrid w:val="0"/>
      <w:spacing w:before="240" w:after="240" w:line="240" w:lineRule="atLeast"/>
      <w:jc w:val="both"/>
    </w:pPr>
    <w:rPr>
      <w:rFonts w:ascii="Minion Pro" w:eastAsia="Times New Roman" w:hAnsi="Minion Pro"/>
      <w:i/>
      <w:snapToGrid w:val="0"/>
      <w:color w:val="000000"/>
      <w:sz w:val="22"/>
      <w:szCs w:val="22"/>
      <w:lang w:eastAsia="de-DE" w:bidi="en-US"/>
    </w:rPr>
  </w:style>
  <w:style w:type="paragraph" w:customStyle="1" w:styleId="TSP82proof">
    <w:name w:val="TSP_8.2_proof"/>
    <w:qFormat/>
    <w:rsid w:val="00BD0D11"/>
    <w:pPr>
      <w:adjustRightInd w:val="0"/>
      <w:snapToGrid w:val="0"/>
      <w:spacing w:before="240" w:after="240" w:line="240" w:lineRule="atLeast"/>
      <w:jc w:val="both"/>
    </w:pPr>
    <w:rPr>
      <w:rFonts w:ascii="Minion Pro" w:eastAsia="Times New Roman" w:hAnsi="Minion Pro"/>
      <w:snapToGrid w:val="0"/>
      <w:color w:val="000000"/>
      <w:sz w:val="22"/>
      <w:szCs w:val="22"/>
      <w:lang w:eastAsia="de-DE" w:bidi="en-US"/>
    </w:rPr>
  </w:style>
  <w:style w:type="paragraph" w:customStyle="1" w:styleId="TSPequationFram">
    <w:name w:val="TSP_equationFram"/>
    <w:qFormat/>
    <w:rsid w:val="00BD0D11"/>
    <w:pPr>
      <w:adjustRightInd w:val="0"/>
      <w:snapToGrid w:val="0"/>
      <w:spacing w:before="120" w:after="120"/>
    </w:pPr>
    <w:rPr>
      <w:rFonts w:ascii="Minion Pro" w:eastAsia="Times New Roman" w:hAnsi="Minion Pro"/>
      <w:snapToGrid w:val="0"/>
      <w:color w:val="000000"/>
      <w:sz w:val="22"/>
      <w:szCs w:val="22"/>
      <w:lang w:eastAsia="de-DE" w:bidi="en-US"/>
    </w:rPr>
  </w:style>
  <w:style w:type="paragraph" w:customStyle="1" w:styleId="TSPfooter">
    <w:name w:val="TSP_footer"/>
    <w:qFormat/>
    <w:rsid w:val="00BD0D11"/>
    <w:pPr>
      <w:adjustRightInd w:val="0"/>
      <w:snapToGrid w:val="0"/>
      <w:spacing w:line="228" w:lineRule="auto"/>
      <w:jc w:val="both"/>
    </w:pPr>
    <w:rPr>
      <w:rFonts w:ascii="Minion Pro" w:eastAsia="Times New Roman" w:hAnsi="Minion Pro"/>
      <w:color w:val="000000"/>
      <w:sz w:val="16"/>
      <w:lang w:eastAsia="de-DE"/>
    </w:rPr>
  </w:style>
  <w:style w:type="paragraph" w:customStyle="1" w:styleId="TSPfooterfirstpage">
    <w:name w:val="TSP_footer_firstpage"/>
    <w:qFormat/>
    <w:rsid w:val="00BD0D11"/>
    <w:pPr>
      <w:tabs>
        <w:tab w:val="right" w:pos="8845"/>
      </w:tabs>
      <w:suppressAutoHyphens/>
      <w:snapToGrid w:val="0"/>
      <w:spacing w:line="228" w:lineRule="auto"/>
      <w:jc w:val="both"/>
    </w:pPr>
    <w:rPr>
      <w:rFonts w:ascii="Minion Pro" w:eastAsia="Times New Roman" w:hAnsi="Minion Pro"/>
      <w:color w:val="000000"/>
      <w:sz w:val="16"/>
      <w:lang w:eastAsia="de-DE"/>
    </w:rPr>
  </w:style>
  <w:style w:type="paragraph" w:customStyle="1" w:styleId="TSPheader">
    <w:name w:val="TSP_header"/>
    <w:qFormat/>
    <w:rsid w:val="00673B6B"/>
    <w:pPr>
      <w:adjustRightInd w:val="0"/>
      <w:snapToGrid w:val="0"/>
      <w:spacing w:line="228" w:lineRule="auto"/>
      <w:jc w:val="both"/>
    </w:pPr>
    <w:rPr>
      <w:rFonts w:ascii="Minion Pro" w:eastAsia="Times New Roman" w:hAnsi="Minion Pro"/>
      <w:iCs/>
      <w:color w:val="000000"/>
      <w:sz w:val="16"/>
      <w:lang w:eastAsia="de-DE"/>
    </w:rPr>
  </w:style>
  <w:style w:type="paragraph" w:customStyle="1" w:styleId="TSPheadercitation">
    <w:name w:val="TSP_header_citation"/>
    <w:qFormat/>
    <w:rsid w:val="00673B6B"/>
    <w:pPr>
      <w:spacing w:line="228" w:lineRule="auto"/>
    </w:pPr>
    <w:rPr>
      <w:rFonts w:ascii="Minion Pro" w:eastAsia="Times New Roman" w:hAnsi="Minion Pro"/>
      <w:snapToGrid w:val="0"/>
      <w:color w:val="000000"/>
      <w:sz w:val="16"/>
      <w:lang w:eastAsia="de-DE" w:bidi="en-US"/>
    </w:rPr>
  </w:style>
  <w:style w:type="paragraph" w:customStyle="1" w:styleId="TSPheaderjournallogo">
    <w:name w:val="TSP_header_journal_logo"/>
    <w:qFormat/>
    <w:rsid w:val="000C53B9"/>
    <w:pPr>
      <w:adjustRightInd w:val="0"/>
      <w:snapToGrid w:val="0"/>
      <w:spacing w:line="240" w:lineRule="atLeast"/>
    </w:pPr>
    <w:rPr>
      <w:rFonts w:ascii="Minion Pro" w:eastAsia="Times New Roman" w:hAnsi="Minion Pro"/>
      <w:color w:val="000000"/>
      <w:sz w:val="22"/>
      <w:szCs w:val="22"/>
      <w:lang w:eastAsia="de-CH"/>
    </w:rPr>
  </w:style>
  <w:style w:type="paragraph" w:customStyle="1" w:styleId="TSPheadertsplogo">
    <w:name w:val="TSP_header_tsp_logo"/>
    <w:qFormat/>
    <w:rsid w:val="00BD0D11"/>
    <w:pPr>
      <w:adjustRightInd w:val="0"/>
      <w:snapToGrid w:val="0"/>
      <w:spacing w:line="240" w:lineRule="atLeast"/>
      <w:jc w:val="right"/>
    </w:pPr>
    <w:rPr>
      <w:rFonts w:ascii="Minion Pro" w:eastAsia="Times New Roman" w:hAnsi="Minion Pro"/>
      <w:color w:val="000000"/>
      <w:sz w:val="22"/>
      <w:szCs w:val="22"/>
      <w:lang w:eastAsia="de-CH"/>
    </w:rPr>
  </w:style>
  <w:style w:type="paragraph" w:customStyle="1" w:styleId="TSPtext">
    <w:name w:val="TSP_text"/>
    <w:qFormat/>
    <w:rsid w:val="000C53B9"/>
    <w:pPr>
      <w:snapToGrid w:val="0"/>
      <w:spacing w:line="240" w:lineRule="atLeast"/>
      <w:ind w:firstLine="425"/>
      <w:jc w:val="both"/>
    </w:pPr>
    <w:rPr>
      <w:rFonts w:ascii="Minion Pro" w:eastAsia="Times New Roman" w:hAnsi="Minion Pro"/>
      <w:noProof/>
      <w:snapToGrid w:val="0"/>
      <w:color w:val="000000"/>
      <w:sz w:val="22"/>
      <w:szCs w:val="22"/>
      <w:lang w:eastAsia="de-DE" w:bidi="en-US"/>
    </w:rPr>
  </w:style>
  <w:style w:type="paragraph" w:customStyle="1" w:styleId="TSPtitle">
    <w:name w:val="TSP_title"/>
    <w:qFormat/>
    <w:rsid w:val="000C53B9"/>
    <w:pPr>
      <w:adjustRightInd w:val="0"/>
      <w:snapToGrid w:val="0"/>
      <w:spacing w:before="240" w:after="240" w:line="240" w:lineRule="atLeast"/>
      <w:jc w:val="both"/>
    </w:pPr>
    <w:rPr>
      <w:rFonts w:ascii="Minion Pro" w:eastAsia="Times New Roman" w:hAnsi="Minion Pro"/>
      <w:b/>
      <w:snapToGrid w:val="0"/>
      <w:color w:val="000000"/>
      <w:sz w:val="28"/>
      <w:lang w:eastAsia="de-DE" w:bidi="en-US"/>
    </w:rPr>
  </w:style>
  <w:style w:type="character" w:customStyle="1" w:styleId="apple-converted-space">
    <w:name w:val="apple-converted-space"/>
    <w:rsid w:val="00EA6902"/>
  </w:style>
  <w:style w:type="paragraph" w:styleId="Bibliography">
    <w:name w:val="Bibliography"/>
    <w:basedOn w:val="Normal"/>
    <w:next w:val="Normal"/>
    <w:uiPriority w:val="37"/>
    <w:semiHidden/>
    <w:unhideWhenUsed/>
    <w:rsid w:val="00EA6902"/>
  </w:style>
  <w:style w:type="paragraph" w:styleId="BodyText">
    <w:name w:val="Body Text"/>
    <w:link w:val="BodyTextChar"/>
    <w:rsid w:val="00397AC9"/>
    <w:pPr>
      <w:spacing w:after="120" w:line="340" w:lineRule="atLeast"/>
      <w:jc w:val="both"/>
    </w:pPr>
    <w:rPr>
      <w:rFonts w:ascii="Minion Pro" w:hAnsi="Minion Pro"/>
      <w:color w:val="000000"/>
      <w:sz w:val="24"/>
      <w:lang w:eastAsia="de-DE"/>
    </w:rPr>
  </w:style>
  <w:style w:type="character" w:customStyle="1" w:styleId="BodyTextChar">
    <w:name w:val="Body Text Char"/>
    <w:link w:val="BodyText"/>
    <w:rsid w:val="00397AC9"/>
    <w:rPr>
      <w:rFonts w:ascii="Minion Pro" w:hAnsi="Minion Pro"/>
      <w:color w:val="000000"/>
      <w:sz w:val="24"/>
      <w:lang w:eastAsia="de-DE"/>
    </w:rPr>
  </w:style>
  <w:style w:type="character" w:styleId="CommentReference">
    <w:name w:val="annotation reference"/>
    <w:rsid w:val="00EA6902"/>
    <w:rPr>
      <w:sz w:val="21"/>
      <w:szCs w:val="21"/>
    </w:rPr>
  </w:style>
  <w:style w:type="paragraph" w:styleId="CommentText">
    <w:name w:val="annotation text"/>
    <w:basedOn w:val="Normal"/>
    <w:link w:val="CommentTextChar"/>
    <w:rsid w:val="00397AC9"/>
  </w:style>
  <w:style w:type="character" w:customStyle="1" w:styleId="CommentTextChar">
    <w:name w:val="Comment Text Char"/>
    <w:link w:val="CommentText"/>
    <w:rsid w:val="00397AC9"/>
    <w:rPr>
      <w:rFonts w:ascii="Minion Pro" w:hAnsi="Minion Pro"/>
      <w:noProof/>
      <w:color w:val="000000"/>
    </w:rPr>
  </w:style>
  <w:style w:type="paragraph" w:styleId="CommentSubject">
    <w:name w:val="annotation subject"/>
    <w:basedOn w:val="CommentText"/>
    <w:next w:val="CommentText"/>
    <w:link w:val="CommentSubjectChar"/>
    <w:rsid w:val="00397AC9"/>
    <w:rPr>
      <w:b/>
      <w:bCs/>
    </w:rPr>
  </w:style>
  <w:style w:type="character" w:customStyle="1" w:styleId="CommentSubjectChar">
    <w:name w:val="Comment Subject Char"/>
    <w:link w:val="CommentSubject"/>
    <w:rsid w:val="00397AC9"/>
    <w:rPr>
      <w:rFonts w:ascii="Minion Pro" w:hAnsi="Minion Pro"/>
      <w:b/>
      <w:bCs/>
      <w:noProof/>
      <w:color w:val="000000"/>
    </w:rPr>
  </w:style>
  <w:style w:type="character" w:styleId="EndnoteReference">
    <w:name w:val="endnote reference"/>
    <w:rsid w:val="00EA6902"/>
    <w:rPr>
      <w:vertAlign w:val="superscript"/>
    </w:rPr>
  </w:style>
  <w:style w:type="paragraph" w:styleId="EndnoteText">
    <w:name w:val="endnote text"/>
    <w:basedOn w:val="Normal"/>
    <w:link w:val="EndnoteTextChar"/>
    <w:semiHidden/>
    <w:unhideWhenUsed/>
    <w:rsid w:val="00EA6902"/>
    <w:pPr>
      <w:spacing w:line="240" w:lineRule="auto"/>
    </w:pPr>
  </w:style>
  <w:style w:type="character" w:customStyle="1" w:styleId="EndnoteTextChar">
    <w:name w:val="Endnote Text Char"/>
    <w:link w:val="EndnoteText"/>
    <w:semiHidden/>
    <w:rsid w:val="00EA6902"/>
    <w:rPr>
      <w:rFonts w:ascii="Palatino Linotype" w:hAnsi="Palatino Linotype"/>
      <w:noProof/>
      <w:color w:val="000000"/>
    </w:rPr>
  </w:style>
  <w:style w:type="character" w:styleId="FollowedHyperlink">
    <w:name w:val="FollowedHyperlink"/>
    <w:rsid w:val="00EA6902"/>
    <w:rPr>
      <w:color w:val="954F72"/>
      <w:u w:val="single"/>
    </w:rPr>
  </w:style>
  <w:style w:type="paragraph" w:styleId="FootnoteText">
    <w:name w:val="footnote text"/>
    <w:basedOn w:val="Normal"/>
    <w:link w:val="FootnoteTextChar"/>
    <w:semiHidden/>
    <w:unhideWhenUsed/>
    <w:rsid w:val="00EA6902"/>
    <w:pPr>
      <w:spacing w:line="240" w:lineRule="auto"/>
    </w:pPr>
  </w:style>
  <w:style w:type="character" w:customStyle="1" w:styleId="FootnoteTextChar">
    <w:name w:val="Footnote Text Char"/>
    <w:link w:val="FootnoteText"/>
    <w:semiHidden/>
    <w:rsid w:val="00EA6902"/>
    <w:rPr>
      <w:rFonts w:ascii="Palatino Linotype" w:hAnsi="Palatino Linotype"/>
      <w:noProof/>
      <w:color w:val="000000"/>
    </w:rPr>
  </w:style>
  <w:style w:type="paragraph" w:styleId="NormalWeb">
    <w:name w:val="Normal (Web)"/>
    <w:basedOn w:val="Normal"/>
    <w:uiPriority w:val="99"/>
    <w:rsid w:val="00EA6902"/>
    <w:rPr>
      <w:szCs w:val="24"/>
    </w:rPr>
  </w:style>
  <w:style w:type="paragraph" w:customStyle="1" w:styleId="MsoFootnoteText0">
    <w:name w:val="MsoFootnoteText"/>
    <w:basedOn w:val="NormalWeb"/>
    <w:qFormat/>
    <w:rsid w:val="00397AC9"/>
  </w:style>
  <w:style w:type="character" w:styleId="PageNumber">
    <w:name w:val="page number"/>
    <w:rsid w:val="00397AC9"/>
    <w:rPr>
      <w:rFonts w:ascii="Minion Pro" w:hAnsi="Minion Pro"/>
    </w:rPr>
  </w:style>
  <w:style w:type="character" w:styleId="PlaceholderText">
    <w:name w:val="Placeholder Text"/>
    <w:uiPriority w:val="99"/>
    <w:semiHidden/>
    <w:rsid w:val="00EA6902"/>
    <w:rPr>
      <w:color w:val="808080"/>
    </w:rPr>
  </w:style>
  <w:style w:type="character" w:customStyle="1" w:styleId="Heading1Char">
    <w:name w:val="Heading 1 Char"/>
    <w:basedOn w:val="DefaultParagraphFont"/>
    <w:link w:val="Heading1"/>
    <w:uiPriority w:val="9"/>
    <w:rsid w:val="00397AC9"/>
    <w:rPr>
      <w:rFonts w:asciiTheme="majorHAnsi" w:eastAsiaTheme="majorEastAsia" w:hAnsiTheme="majorHAnsi" w:cstheme="majorBidi"/>
      <w:noProof/>
      <w:color w:val="2F5496" w:themeColor="accent1" w:themeShade="BF"/>
      <w:sz w:val="32"/>
      <w:szCs w:val="32"/>
    </w:rPr>
  </w:style>
  <w:style w:type="character" w:customStyle="1" w:styleId="Heading2Char">
    <w:name w:val="Heading 2 Char"/>
    <w:basedOn w:val="DefaultParagraphFont"/>
    <w:link w:val="Heading2"/>
    <w:uiPriority w:val="9"/>
    <w:semiHidden/>
    <w:rsid w:val="00397AC9"/>
    <w:rPr>
      <w:rFonts w:asciiTheme="majorHAnsi" w:eastAsiaTheme="majorEastAsia" w:hAnsiTheme="majorHAnsi" w:cstheme="majorBidi"/>
      <w:noProof/>
      <w:color w:val="2F5496" w:themeColor="accent1" w:themeShade="BF"/>
      <w:sz w:val="26"/>
      <w:szCs w:val="26"/>
    </w:rPr>
  </w:style>
  <w:style w:type="paragraph" w:styleId="Caption">
    <w:name w:val="caption"/>
    <w:basedOn w:val="Normal"/>
    <w:next w:val="Normal"/>
    <w:qFormat/>
    <w:rsid w:val="00C34E4B"/>
    <w:pPr>
      <w:keepNext/>
      <w:spacing w:before="120" w:after="120"/>
      <w:jc w:val="center"/>
    </w:pPr>
    <w:rPr>
      <w:rFonts w:ascii="Palatino Linotype" w:eastAsiaTheme="minorEastAsia" w:hAnsi="Palatino Linotype"/>
      <w:b/>
      <w:kern w:val="2"/>
      <w14:ligatures w14:val="standardContextual"/>
    </w:rPr>
  </w:style>
  <w:style w:type="paragraph" w:customStyle="1" w:styleId="keyword">
    <w:name w:val="keyword"/>
    <w:basedOn w:val="Normal"/>
    <w:qFormat/>
    <w:rsid w:val="00C34E4B"/>
    <w:pPr>
      <w:spacing w:before="280"/>
    </w:pPr>
    <w:rPr>
      <w:rFonts w:ascii="Palatino Linotype" w:eastAsiaTheme="minorEastAsia" w:hAnsi="Palatino Linotype"/>
      <w:kern w:val="2"/>
      <w14:ligatures w14:val="standardContextual"/>
    </w:rPr>
  </w:style>
  <w:style w:type="paragraph" w:styleId="ListParagraph">
    <w:name w:val="List Paragraph"/>
    <w:basedOn w:val="Normal"/>
    <w:uiPriority w:val="34"/>
    <w:qFormat/>
    <w:rsid w:val="00C34E4B"/>
    <w:pPr>
      <w:ind w:firstLineChars="200" w:firstLine="420"/>
    </w:pPr>
    <w:rPr>
      <w:rFonts w:ascii="Palatino Linotype" w:eastAsiaTheme="minorEastAsia" w:hAnsi="Palatino Linotype"/>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9655157">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gin\Downloads\TSP_JBIC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TSP_JBIC_Template.dot</Template>
  <TotalTime>1</TotalTime>
  <Pages>17</Pages>
  <Words>7727</Words>
  <Characters>44049</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51673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Authors’ Response to Editors and Reviewers - Prior submission ID 76149</dc:title>
  <dc:subject>Revised manuscript addressing peer-review comments</dc:subject>
  <dc:creator>Henry Veilhelm Lutterodt; coauthors to confirm</dc:creator>
  <cp:keywords/>
  <dc:description/>
  <cp:lastModifiedBy> </cp:lastModifiedBy>
  <cp:revision>2</cp:revision>
  <dcterms:created xsi:type="dcterms:W3CDTF">2026-10-29T09:04:00Z</dcterms:created>
  <dcterms:modified xsi:type="dcterms:W3CDTF">2026-10-29T09:04:00Z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