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sz w:val="24"/>
          <w:szCs w:val="24"/>
        </w:rPr>
      </w:pPr>
      <w:r w:rsidDel="00000000" w:rsidR="00000000" w:rsidRPr="00000000">
        <w:rPr>
          <w:sz w:val="24"/>
          <w:szCs w:val="24"/>
          <w:rtl w:val="0"/>
        </w:rPr>
        <w:t xml:space="preserve">El cautivo, de Jorge Luis Borges</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En Junín o en Tapalqué refieren la historia. Un chico desapareció después de un malón; se dijo que lo habían robado los indios. Sus padres lo buscaron inútilmente; al cabo de los años, un soldado que venía de tierra adentro les habló de un indio de ojos celestes que bien podía ser su hijo. Dieron al fin con él (la crónica ha perdido las circunstancias y no quiero inventar lo que no sé) y creyeron reconocerlo. El hombre, trabajado por el desierto y por la vida bárbara, ya no sabía oír las palabras de la lengua natal, pero se dejó conducir, indiferente y dócil, hasta la casa. Ahí se detuvo, tal vez porque los otros se detuvieron. Miró la puerta, como sin entenderla. De pronto bajó la cabeza, gritó, atravesó corriendo el zaguán y los dos largos patios y se metió en la cocina. Sin vacilar, hundió el brazo en la ennegrecida campana y sacó el cuchillito de mango de asta que había escondido ahí, cuando chico. Los ojos le brillaron de alegría y los padres lloraron porque habían encontrado al hijo.</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Acaso a este recuerdo siguieron otros, pero el indio no podía vivir entre paredes y un día fue a buscar su desierto. Yo querría saber qué sintió en aquel instante de vértigo en que el pasado y el presente se confundieron; yo querría saber si el hijo perdido renació y murió en aquel éxtasis o si alcanzó a reconocer, siquiera como una criatura o un perro, los padres y la casa.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Vida al natural, de Clarice Lispector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Pues en el río había algo como el fuego del hogar. Y cuan­do ella advirtió que, además del frío, llovía en los árbo­les, no podía creer que tanto le fuese dado. Y el acuer­do del mundo con aquello que ella ni siquiera sabía que precisaba como el pan. Llovía, llovía. El fuego encendi­do guiñaba hacia ella y hacia él. Él, el hombre, se ocu­paba de aquello que ella ni siquiera agradecía; él atizaba el fuego, lo cual era su deber de nacimiento. Y ella, que siempre estaba inquieta, haciendo cosas y experimentando, curiosa, ella no se acordaba de atizar el fuego: no era su papel, pues tenía a su hombre para eso. No siendo doncella, el hombre tenía que cumplir su misión. Lo más que ella hacía era instigarlo, a veces: «Aquel leño —de­cía—, aquél todavía no encendió». Y él, un instante an­tes de que ella acabara la frase que lo advertía, él ya ha­bía notado el leño, era su hombre, ya estaba atizando el leño. No le daba órdenes, porque era la mujer de un hom­bre que perdería su estado, si ella le daba órdenes. La otra mano de él, libre, está al alcance de ella. Ella lo sabe, y no la toma. Quiere la mano de él, sabe que la quiere, y no la toma. Tiene exactamente lo que necesita: poder tener.</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Ah, y decir que esto va a acabar, que por sí mismo no puede durar. No, ella no se está refiriendo al fuego, se refiere a lo que siente. Lo que siente nunca dura, lo que siente siempre acaba, y puede no volver nunca. Se encarniza entonces sobre el momento, se traga el fuego, y el fuego dulce arde, arde, flamea. Entonces, ella, que sabe que todo va a acabar, toma la mano libre del hom­bre, y la enlaza con la suya, ella dulce arde, arde, flamea.</w:t>
      </w:r>
      <w:r w:rsidDel="00000000" w:rsidR="00000000" w:rsidRPr="00000000">
        <w:rPr>
          <w:rtl w:val="0"/>
        </w:rPr>
      </w:r>
    </w:p>
    <w:sectPr>
      <w:pgSz w:h="15840" w:w="12240" w:orient="portrait"/>
      <w:pgMar w:bottom="90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