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97fmobke21h" w:id="0"/>
      <w:bookmarkEnd w:id="0"/>
      <w:r w:rsidDel="00000000" w:rsidR="00000000" w:rsidRPr="00000000">
        <w:rPr>
          <w:rtl w:val="0"/>
        </w:rPr>
        <w:t xml:space="preserve">Diccionario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Base de datos: dataf.xlsx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estratopri = Área geográfica de residencia del entrevistado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Costa Norte: 1101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Costa Sur: 1102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Lima Metropolitana: 1103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Selva: 1104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Sierra Centro: 1105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Sierra Norte: 1106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Sierra Sur: 1107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ur = Zona de residencia del entrevistado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Urbano: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Rural: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genero = Género del individuo entrevistado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Hombre/masculino: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Mujer/femenino: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percepseg = Percepción de seguridad en el vecindario de ciudadanos peruanos en 2023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Seguro: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 seguro: 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victima = Ciudadanos peruanos que han sido víctima del crimen en los últimos 12 meses (2023)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SÍ: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NO: 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confianzacom = Confianza en la comunidad por parte de ciudadanos peruanos en 2023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Muy confiable: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Algo confiable: 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Poco confiable: 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Nada confiable: 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confianzapol = Confianza en la policía nacional por parte de ciudadanos peruanos en 2023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Los valores de la confianza en la policía nacional por parte de ciudadanos peruanos en 2023 varían en una escala de 1 a 7, donde aquellos más próximos a 1 indican una menor confianza en la policía nacional mientras que los más cercanos a 7 reflejan una mayor confianza en la policía nacional.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