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wmf" ContentType="image/x-wmf"/>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b/>
          <w:bCs/>
        </w:rPr>
      </w:pPr>
      <w:r>
        <w:rPr>
          <w:b/>
          <w:bCs/>
        </w:rPr>
        <w:t>WijkConnect: digitale brug tussen huisarts en sociaal domein</w:t>
      </w:r>
    </w:p>
    <w:p>
      <w:pPr>
        <w:pStyle w:val="Normal"/>
        <w:rPr>
          <w:b/>
          <w:bCs/>
        </w:rPr>
      </w:pPr>
      <w:r>
        <w:rPr>
          <w:b/>
          <w:bCs/>
        </w:rPr>
        <w:t>1. Achtergrond en urgentie</w:t>
      </w:r>
    </w:p>
    <w:p>
      <w:pPr>
        <w:pStyle w:val="Normal"/>
        <w:rPr/>
      </w:pPr>
      <w:r>
        <w:rPr/>
        <w:t xml:space="preserve">Inwoners melden zich steeds vaker bij de huisarts met vragen die niet-medisch van aard zijn, zoals stress, geldzorgen, eenzaamheid, gezinsproblemen of participatievraagstukken. De huisarts is voor veel inwoners de meest vertrouwde ingang, waardoor deze vragen daar als eerste terechtkomen. Hierdoor worden huisartsen en POH’s steeds vaker geconfronteerd met sociaal-maatschappelijke problematiek, terwijl daadwerkelijke medische zorg moet wachten. Het sociale domein is versnipperd en inwoners weten vaak niet waar ze terechtkunnen. Deze uitdaging zien we dagelijks in Beweeg Mee, een gecombineerd spreekuurmodel waarin fysiotherapeuten en welzijnsprofessionals wekelijks aanwezig zijn in de huisartsenpraktijk, vangt inwoners op met beweeg-, leefstijl- én sociale vragen. Ondanks deze sterke fysieke samenwerking blijft er één structureel knelpunt bestaan: er ontbreekt een veilige, uniforme digitale manier om inwoners warm vanuit de eerstelijnszorg naar het sociaal domein over te dragen. </w:t>
      </w:r>
    </w:p>
    <w:p>
      <w:pPr>
        <w:pStyle w:val="Normal"/>
        <w:rPr/>
      </w:pPr>
      <w:r>
        <w:rPr/>
        <w:t>Daardoor kan de ondersteuning in de wijk niet optimaal worden benut, terwijl de samenwerking inhoudelijk wel klaarstaat. De behoefte aan één digitale schakel die dit proces efficiënt, veilig en uniform maakt, komt rechtstreeks van de praktijkvloer. WijkConnect wordt ontwikkeld als antwoord op dit gedeelde, concrete knelpunt binnen het bestaande netwerk van Beweeg Mee.</w:t>
      </w:r>
    </w:p>
    <w:p>
      <w:pPr>
        <w:pStyle w:val="Normal"/>
        <w:rPr/>
      </w:pPr>
      <w:r>
        <w:rPr/>
        <w:t>Deze praktijkvraag sluit nauw aan bij landelijke en lokale beleidskaders (IZA, GALA, gemeentelijk preventiebeleid), die oproepen tot het versterken van de sociale basis en het verminderen van niet-medische druk op de huisarts. Wat beleid verlangt, is in de spreekkamer al voelbaar, maar de digitale infrastructuur om deze samenwerking te ondersteunen ontbreekt nog.</w:t>
      </w:r>
    </w:p>
    <w:tbl>
      <w:tblPr>
        <w:tblStyle w:val="Tabelraster"/>
        <w:tblW w:w="9072"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9072"/>
      </w:tblGrid>
      <w:tr>
        <w:trPr>
          <w:trHeight w:val="300" w:hRule="atLeast"/>
        </w:trPr>
        <w:tc>
          <w:tcPr>
            <w:tcW w:w="9072" w:type="dxa"/>
            <w:tcBorders>
              <w:top w:val="nil"/>
              <w:left w:val="nil"/>
              <w:bottom w:val="nil"/>
              <w:right w:val="nil"/>
            </w:tcBorders>
          </w:tcPr>
          <w:p>
            <w:pPr>
              <w:pStyle w:val="Normal"/>
              <w:widowControl/>
              <w:suppressAutoHyphens w:val="true"/>
              <w:spacing w:before="0" w:after="160"/>
              <w:jc w:val="center"/>
              <w:rPr>
                <w:b/>
                <w:bCs/>
              </w:rPr>
            </w:pPr>
            <w:r>
              <w:rPr>
                <w:rFonts w:eastAsia="Calibri" w:cs="Noto Sans Arabic"/>
                <w:b/>
                <w:bCs/>
                <w:kern w:val="2"/>
                <w:sz w:val="22"/>
                <w:szCs w:val="22"/>
                <w:lang w:val="nl-NL" w:eastAsia="en-US" w:bidi="ar-SA"/>
              </w:rPr>
              <w:t>Meer informatie over Beweeg Mee</w:t>
            </w:r>
          </w:p>
        </w:tc>
      </w:tr>
      <w:tr>
        <w:trPr>
          <w:trHeight w:val="300" w:hRule="atLeast"/>
        </w:trPr>
        <w:tc>
          <w:tcPr>
            <w:tcW w:w="9072" w:type="dxa"/>
            <w:tcBorders>
              <w:top w:val="nil"/>
              <w:left w:val="nil"/>
              <w:bottom w:val="nil"/>
              <w:right w:val="nil"/>
            </w:tcBorders>
          </w:tcPr>
          <w:p>
            <w:pPr>
              <w:pStyle w:val="ListParagraph"/>
              <w:widowControl/>
              <w:numPr>
                <w:ilvl w:val="0"/>
                <w:numId w:val="1"/>
              </w:numPr>
              <w:suppressAutoHyphens w:val="true"/>
              <w:spacing w:before="0" w:after="160"/>
              <w:contextualSpacing/>
              <w:jc w:val="left"/>
              <w:rPr>
                <w:rFonts w:ascii="Calibri" w:hAnsi="Calibri" w:eastAsia="Calibri" w:cs="Noto Sans Arabic"/>
                <w:kern w:val="2"/>
                <w:sz w:val="22"/>
                <w:szCs w:val="22"/>
                <w:lang w:val="nl-NL" w:eastAsia="en-US" w:bidi="ar-SA"/>
              </w:rPr>
            </w:pPr>
            <w:r>
              <w:rPr>
                <w:rFonts w:eastAsia="Calibri" w:cs="Noto Sans Arabic"/>
                <w:kern w:val="2"/>
                <w:sz w:val="22"/>
                <w:szCs w:val="22"/>
                <w:lang w:val="nl-NL" w:eastAsia="en-US" w:bidi="ar-SA"/>
              </w:rPr>
              <w:t>Zie ingezonden video</w:t>
            </w:r>
          </w:p>
          <w:p>
            <w:pPr>
              <w:pStyle w:val="ListParagraph"/>
              <w:widowControl/>
              <w:numPr>
                <w:ilvl w:val="0"/>
                <w:numId w:val="1"/>
              </w:numPr>
              <w:suppressAutoHyphens w:val="true"/>
              <w:spacing w:before="0" w:after="160"/>
              <w:contextualSpacing/>
              <w:jc w:val="left"/>
              <w:rPr>
                <w:rFonts w:ascii="Calibri" w:hAnsi="Calibri" w:eastAsia="Calibri" w:cs="Noto Sans Arabic"/>
                <w:kern w:val="2"/>
                <w:sz w:val="22"/>
                <w:szCs w:val="22"/>
                <w:lang w:val="nl-NL" w:eastAsia="en-US" w:bidi="ar-SA"/>
              </w:rPr>
            </w:pPr>
            <w:r>
              <w:rPr>
                <w:rFonts w:eastAsia="Calibri" w:cs="Noto Sans Arabic"/>
                <w:kern w:val="2"/>
                <w:sz w:val="22"/>
                <w:szCs w:val="22"/>
                <w:lang w:val="nl-NL" w:eastAsia="en-US" w:bidi="ar-SA"/>
              </w:rPr>
              <w:t>LinkedIn: https://www.linkedin.com/posts/iris-venderbosch-6b845662_beweeg-mee-zorg-en-welzijn-in-verbinding-activity-7391484292813574145-g1BW?utm_source=share&amp;utm_medium=member_android&amp;rcm=ACoAACdGhb4Br8KjJdqdShf4jRcVpVXPluuwEjA</w:t>
            </w:r>
          </w:p>
        </w:tc>
      </w:tr>
    </w:tbl>
    <w:p>
      <w:pPr>
        <w:pStyle w:val="Normal"/>
        <w:rPr/>
      </w:pPr>
      <w:r>
        <w:rPr/>
      </w:r>
    </w:p>
    <w:p>
      <w:pPr>
        <w:pStyle w:val="Normal"/>
        <w:rPr>
          <w:b/>
          <w:bCs/>
        </w:rPr>
      </w:pPr>
      <w:r>
        <w:rPr>
          <w:b/>
          <w:bCs/>
        </w:rPr>
        <w:t>2. Probleemstelling en doel</w:t>
      </w:r>
    </w:p>
    <w:p>
      <w:pPr>
        <w:pStyle w:val="Normal"/>
        <w:rPr/>
      </w:pPr>
      <w:r>
        <w:rPr/>
        <w:t>Het huidige proces van verwijzen naar het sociaal domein is inefficiënt en versnipperd. Er bestaat geen uniforme, veilige route om inwoners structureel naar passende ondersteuning te begeleiden, en terugkoppeling ontbreekt vrijwel altijd. Zonder warme overdracht en zonder terugkoppeling raakt de casus uit zicht en haakt de inwoner vaker af.</w:t>
      </w:r>
    </w:p>
    <w:p>
      <w:pPr>
        <w:pStyle w:val="Normal"/>
        <w:rPr/>
      </w:pPr>
      <w:r>
        <w:rPr/>
        <w:t>Daarnaast is het voor huisartsen vaak lastig om snel en overzichtelijk te vinden welke professional of organisatie in het sociale domein passend is. De vindbaarheid van het aanbod is versnipperd en niet geïntegreerd in het HIS. Hierdoor ontbreekt een eenvoudige, uniforme handeling om direct vanuit het eigen systeem veilig door te verwijzen.</w:t>
      </w:r>
    </w:p>
    <w:p>
      <w:pPr>
        <w:pStyle w:val="Normal"/>
        <w:rPr/>
      </w:pPr>
      <w:r>
        <w:rPr/>
        <w:t xml:space="preserve">In Beweeg Mee is duidelijk geworden dat dit geen abstract of incidenteel probleem is, maar een dagelijks terugkerende uitdaging in de spreekkamer. Ondanks een stevige samenwerkingsstructuur, met vaste overleggen, korte lijnen en een netwerk waarin huisartsen, fysiotherapeuten, GGD, buurtteams en welzijn al intensief samenwerken, ontbreekt een uniforme digitale route om inwoners warm over te dragen en structureel terugkoppeling te ontvangen. </w:t>
      </w:r>
    </w:p>
    <w:p>
      <w:pPr>
        <w:pStyle w:val="Normal"/>
        <w:rPr/>
      </w:pPr>
      <w:r>
        <w:rPr/>
        <w:t>Het doel van dit project is het ontwikkelen van een lichte, veilige digitale schakel, WijkConnect, die via één uniforme handeling in het HIS zowel de vindbaarheid van het sociaal domein verbetert als een directe, veilige doorverwijzing faciliteert , met automatische tweerichtingscommunicatie en een eenvoudige interface voor inwoners. Daarmee ontlasten we de huisarts, vergroten we de toegankelijkheid van de sociale basis en versterken we de samenwerking tussen eerstelijnszorg en sociaal domein.</w:t>
      </w:r>
    </w:p>
    <w:p>
      <w:pPr>
        <w:pStyle w:val="Normal"/>
        <w:rPr>
          <w:b/>
          <w:bCs/>
        </w:rPr>
      </w:pPr>
      <w:r>
        <w:rPr>
          <w:b/>
          <w:bCs/>
        </w:rPr>
        <w:t>3. Beschrijving van de oplossing: WijkConnect</w:t>
      </w:r>
    </w:p>
    <w:p>
      <w:pPr>
        <w:pStyle w:val="Normal"/>
        <w:rPr>
          <w:b/>
          <w:bCs/>
        </w:rPr>
      </w:pPr>
      <w:r>
        <w:rPr>
          <w:b/>
          <w:bCs/>
        </w:rPr>
        <w:t>3.1 WijkConnect als routeringslaag</w:t>
      </w:r>
    </w:p>
    <w:p>
      <w:pPr>
        <w:pStyle w:val="Normal"/>
        <w:rPr/>
      </w:pPr>
      <w:r>
        <w:rPr/>
        <w:t xml:space="preserve">WijkConnect fungeert als een lichte, veilige routerings- en terugkoppelingslaag tussen het HIS  en de bestaande intakekanalen van organisaties in het sociaal domein. Het werkt volgens het </w:t>
      </w:r>
      <w:r>
        <w:rPr>
          <w:i/>
          <w:iCs/>
        </w:rPr>
        <w:t>pass-through</w:t>
      </w:r>
      <w:r>
        <w:rPr/>
        <w:t>-principe: gegevens worden alleen doorgestuurd en niet centraal opgeslagen. De huisarts kan direct vanuit het eigen HIS verwijzen zonder extra accounts of administratieve handelingen. WijkConnect verzorgt de routering, beveiligde verzending en terugkoppeling, waardoor zowel professionals als inwoners een naadloze ervaring krijgen.</w:t>
      </w:r>
    </w:p>
    <w:p>
      <w:pPr>
        <w:pStyle w:val="ListParagraph"/>
        <w:numPr>
          <w:ilvl w:val="1"/>
          <w:numId w:val="3"/>
        </w:numPr>
        <w:rPr>
          <w:b/>
          <w:bCs/>
        </w:rPr>
      </w:pPr>
      <w:r>
        <w:rPr>
          <w:b/>
          <w:bCs/>
        </w:rPr>
        <w:t>Doorverwijzen vanuit het HIS</w:t>
      </w:r>
    </w:p>
    <w:p>
      <w:pPr>
        <w:pStyle w:val="Normal"/>
        <w:rPr/>
      </w:pPr>
      <w:r>
        <w:rPr/>
        <w:t>De huisarts kiest in het HIS een categorie (bijv. stress, financiën, opvoeding) en voegt optioneel een korte toelichting toe.</w:t>
      </w:r>
    </w:p>
    <w:p>
      <w:pPr>
        <w:pStyle w:val="Normal"/>
        <w:rPr/>
      </w:pPr>
      <w:r>
        <w:rPr/>
        <w:t>Een slimme matchinglaag koppelt de hulpvraag automatisch aan het juiste lokale aanbod (professioneel én informeel), op basis van bestaande sociale kaarten zoals VraagHulpNijmegen. De huisarts hoeft daardoor niet zelf te zoeken, te bellen of verschillende websites te doorlopen: de juiste route wordt automatisch bepaald.</w:t>
      </w:r>
    </w:p>
    <w:p>
      <w:pPr>
        <w:pStyle w:val="Normal"/>
        <w:rPr/>
      </w:pPr>
      <w:r>
        <w:rPr/>
        <w:t>Na verzenden genereert WijkConnect een gestandaardiseerd verwijspakket (JSON en PDF/tekst) met minimale noodzakelijke gegevens: beperkte demografische gegevens, de aard van de hulpvraag, urgentie, contactgegevens van cliënt en praktijk en een unieke casus-ID. Dit pakket wordt  verzonden naar de juiste organisatie, geregistreerd in het HIS per casus-ID en gelogd als verzonden bericht.</w:t>
      </w:r>
    </w:p>
    <w:p>
      <w:pPr>
        <w:pStyle w:val="Normal"/>
        <w:rPr>
          <w:b/>
          <w:bCs/>
        </w:rPr>
      </w:pPr>
      <w:r>
        <w:rPr>
          <w:b/>
          <w:bCs/>
        </w:rPr>
        <w:t>3.3 Routering naar het sociaal domein</w:t>
      </w:r>
    </w:p>
    <w:p>
      <w:pPr>
        <w:pStyle w:val="Normal"/>
        <w:rPr/>
      </w:pPr>
      <w:r>
        <w:rPr/>
        <w:t>WijkConnect verstuurt de verwijzing naar het bestaande intakekanaal van de juiste organisatie. Organisaties hoeven hun werkwijze niet aan te passen. De matching engine beveelt aan de hand van het vraagtype geschikte partijen aan. Afhankelijk van de organisatie wordt secure e-mail gebruikt (Zivver of SMTP-over-TLS) of een REST POST richting een bestaande aanmeldstraat. Het sociaal domein blijft hierdoor functioneren zoals het nu doet, zonder introductie van een nieuw platform.</w:t>
      </w:r>
    </w:p>
    <w:p>
      <w:pPr>
        <w:pStyle w:val="ListParagraph"/>
        <w:numPr>
          <w:ilvl w:val="1"/>
          <w:numId w:val="4"/>
        </w:numPr>
        <w:rPr>
          <w:b/>
          <w:bCs/>
        </w:rPr>
      </w:pPr>
      <w:r>
        <w:rPr>
          <w:b/>
          <w:bCs/>
        </w:rPr>
        <w:t>Terugkoppeling naar het HIS</w:t>
      </w:r>
    </w:p>
    <w:p>
      <w:pPr>
        <w:pStyle w:val="Normal"/>
        <w:rPr/>
      </w:pPr>
      <w:r>
        <w:rPr/>
        <w:t>Bij de verwijzingsaanvraag naar het sociaal domein wordt een link meegestuurd waarmee inlogvrij feedback terug gestuurd kan worden naar de huisarts.Dit bevat de status van de casus: opgepakt, niet bereikbaar, doorgezet of afgerond, en naam behandelaar. Verdere inhoudelijke toelichting is optioneel.</w:t>
      </w:r>
    </w:p>
    <w:p>
      <w:pPr>
        <w:pStyle w:val="Normal"/>
        <w:rPr/>
      </w:pPr>
      <w:r>
        <w:rPr/>
        <w:t>WijkConnect verwerkt deze informatie automatisch en koppelt dit direct terug in het HIS. Zo ontvangt de huisarts altijd de belangrijkste informatie (status + wie de casus oppakt), zonder dat het sociaal domein extra administratie hoeft te doen. Het HIS toont per casus automatisch de actuele status met een eventuele korte toelichting.</w:t>
      </w:r>
    </w:p>
    <w:p>
      <w:pPr>
        <w:pStyle w:val="ListParagraph"/>
        <w:numPr>
          <w:ilvl w:val="1"/>
          <w:numId w:val="4"/>
        </w:numPr>
        <w:rPr>
          <w:b/>
          <w:bCs/>
        </w:rPr>
      </w:pPr>
      <w:r>
        <w:rPr>
          <w:b/>
          <w:bCs/>
        </w:rPr>
        <w:t>Burgerinterface</w:t>
      </w:r>
    </w:p>
    <w:p>
      <w:pPr>
        <w:pStyle w:val="Normal"/>
        <w:rPr/>
      </w:pPr>
      <w:r>
        <w:rPr/>
        <w:t xml:space="preserve">Naast de routeringslaag is er een burgerinterface. Deze laagdrempelige webinterface gebruikt data uit bestaande sociale kaarten zoals </w:t>
      </w:r>
      <w:r>
        <w:rPr>
          <w:i/>
          <w:iCs/>
        </w:rPr>
        <w:t xml:space="preserve">VraagHulpNijmegen </w:t>
      </w:r>
      <w:r>
        <w:rPr/>
        <w:t>en vereist geen inlog. De interface ondersteunt drie scenario’s:</w:t>
      </w:r>
    </w:p>
    <w:p>
      <w:pPr>
        <w:pStyle w:val="ListParagraph"/>
        <w:numPr>
          <w:ilvl w:val="0"/>
          <w:numId w:val="2"/>
        </w:numPr>
        <w:rPr/>
      </w:pPr>
      <w:r>
        <w:rPr/>
        <w:t>Zelf zoeken naar hulp op basis van thema’s zoals stress, geld of opvoeding. De interface toont lokale voorzieningen, wijkactiviteiten, contactinformatie en openingstijden.</w:t>
      </w:r>
    </w:p>
    <w:p>
      <w:pPr>
        <w:pStyle w:val="ListParagraph"/>
        <w:numPr>
          <w:ilvl w:val="0"/>
          <w:numId w:val="2"/>
        </w:numPr>
        <w:rPr/>
      </w:pPr>
      <w:r>
        <w:rPr/>
        <w:t>Initiatieven toevoegen: burgers, vrijwilligers of aanbieders kunnen via een eenvoudig formulier informele activiteiten of wijkinitiatieven aanmelden of actualiseren. Inzendingen worden gemodereerd voordat ze zichtbaar zijn.</w:t>
      </w:r>
    </w:p>
    <w:p>
      <w:pPr>
        <w:pStyle w:val="Normal"/>
        <w:rPr/>
      </w:pPr>
      <w:r>
        <w:rPr/>
        <w:t>De interface is laagdrempelig en toegankelijk voor iedereen, ongeacht digitale vaardigheden of taalniveau. Inloggen is niet nodig.</w:t>
      </w:r>
    </w:p>
    <w:p>
      <w:pPr>
        <w:pStyle w:val="ListParagraph"/>
        <w:numPr>
          <w:ilvl w:val="1"/>
          <w:numId w:val="4"/>
        </w:numPr>
        <w:rPr/>
      </w:pPr>
      <w:r>
        <w:rPr>
          <w:b/>
          <w:bCs/>
        </w:rPr>
        <w:t>Positionering en technische componenten</w:t>
      </w:r>
    </w:p>
    <w:p>
      <w:pPr>
        <w:pStyle w:val="Normal"/>
        <w:rPr/>
      </w:pPr>
      <w:r>
        <w:rPr/>
        <w:t>De totale oplossing bestaat uit drie lagen:</w:t>
      </w:r>
    </w:p>
    <w:p>
      <w:pPr>
        <w:pStyle w:val="ListParagraph"/>
        <w:numPr>
          <w:ilvl w:val="0"/>
          <w:numId w:val="2"/>
        </w:numPr>
        <w:rPr/>
      </w:pPr>
      <w:r>
        <w:rPr/>
        <w:t xml:space="preserve">HIS-laag: de huisarts en POH werken met Wijkconnect volledig in hun bestaande HIS systemen. Deze functionaliteit wordt gefaciliteert door middel van een interface koppeling met verschillende HIS systemen.  Voornemens is om te starten met de HealthConnected en Sanday HIS systemen.  </w:t>
      </w:r>
    </w:p>
    <w:p>
      <w:pPr>
        <w:pStyle w:val="ListParagraph"/>
        <w:numPr>
          <w:ilvl w:val="0"/>
          <w:numId w:val="2"/>
        </w:numPr>
        <w:rPr/>
      </w:pPr>
      <w:r>
        <w:rPr>
          <w:rStyle w:val="Strong"/>
        </w:rPr>
        <w:t>Routerings- en servicelaag:</w:t>
      </w:r>
      <w:r>
        <w:rPr/>
        <w:t>: Onze backend (Python/FastAPI) verzorgt de veilige uitwisseling en automatische matching. WijkConnect beschikt over een database van sociale teams en activiteiten per wijk, gesorteerd op thema’s (bijv. bewegen, ontspanning, ontmoeting). Op basis hiervan wordt de juiste organisatie automatisch geselecteerd. De verwijzing wordt via een secure mail router verstuurd naar vooraf ingestelde contactpunten (formulier, mailadres, of telefonisch indien digitaal niet mogelijk is). Elke verwijzing bevat een link voor terugkoppeling, waarmee teams via een webformulier statusinformatie kunnen doorgeven (opgepakt, niet bereikbaar, doorgezet, afgerond, naam behandelaar). Alle gegevens worden uitsluitend doorgestuurd en niet centraal opgeslagen.</w:t>
      </w:r>
    </w:p>
    <w:p>
      <w:pPr>
        <w:pStyle w:val="ListParagraph"/>
        <w:numPr>
          <w:ilvl w:val="0"/>
          <w:numId w:val="2"/>
        </w:numPr>
        <w:rPr/>
      </w:pPr>
      <w:r>
        <w:rPr/>
        <w:t>Burgerinterface: Naast de huisartsstroom is er een web-based omgeving voor inwoners, waarin zij zelf activiteiten, teams en clubs in het sociaal domein kunnen opzoeken of zich kunnen aanmelden. Dit biedt laagdrempelige toegang en vermindert de instroom via de huisarts.</w:t>
      </w:r>
    </w:p>
    <w:p>
      <w:pPr>
        <w:pStyle w:val="Normal"/>
        <w:rPr/>
      </w:pPr>
      <w:r>
        <w:rPr/>
        <w:t>Techniek is volledig privacy-by-design en gericht op minimale belasting voor huisarts én sociaal domein.</w:t>
      </w:r>
    </w:p>
    <w:p>
      <w:pPr>
        <w:pStyle w:val="Normal"/>
        <w:rPr>
          <w:b/>
          <w:bCs/>
        </w:rPr>
      </w:pPr>
      <w:r>
        <w:rPr>
          <w:b/>
          <w:bCs/>
        </w:rPr>
        <w:t>4. Innovatie en voordelen</w:t>
      </w:r>
    </w:p>
    <w:p>
      <w:pPr>
        <w:pStyle w:val="Normal"/>
        <w:rPr/>
      </w:pPr>
      <w:r>
        <w:rPr/>
        <w:t>WijkConnect onderscheidt zich doordat het geen nieuw platform bouwt, maar een slimme tussenlaag die aansluit bij bestaande infrastructuur. Hierdoor ontstaan de volgende voordelen:</w:t>
      </w:r>
    </w:p>
    <w:p>
      <w:pPr>
        <w:pStyle w:val="ListParagraph"/>
        <w:numPr>
          <w:ilvl w:val="0"/>
          <w:numId w:val="2"/>
        </w:numPr>
        <w:rPr/>
      </w:pPr>
      <w:r>
        <w:rPr/>
        <w:t>Ontlasten van huisartsen en POH’s door niet-medische vragen rechtstreeks naar het sociaal domein te verwijzen.</w:t>
      </w:r>
    </w:p>
    <w:p>
      <w:pPr>
        <w:pStyle w:val="ListParagraph"/>
        <w:numPr>
          <w:ilvl w:val="0"/>
          <w:numId w:val="2"/>
        </w:numPr>
        <w:rPr/>
      </w:pPr>
      <w:r>
        <w:rPr/>
        <w:t>Geen extra systemen of accounts voor professionals; volledige integratie in bestaande HIS en e-mail.</w:t>
      </w:r>
    </w:p>
    <w:p>
      <w:pPr>
        <w:pStyle w:val="ListParagraph"/>
        <w:numPr>
          <w:ilvl w:val="0"/>
          <w:numId w:val="2"/>
        </w:numPr>
        <w:rPr/>
      </w:pPr>
      <w:r>
        <w:rPr/>
        <w:t>Warme overdracht en automatische terugkoppeling  waardoor inwoners niet “in de lucht” blijven hangen.</w:t>
      </w:r>
    </w:p>
    <w:p>
      <w:pPr>
        <w:pStyle w:val="ListParagraph"/>
        <w:numPr>
          <w:ilvl w:val="0"/>
          <w:numId w:val="2"/>
        </w:numPr>
        <w:rPr/>
      </w:pPr>
      <w:r>
        <w:rPr/>
        <w:t>Gebruiksvriendelijke burgerinterface die zelfhulp en inwonersparticipatie ondersteunt, met aandacht voor lage digitale vaardigheden.</w:t>
      </w:r>
    </w:p>
    <w:p>
      <w:pPr>
        <w:pStyle w:val="ListParagraph"/>
        <w:numPr>
          <w:ilvl w:val="0"/>
          <w:numId w:val="2"/>
        </w:numPr>
        <w:rPr/>
      </w:pPr>
      <w:r>
        <w:rPr/>
        <w:t>Modulaire opzet en pass-through-architectuur waardoor opschaling naar andere regio’s of koppeling met andere systemen eenvoudig is.</w:t>
      </w:r>
    </w:p>
    <w:p>
      <w:pPr>
        <w:pStyle w:val="ListParagraph"/>
        <w:numPr>
          <w:ilvl w:val="0"/>
          <w:numId w:val="2"/>
        </w:numPr>
        <w:rPr/>
      </w:pPr>
      <w:r>
        <w:rPr/>
        <w:t>Privacy-by-design en dataminimalisatie; gegevens worden alleen gebruikt om te routeren en zijn niet centraal opgeslagen.</w:t>
      </w:r>
    </w:p>
    <w:p>
      <w:pPr>
        <w:pStyle w:val="Normal"/>
        <w:rPr>
          <w:b/>
          <w:bCs/>
        </w:rPr>
      </w:pPr>
      <w:r>
        <w:rPr>
          <w:b/>
          <w:bCs/>
        </w:rPr>
        <w:t>5. Pilotopzet</w:t>
      </w:r>
    </w:p>
    <w:p>
      <w:pPr>
        <w:pStyle w:val="Normal"/>
        <w:rPr/>
      </w:pPr>
      <w:r>
        <w:rPr/>
        <w:t>De pilot wordt primair uitgevoerd in de wijk Nijmegen-Dukenburg, binnen het bestaande samenwerkingsverband Beweeg Mee. Dit netwerk, met de Gemeente Nijmegen, zorgverzekeraar VGZ, GGD Gelderland-Zuid, Bindkracht10, Buurtteams Volwassenen, Huisartsenpraktijk De Schakel, Fysiotherapie Fy-fit, sport- en beweegaanbieders en SAN, vormt een volledig operationele proeftuin waar de samenwerking al staat en waar de signalerings- en doorverwijzingsproblematiek dagelijks zichtbaar is.</w:t>
      </w:r>
    </w:p>
    <w:p>
      <w:pPr>
        <w:pStyle w:val="Normal"/>
        <w:rPr/>
      </w:pPr>
      <w:r>
        <w:rPr/>
        <w:t>Omdat de overlegstructuren, korte lijnen en werkafspraken al bestaan, kan WijkConnect zonder extra organisatietrajecten direct worden ingezet in de praktijk. Belangrijke systeempartners en beleidsmakers, zoals de gemeente en VGZ, zijn vanaf de start betrokken en kunnen meedenken over duurzame borging en mogelijke opschaling. Deze setting maakt het mogelijk om de oplossing binnen drie maanden real-life te testen. In een vervolgfase kan worden opgeschaald naar de praktijken van de NEO-huisartsengroep, zodat de oplossing breder binnen de regio Arnhem–Nijmegen kan worden gevalideerd.</w:t>
      </w:r>
    </w:p>
    <w:p>
      <w:pPr>
        <w:pStyle w:val="Normal"/>
        <w:rPr>
          <w:b/>
          <w:bCs/>
        </w:rPr>
      </w:pPr>
      <w:r>
        <w:rPr>
          <w:b/>
          <w:bCs/>
        </w:rPr>
        <w:t>Fasering:</w:t>
      </w:r>
    </w:p>
    <w:p>
      <w:pPr>
        <w:pStyle w:val="ListParagraph"/>
        <w:numPr>
          <w:ilvl w:val="0"/>
          <w:numId w:val="2"/>
        </w:numPr>
        <w:rPr/>
      </w:pPr>
      <w:r>
        <w:rPr/>
        <w:t>Ontwerp- en ontwikkelfase (6–8 weken): functioneel ontwerp, technische architectuur, bouwen van het MVP en koppeling met lokale infrastructuur, gevolgd door privacy en security review. Voor het maken van het prototype is toegang nodig tot technische documentatie van HealthConnected en Sanday, een testomgeving of dummy-gegevens, functionele afstemming met HIS-leveranciers, en toegang tot de relevante sociale kaart datasets (zoals VraagHulpNijmegen) voor de matching-engine.</w:t>
      </w:r>
    </w:p>
    <w:p>
      <w:pPr>
        <w:pStyle w:val="ListParagraph"/>
        <w:numPr>
          <w:ilvl w:val="0"/>
          <w:numId w:val="2"/>
        </w:numPr>
        <w:rPr/>
      </w:pPr>
      <w:r>
        <w:rPr/>
        <w:t>Live pilot (3 maanden): het MVP wordt ingezet in de huisartsenpraktijk van De Schakel en het project Beweeg Mee. Huisartsen, POH’s, assistentes, fysiotherapeuten, buurtteams en Bindkracht10 gebruiken WijkConnect in het dagelijkse werk. We organiseren wekelijkse feedbackloops, kortcyclische verbeteringen en monitoren casuïstiek, matching en doorlooptijden.</w:t>
      </w:r>
    </w:p>
    <w:p>
      <w:pPr>
        <w:pStyle w:val="ListParagraph"/>
        <w:numPr>
          <w:ilvl w:val="0"/>
          <w:numId w:val="2"/>
        </w:numPr>
        <w:rPr/>
      </w:pPr>
      <w:r>
        <w:rPr/>
        <w:t>Evaluatie- en opschalingsfase: analyse van gebruik en tevredenheid, impactmeting op werkdruk en inzet van voorzieningen, en een plan voor opschaling binnen NEO huisartsenzorggroep. Indien gewenst volgt doorontwikkeling van het MVP.</w:t>
      </w:r>
    </w:p>
    <w:p>
      <w:pPr>
        <w:pStyle w:val="Normal"/>
        <w:rPr/>
      </w:pPr>
      <w:r>
        <w:rPr/>
        <w:t>Tijdens de pilot testen we het gebruiksgemak voor professionals, de aansluiting op werkprocessen, de betrouwbaarheid van de matching, de snelheid waarmee het sociaal domein inwoners oppakt, de kwaliteit van de tweerichtingscommunicatie, de ervaren werkdrukvermindering bij huisartsen en toename van gebruik van wijkvoorzieningen. Daarnaast testen we expliciet de werkwijze en handelingen voor het sociaal domein. Hiermee wordt gevalideerd of de handelingen voor het sociaal domein minimaal blijven, maar de huisarts toch structureel en betrouwbaar inzicht krijgt in wie de casus oppakt, wat de status is en of de inwoner daadwerkelijk bereikt wordt.</w:t>
      </w:r>
    </w:p>
    <w:p>
      <w:pPr>
        <w:pStyle w:val="Normal"/>
        <w:rPr/>
      </w:pPr>
      <w:r>
        <w:rPr/>
        <w:t>Ondersteuningsbehoefte van DHCL: toegang tot ICT-contacten van NEO-huisartsen voor technische afstemming, koppelinformatie van de gebruikte HIS-systemen, ondersteuning bij monitoring en dataverzameling, facilitering van feedback en het delen van resultaten binnen het netwerk, en een pilotbudget voor de ontwikkeling, uitvoering en evaluatie. Daarnaast is ondersteuning gewenst bij het leggen van verbindingen met challenge-partners voor bredere validatie van het MVP, en bij het organiseren van gezamenlijke evaluatiesessies of impactmetingen.</w:t>
      </w:r>
    </w:p>
    <w:p>
      <w:pPr>
        <w:pStyle w:val="Normal"/>
        <w:rPr>
          <w:b/>
          <w:bCs/>
        </w:rPr>
      </w:pPr>
      <w:r>
        <w:rPr>
          <w:b/>
          <w:bCs/>
        </w:rPr>
        <w:t>6. Verwachte impact</w:t>
      </w:r>
    </w:p>
    <w:p>
      <w:pPr>
        <w:pStyle w:val="Normal"/>
        <w:rPr/>
      </w:pPr>
      <w:r>
        <w:rPr/>
        <w:t>De impact van WijkConnect wordt verwacht op verschillende niveaus:</w:t>
      </w:r>
    </w:p>
    <w:p>
      <w:pPr>
        <w:pStyle w:val="ListParagraph"/>
        <w:numPr>
          <w:ilvl w:val="0"/>
          <w:numId w:val="2"/>
        </w:numPr>
        <w:rPr/>
      </w:pPr>
      <w:r>
        <w:rPr/>
        <w:t>Voor huisartsen en POH’s: vermindering van niet-medische consulten; directe doorverwijzing naar het sociaal domein zonder extra administratie; meer tijd voor medische zorg; warme overdracht en structurele feedback; structuur en overzicht in verwijzingen dankzij uniforme statusupdates.</w:t>
      </w:r>
    </w:p>
    <w:p>
      <w:pPr>
        <w:pStyle w:val="ListParagraph"/>
        <w:numPr>
          <w:ilvl w:val="0"/>
          <w:numId w:val="2"/>
        </w:numPr>
        <w:rPr/>
      </w:pPr>
      <w:r>
        <w:rPr/>
        <w:t>Voor inwoners: snelle toegang tot passende ondersteuning, zowel professioneel als informeel; minder drempels door warme overdracht en begrijpelijke taal; minder rondzwervingen tussen instanties; mogelijkheid om zelf initiatieven te vinden, toe te voegen en feedback te geven via de burgerinterface.</w:t>
      </w:r>
    </w:p>
    <w:p>
      <w:pPr>
        <w:pStyle w:val="ListParagraph"/>
        <w:numPr>
          <w:ilvl w:val="0"/>
          <w:numId w:val="2"/>
        </w:numPr>
        <w:rPr/>
      </w:pPr>
      <w:r>
        <w:rPr/>
        <w:t>Voor het sociaal domein: betere en tijdigere matching tussen vraag en aanbod; warmere overdracht verbetert de relatie met inwoners en vermindert uitval; voorspelbare instroom en meer zicht op werkdruk; betere benutting van wijkvoorzieningen.</w:t>
      </w:r>
    </w:p>
    <w:p>
      <w:pPr>
        <w:pStyle w:val="Normal"/>
        <w:rPr/>
      </w:pPr>
      <w:r>
        <w:rPr/>
        <w:t>Voor gemeenten en zorgverzekeraars: effectiever gebruik van de sociale basis en preventieve programma’s; vroegsignalering van sociale problemen; inzicht in wijkpatronen en trends; bijdrage aan het verkleinen van gezondheidsverschillen en realisatie van beleidsdoelen (IZA, GALA).</w:t>
      </w:r>
    </w:p>
    <w:p>
      <w:pPr>
        <w:pStyle w:val="Normal"/>
        <w:rPr>
          <w:b/>
          <w:bCs/>
        </w:rPr>
      </w:pPr>
      <w:r>
        <w:rPr>
          <w:b/>
          <w:bCs/>
        </w:rPr>
        <w:t>7. Team en uitvoerbaarheid</w:t>
      </w:r>
    </w:p>
    <w:p>
      <w:pPr>
        <w:pStyle w:val="Normal"/>
        <w:rPr/>
      </w:pPr>
      <w:r>
        <w:rPr/>
        <w:t>Het project wordt uitgevoerd door een multidisciplinair team met ruime ervaring in zorginnovatie en wijkgericht samenwerken:</w:t>
      </w:r>
    </w:p>
    <w:p>
      <w:pPr>
        <w:pStyle w:val="ListParagraph"/>
        <w:numPr>
          <w:ilvl w:val="0"/>
          <w:numId w:val="2"/>
        </w:numPr>
        <w:rPr/>
      </w:pPr>
      <w:r>
        <w:rPr/>
        <w:t>Projectleider: Luuk Smeekens van LS- Project- en innovatiemanagement in de eerstelijnszorg. Achtergrond als gezondheidswetenschapper en fysiotherapeut. Hij is betrokken als projectmanager en coördinator bij Beweeg Mee en heeft ruime ervaring in wijkgericht werken en digitale innovaties. KVK: 91830958.</w:t>
      </w:r>
    </w:p>
    <w:p>
      <w:pPr>
        <w:pStyle w:val="ListParagraph"/>
        <w:numPr>
          <w:ilvl w:val="0"/>
          <w:numId w:val="2"/>
        </w:numPr>
        <w:rPr/>
      </w:pPr>
      <w:r>
        <w:rPr/>
        <w:t>Technische partner: Ludger Visser van LV IT Solutions, specialist in zorgkoppelingen, API-ontwikkeling, privacy-by-design en veilige webapplicaties. Verantwoordelijk voor de ontwikkeling van het MVP. KVK: 91283205.</w:t>
      </w:r>
    </w:p>
    <w:p>
      <w:pPr>
        <w:pStyle w:val="ListParagraph"/>
        <w:numPr>
          <w:ilvl w:val="0"/>
          <w:numId w:val="2"/>
        </w:numPr>
        <w:rPr/>
      </w:pPr>
      <w:r>
        <w:rPr/>
        <w:t>Wijkpartners: Huisartsenpraktijk De Schakel, Fysiotherapie Fy-fit, Bindkracht10, Buurtteams Volwassenen, GGD Gelderland-Zuid, Gemeente Nijmegen en andere lokale organisaties. Zij leveren casuïstiek, testen het systeem in de praktijk en geven feedback voor doorontwikkeling.</w:t>
      </w:r>
    </w:p>
    <w:p>
      <w:pPr>
        <w:pStyle w:val="Normal"/>
        <w:rPr/>
      </w:pPr>
      <w:r>
        <w:rPr/>
        <w:t>Samen beschikken deze partners over de expertise om binnen drie maanden een werkend MVP op te leveren en te testen. De betrokken organisaties zijn al onderdeel van een opererend wijknetwerk, waardoor het pilottraject snel en effectief kan worden ingericht.</w:t>
      </w:r>
    </w:p>
    <w:p>
      <w:pPr>
        <w:pStyle w:val="Normal"/>
        <w:rPr>
          <w:b/>
          <w:bCs/>
        </w:rPr>
      </w:pPr>
      <w:r>
        <w:rPr>
          <w:b/>
          <w:bCs/>
        </w:rPr>
        <w:t>8. Begroting (samenvatting)</w:t>
      </w:r>
    </w:p>
    <w:p>
      <w:pPr>
        <w:pStyle w:val="Normal"/>
        <w:rPr/>
      </w:pPr>
      <w:r>
        <w:rPr/>
        <w:t>De totale begroting voor de pilot bedraagt €29.000. Dit dekt de ontwikkeling van het MVP, de uitvoering van de pilot en de evaluatiefase. De bedragen zijn gekoppeld aan concrete activiteiten, zodat inzichtelijk is hoe de inzet bijdraagt aan het realiseren en testen van WijkConnect.</w:t>
      </w:r>
    </w:p>
    <w:p>
      <w:pPr>
        <w:pStyle w:val="Normal"/>
        <w:rPr/>
      </w:pPr>
      <w:r>
        <w:rPr/>
        <w:t>Kosten uitgesplitst per projectfase</w:t>
      </w:r>
    </w:p>
    <w:tbl>
      <w:tblPr>
        <w:tblW w:w="90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932"/>
        <w:gridCol w:w="6299"/>
        <w:gridCol w:w="841"/>
      </w:tblGrid>
      <w:tr>
        <w:trPr>
          <w:tblHeader w:val="true"/>
        </w:trPr>
        <w:tc>
          <w:tcPr>
            <w:tcW w:w="1932" w:type="dxa"/>
            <w:tcBorders/>
            <w:vAlign w:val="center"/>
          </w:tcPr>
          <w:p>
            <w:pPr>
              <w:pStyle w:val="Normal"/>
              <w:widowControl/>
              <w:suppressAutoHyphens w:val="true"/>
              <w:bidi w:val="0"/>
              <w:spacing w:lineRule="auto" w:line="259" w:before="0" w:after="160"/>
              <w:jc w:val="left"/>
              <w:rPr/>
            </w:pPr>
            <w:r>
              <w:rPr/>
              <w:t>Projectfase / Activiteit</w:t>
            </w:r>
          </w:p>
        </w:tc>
        <w:tc>
          <w:tcPr>
            <w:tcW w:w="6299" w:type="dxa"/>
            <w:tcBorders/>
            <w:vAlign w:val="center"/>
          </w:tcPr>
          <w:p>
            <w:pPr>
              <w:pStyle w:val="Normal"/>
              <w:widowControl/>
              <w:suppressAutoHyphens w:val="true"/>
              <w:bidi w:val="0"/>
              <w:spacing w:lineRule="auto" w:line="259" w:before="0" w:after="160"/>
              <w:jc w:val="left"/>
              <w:rPr/>
            </w:pPr>
            <w:r>
              <w:rPr/>
              <w:t>Omschrijving</w:t>
            </w:r>
          </w:p>
        </w:tc>
        <w:tc>
          <w:tcPr>
            <w:tcW w:w="841" w:type="dxa"/>
            <w:tcBorders/>
            <w:vAlign w:val="center"/>
          </w:tcPr>
          <w:p>
            <w:pPr>
              <w:pStyle w:val="Normal"/>
              <w:widowControl/>
              <w:suppressAutoHyphens w:val="true"/>
              <w:bidi w:val="0"/>
              <w:spacing w:lineRule="auto" w:line="259" w:before="0" w:after="160"/>
              <w:jc w:val="left"/>
              <w:rPr/>
            </w:pPr>
            <w:r>
              <w:rPr/>
              <w:t>Kosten (€)</w:t>
            </w:r>
          </w:p>
        </w:tc>
      </w:tr>
      <w:tr>
        <w:trPr/>
        <w:tc>
          <w:tcPr>
            <w:tcW w:w="1932" w:type="dxa"/>
            <w:tcBorders/>
            <w:vAlign w:val="center"/>
          </w:tcPr>
          <w:p>
            <w:pPr>
              <w:pStyle w:val="Normal"/>
              <w:widowControl/>
              <w:suppressAutoHyphens w:val="true"/>
              <w:bidi w:val="0"/>
              <w:spacing w:lineRule="auto" w:line="259" w:before="0" w:after="160"/>
              <w:jc w:val="left"/>
              <w:rPr/>
            </w:pPr>
            <w:r>
              <w:rPr/>
              <w:t>1. Ontwerp &amp; Prototyping (MVP ontwikkeling)</w:t>
            </w:r>
          </w:p>
        </w:tc>
        <w:tc>
          <w:tcPr>
            <w:tcW w:w="6299" w:type="dxa"/>
            <w:tcBorders/>
            <w:vAlign w:val="center"/>
          </w:tcPr>
          <w:p>
            <w:pPr>
              <w:pStyle w:val="Normal"/>
              <w:widowControl/>
              <w:suppressAutoHyphens w:val="true"/>
              <w:bidi w:val="0"/>
              <w:spacing w:lineRule="auto" w:line="259" w:before="0" w:after="160"/>
              <w:jc w:val="left"/>
              <w:rPr/>
            </w:pPr>
            <w:r>
              <w:rPr/>
              <w:t>Functioneel ontwerp, UX/wireframing, technische architectuur, ontwikkelen van backend &amp; frontend, realiseren van de FHIR-koppeling, bouwen routeringslaag (mailparser + secure mail router + matching engine), security-setup, testomgeving, hosting</w:t>
            </w:r>
          </w:p>
        </w:tc>
        <w:tc>
          <w:tcPr>
            <w:tcW w:w="841" w:type="dxa"/>
            <w:tcBorders/>
            <w:vAlign w:val="center"/>
          </w:tcPr>
          <w:p>
            <w:pPr>
              <w:pStyle w:val="Normal"/>
              <w:widowControl/>
              <w:suppressAutoHyphens w:val="true"/>
              <w:bidi w:val="0"/>
              <w:spacing w:lineRule="auto" w:line="259" w:before="0" w:after="160"/>
              <w:jc w:val="left"/>
              <w:rPr/>
            </w:pPr>
            <w:r>
              <w:rPr/>
              <w:t>€</w:t>
            </w:r>
            <w:r>
              <w:rPr/>
              <w:t>18.000</w:t>
            </w:r>
          </w:p>
        </w:tc>
      </w:tr>
      <w:tr>
        <w:trPr/>
        <w:tc>
          <w:tcPr>
            <w:tcW w:w="1932" w:type="dxa"/>
            <w:tcBorders/>
            <w:vAlign w:val="center"/>
          </w:tcPr>
          <w:p>
            <w:pPr>
              <w:pStyle w:val="Normal"/>
              <w:widowControl/>
              <w:suppressAutoHyphens w:val="true"/>
              <w:bidi w:val="0"/>
              <w:spacing w:lineRule="auto" w:line="259" w:before="0" w:after="160"/>
              <w:jc w:val="left"/>
              <w:rPr/>
            </w:pPr>
            <w:r>
              <w:rPr/>
              <w:t>2. Pilotfase (3 maanden)</w:t>
            </w:r>
          </w:p>
        </w:tc>
        <w:tc>
          <w:tcPr>
            <w:tcW w:w="6299" w:type="dxa"/>
            <w:tcBorders/>
            <w:vAlign w:val="center"/>
          </w:tcPr>
          <w:p>
            <w:pPr>
              <w:pStyle w:val="Normal"/>
              <w:widowControl/>
              <w:suppressAutoHyphens w:val="true"/>
              <w:bidi w:val="0"/>
              <w:spacing w:lineRule="auto" w:line="259" w:before="0" w:after="160"/>
              <w:jc w:val="left"/>
              <w:rPr/>
            </w:pPr>
            <w:r>
              <w:rPr/>
              <w:t>Onboarden van gebruikers (huisartsen, POH’s, sociaal domein), inrichten workflows, wekelijkse feedbackloops, bugfixes, monitoring casuïstiek en matching, ondersteuning professionals</w:t>
            </w:r>
          </w:p>
        </w:tc>
        <w:tc>
          <w:tcPr>
            <w:tcW w:w="841" w:type="dxa"/>
            <w:tcBorders/>
            <w:vAlign w:val="center"/>
          </w:tcPr>
          <w:p>
            <w:pPr>
              <w:pStyle w:val="Normal"/>
              <w:widowControl/>
              <w:suppressAutoHyphens w:val="true"/>
              <w:bidi w:val="0"/>
              <w:spacing w:lineRule="auto" w:line="259" w:before="0" w:after="160"/>
              <w:jc w:val="left"/>
              <w:rPr/>
            </w:pPr>
            <w:r>
              <w:rPr/>
              <w:t>€</w:t>
            </w:r>
            <w:r>
              <w:rPr/>
              <w:t>7.500</w:t>
            </w:r>
          </w:p>
        </w:tc>
      </w:tr>
      <w:tr>
        <w:trPr/>
        <w:tc>
          <w:tcPr>
            <w:tcW w:w="1932" w:type="dxa"/>
            <w:tcBorders/>
            <w:vAlign w:val="center"/>
          </w:tcPr>
          <w:p>
            <w:pPr>
              <w:pStyle w:val="Normal"/>
              <w:widowControl/>
              <w:suppressAutoHyphens w:val="true"/>
              <w:bidi w:val="0"/>
              <w:spacing w:lineRule="auto" w:line="259" w:before="0" w:after="160"/>
              <w:jc w:val="left"/>
              <w:rPr/>
            </w:pPr>
            <w:r>
              <w:rPr/>
              <w:t>3. Evaluatie &amp; Rapportage</w:t>
            </w:r>
          </w:p>
        </w:tc>
        <w:tc>
          <w:tcPr>
            <w:tcW w:w="6299" w:type="dxa"/>
            <w:tcBorders/>
            <w:vAlign w:val="center"/>
          </w:tcPr>
          <w:p>
            <w:pPr>
              <w:pStyle w:val="Normal"/>
              <w:widowControl/>
              <w:suppressAutoHyphens w:val="true"/>
              <w:bidi w:val="0"/>
              <w:spacing w:lineRule="auto" w:line="259" w:before="0" w:after="160"/>
              <w:jc w:val="left"/>
              <w:rPr/>
            </w:pPr>
            <w:r>
              <w:rPr/>
              <w:t>Dataverzameling, interviews met professionals en inwoners, analyse van gebruik &amp; impact, eindrapportage, advies opschaling</w:t>
            </w:r>
          </w:p>
        </w:tc>
        <w:tc>
          <w:tcPr>
            <w:tcW w:w="841" w:type="dxa"/>
            <w:tcBorders/>
            <w:vAlign w:val="center"/>
          </w:tcPr>
          <w:p>
            <w:pPr>
              <w:pStyle w:val="Normal"/>
              <w:widowControl/>
              <w:suppressAutoHyphens w:val="true"/>
              <w:bidi w:val="0"/>
              <w:spacing w:lineRule="auto" w:line="259" w:before="0" w:after="160"/>
              <w:jc w:val="left"/>
              <w:rPr/>
            </w:pPr>
            <w:r>
              <w:rPr/>
              <w:t>€</w:t>
            </w:r>
            <w:r>
              <w:rPr/>
              <w:t>3.500</w:t>
            </w:r>
          </w:p>
        </w:tc>
      </w:tr>
      <w:tr>
        <w:trPr/>
        <w:tc>
          <w:tcPr>
            <w:tcW w:w="1932" w:type="dxa"/>
            <w:tcBorders/>
            <w:vAlign w:val="center"/>
          </w:tcPr>
          <w:p>
            <w:pPr>
              <w:pStyle w:val="Normal"/>
              <w:widowControl/>
              <w:suppressAutoHyphens w:val="true"/>
              <w:bidi w:val="0"/>
              <w:spacing w:lineRule="auto" w:line="259" w:before="0" w:after="160"/>
              <w:jc w:val="left"/>
              <w:rPr/>
            </w:pPr>
            <w:r>
              <w:rPr/>
              <w:t>Totaal</w:t>
            </w:r>
          </w:p>
        </w:tc>
        <w:tc>
          <w:tcPr>
            <w:tcW w:w="6299" w:type="dxa"/>
            <w:tcBorders/>
            <w:vAlign w:val="center"/>
          </w:tcPr>
          <w:p>
            <w:pPr>
              <w:pStyle w:val="Normal"/>
              <w:widowControl/>
              <w:suppressAutoHyphens w:val="true"/>
              <w:bidi w:val="0"/>
              <w:spacing w:lineRule="auto" w:line="259" w:before="0" w:after="160"/>
              <w:jc w:val="left"/>
              <w:rPr/>
            </w:pPr>
            <w:r>
              <w:rPr/>
            </w:r>
          </w:p>
        </w:tc>
        <w:tc>
          <w:tcPr>
            <w:tcW w:w="841" w:type="dxa"/>
            <w:tcBorders/>
            <w:vAlign w:val="center"/>
          </w:tcPr>
          <w:p>
            <w:pPr>
              <w:pStyle w:val="Normal"/>
              <w:widowControl/>
              <w:suppressAutoHyphens w:val="true"/>
              <w:bidi w:val="0"/>
              <w:spacing w:lineRule="auto" w:line="259" w:before="0" w:after="160"/>
              <w:jc w:val="left"/>
              <w:rPr/>
            </w:pPr>
            <w:r>
              <w:rPr/>
              <w:t>€</w:t>
            </w:r>
            <w:r>
              <w:rPr/>
              <w:t>29.000</w:t>
            </w:r>
          </w:p>
        </w:tc>
      </w:tr>
    </w:tbl>
    <w:p>
      <w:pPr>
        <w:pStyle w:val="Normal"/>
        <w:rPr/>
      </w:pPr>
      <w:r>
        <w:rPr/>
        <w:t>Bij succes voorzien we een licht abonnementsmodel voor deelnemende praktijken. De exacte kosten worden tijdens en na de pilotfase bepaald, maar vallen naar verwachting binnen een marktconforme bandbreedte voor hosting, onderhoud en doorontwikkeling.</w:t>
      </w:r>
    </w:p>
    <w:p>
      <w:pPr>
        <w:pStyle w:val="Normal"/>
        <w:rPr>
          <w:b/>
          <w:bCs/>
        </w:rPr>
      </w:pPr>
      <w:r>
        <w:rPr>
          <w:b/>
          <w:bCs/>
        </w:rPr>
        <w:t>9. Conclusie</w:t>
      </w:r>
    </w:p>
    <w:p>
      <w:pPr>
        <w:pStyle w:val="Normal"/>
        <w:widowControl/>
        <w:suppressAutoHyphens w:val="true"/>
        <w:bidi w:val="0"/>
        <w:spacing w:lineRule="auto" w:line="259" w:before="0" w:after="160"/>
        <w:jc w:val="left"/>
        <w:rPr/>
      </w:pPr>
      <w:r>
        <w:rPr/>
        <w:t>WijkConnect biedt een praktische en innovatieve oplossing voor een cruciaal knelpunt in de samenwerking tussen eerstelijnszorg en het sociale domein. Met een slimme, pass-through routeringslaag, automatische terugkoppeling en een gebruiksvriendelijke burgerinterface wordt de huisarts ontlast, vindt de inwoner sneller de juiste ondersteuning en wordt de sociale basis beter benut. De oplossing sluit aan op bestaande systemen en werkwijzen, is snel realiseerbaar en schaalbaar. Met een sterk wijknetwerk en een duidelijk ontwikkelplan kan WijkConnect binnen drie maanden worden gebouwd, getest én gevalideerd. Wij kijken uit naar de samenwerking met DHCL om deze oplossing te realiseren en op te schalen.</w:t>
      </w:r>
    </w:p>
    <w:sectPr>
      <w:headerReference w:type="even" r:id="rId2"/>
      <w:headerReference w:type="default" r:id="rId3"/>
      <w:headerReference w:type="first" r:id="rId4"/>
      <w:type w:val="nextPage"/>
      <w:pgSz w:w="11906" w:h="16838"/>
      <w:pgMar w:left="1417" w:right="1417" w:gutter="0" w:header="0" w:top="1417" w:footer="0" w:bottom="1417"/>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behindDoc="1" distT="0" distB="0" distL="0" distR="0" simplePos="0" locked="0" layoutInCell="1" allowOverlap="1" relativeHeight="16">
          <wp:simplePos x="0" y="0"/>
          <wp:positionH relativeFrom="column">
            <wp:posOffset>-64135</wp:posOffset>
          </wp:positionH>
          <wp:positionV relativeFrom="paragraph">
            <wp:posOffset>635</wp:posOffset>
          </wp:positionV>
          <wp:extent cx="1042035" cy="93472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1042035" cy="934720"/>
                  </a:xfrm>
                  <a:prstGeom prst="rect">
                    <a:avLst/>
                  </a:prstGeom>
                </pic:spPr>
              </pic:pic>
            </a:graphicData>
          </a:graphic>
        </wp:anchor>
      </w:drawing>
    </w:r>
    <w:r>
      <w:rPr/>
      <w:tab/>
    </w:r>
    <w:r>
      <w:rPr/>
      <w:tab/>
    </w:r>
    <w:r>
      <w:rPr/>
      <w:drawing>
        <wp:inline distT="0" distB="0" distL="0" distR="0">
          <wp:extent cx="1356360" cy="1356360"/>
          <wp:effectExtent l="0" t="0" r="0" b="0"/>
          <wp:docPr id="2" name="Afbeeld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1" descr=""/>
                  <pic:cNvPicPr>
                    <a:picLocks noChangeAspect="1" noChangeArrowheads="1"/>
                  </pic:cNvPicPr>
                </pic:nvPicPr>
                <pic:blipFill>
                  <a:blip r:embed="rId2"/>
                  <a:stretch>
                    <a:fillRect/>
                  </a:stretch>
                </pic:blipFill>
                <pic:spPr bwMode="auto">
                  <a:xfrm>
                    <a:off x="0" y="0"/>
                    <a:ext cx="1356360" cy="135636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behindDoc="1" distT="0" distB="0" distL="0" distR="0" simplePos="0" locked="0" layoutInCell="1" allowOverlap="1" relativeHeight="16">
          <wp:simplePos x="0" y="0"/>
          <wp:positionH relativeFrom="column">
            <wp:posOffset>-64135</wp:posOffset>
          </wp:positionH>
          <wp:positionV relativeFrom="paragraph">
            <wp:posOffset>635</wp:posOffset>
          </wp:positionV>
          <wp:extent cx="1042035" cy="934720"/>
          <wp:effectExtent l="0" t="0" r="0" b="0"/>
          <wp:wrapNone/>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1"/>
                  <a:stretch>
                    <a:fillRect/>
                  </a:stretch>
                </pic:blipFill>
                <pic:spPr bwMode="auto">
                  <a:xfrm>
                    <a:off x="0" y="0"/>
                    <a:ext cx="1042035" cy="934720"/>
                  </a:xfrm>
                  <a:prstGeom prst="rect">
                    <a:avLst/>
                  </a:prstGeom>
                </pic:spPr>
              </pic:pic>
            </a:graphicData>
          </a:graphic>
        </wp:anchor>
      </w:drawing>
    </w:r>
    <w:r>
      <w:rPr/>
      <w:tab/>
    </w:r>
    <w:r>
      <w:rPr/>
      <w:tab/>
    </w:r>
    <w:r>
      <w:rPr/>
      <w:drawing>
        <wp:inline distT="0" distB="0" distL="0" distR="0">
          <wp:extent cx="1356360" cy="1356360"/>
          <wp:effectExtent l="0" t="0" r="0" b="0"/>
          <wp:docPr id="4" name="Afbeeld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1" descr=""/>
                  <pic:cNvPicPr>
                    <a:picLocks noChangeAspect="1" noChangeArrowheads="1"/>
                  </pic:cNvPicPr>
                </pic:nvPicPr>
                <pic:blipFill>
                  <a:blip r:embed="rId2"/>
                  <a:stretch>
                    <a:fillRect/>
                  </a:stretch>
                </pic:blipFill>
                <pic:spPr bwMode="auto">
                  <a:xfrm>
                    <a:off x="0" y="0"/>
                    <a:ext cx="1356360" cy="135636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3"/>
      <w:numFmt w:val="decimal"/>
      <w:lvlText w:val="%1"/>
      <w:lvlJc w:val="left"/>
      <w:pPr>
        <w:tabs>
          <w:tab w:val="num" w:pos="0"/>
        </w:tabs>
        <w:ind w:left="360" w:hanging="360"/>
      </w:pPr>
      <w:rPr>
        <w:b/>
      </w:rPr>
    </w:lvl>
    <w:lvl w:ilvl="1">
      <w:start w:val="2"/>
      <w:numFmt w:val="decimal"/>
      <w:lvlText w:val="%1.%2"/>
      <w:lvlJc w:val="left"/>
      <w:pPr>
        <w:tabs>
          <w:tab w:val="num" w:pos="0"/>
        </w:tabs>
        <w:ind w:left="360" w:hanging="360"/>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440" w:hanging="1440"/>
      </w:pPr>
      <w:rPr>
        <w:b/>
      </w:rPr>
    </w:lvl>
  </w:abstractNum>
  <w:abstractNum w:abstractNumId="4">
    <w:lvl w:ilvl="0">
      <w:start w:val="3"/>
      <w:numFmt w:val="decimal"/>
      <w:lvlText w:val="%1"/>
      <w:lvlJc w:val="left"/>
      <w:pPr>
        <w:tabs>
          <w:tab w:val="num" w:pos="0"/>
        </w:tabs>
        <w:ind w:left="360" w:hanging="360"/>
      </w:pPr>
      <w:rPr/>
    </w:lvl>
    <w:lvl w:ilvl="1">
      <w:start w:val="4"/>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kern w:val="2"/>
        <w:sz w:val="22"/>
        <w:szCs w:val="22"/>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Noto Sans Arabic"/>
      <w:color w:val="auto"/>
      <w:kern w:val="2"/>
      <w:sz w:val="22"/>
      <w:szCs w:val="22"/>
      <w:lang w:val="nl-NL" w:eastAsia="en-US" w:bidi="ar-SA"/>
    </w:rPr>
  </w:style>
  <w:style w:type="paragraph" w:styleId="Heading1">
    <w:name w:val="Heading 1"/>
    <w:basedOn w:val="Normal"/>
    <w:next w:val="Normal"/>
    <w:link w:val="Kop1Char"/>
    <w:uiPriority w:val="9"/>
    <w:qFormat/>
    <w:pPr>
      <w:keepNext w:val="true"/>
      <w:keepLines/>
      <w:spacing w:before="360" w:after="80"/>
      <w:outlineLvl w:val="0"/>
    </w:pPr>
    <w:rPr>
      <w:rFonts w:ascii="Calibri Light" w:hAnsi="Calibri Light"/>
      <w:color w:themeColor="accent1" w:themeShade="bf" w:val="2F5496"/>
      <w:sz w:val="40"/>
      <w:szCs w:val="40"/>
    </w:rPr>
  </w:style>
  <w:style w:type="paragraph" w:styleId="Heading2">
    <w:name w:val="Heading 2"/>
    <w:basedOn w:val="Normal"/>
    <w:next w:val="Normal"/>
    <w:link w:val="Kop2Char"/>
    <w:uiPriority w:val="9"/>
    <w:semiHidden/>
    <w:unhideWhenUsed/>
    <w:qFormat/>
    <w:pPr>
      <w:keepNext w:val="true"/>
      <w:keepLines/>
      <w:spacing w:before="160" w:after="80"/>
      <w:outlineLvl w:val="1"/>
    </w:pPr>
    <w:rPr>
      <w:rFonts w:ascii="Calibri Light" w:hAnsi="Calibri Light"/>
      <w:color w:themeColor="accent1" w:themeShade="bf" w:val="2F5496"/>
      <w:sz w:val="32"/>
      <w:szCs w:val="32"/>
    </w:rPr>
  </w:style>
  <w:style w:type="paragraph" w:styleId="Heading3">
    <w:name w:val="Heading 3"/>
    <w:basedOn w:val="Normal"/>
    <w:next w:val="Normal"/>
    <w:link w:val="Kop3Char"/>
    <w:uiPriority w:val="9"/>
    <w:semiHidden/>
    <w:unhideWhenUsed/>
    <w:qFormat/>
    <w:pPr>
      <w:keepNext w:val="true"/>
      <w:keepLines/>
      <w:spacing w:before="160" w:after="80"/>
      <w:outlineLvl w:val="2"/>
    </w:pPr>
    <w:rPr>
      <w:color w:themeColor="accent1" w:themeShade="bf" w:val="2F5496"/>
      <w:sz w:val="28"/>
      <w:szCs w:val="28"/>
    </w:rPr>
  </w:style>
  <w:style w:type="paragraph" w:styleId="Heading4">
    <w:name w:val="Heading 4"/>
    <w:basedOn w:val="Normal"/>
    <w:next w:val="Normal"/>
    <w:link w:val="Kop4Char"/>
    <w:uiPriority w:val="9"/>
    <w:semiHidden/>
    <w:unhideWhenUsed/>
    <w:qFormat/>
    <w:pPr>
      <w:keepNext w:val="true"/>
      <w:keepLines/>
      <w:spacing w:before="80" w:after="40"/>
      <w:outlineLvl w:val="3"/>
    </w:pPr>
    <w:rPr>
      <w:i/>
      <w:iCs/>
      <w:color w:themeColor="accent1" w:themeShade="bf" w:val="2F5496"/>
    </w:rPr>
  </w:style>
  <w:style w:type="paragraph" w:styleId="Heading5">
    <w:name w:val="Heading 5"/>
    <w:basedOn w:val="Normal"/>
    <w:next w:val="Normal"/>
    <w:link w:val="Kop5Char"/>
    <w:uiPriority w:val="9"/>
    <w:semiHidden/>
    <w:unhideWhenUsed/>
    <w:qFormat/>
    <w:pPr>
      <w:keepNext w:val="true"/>
      <w:keepLines/>
      <w:spacing w:before="80" w:after="40"/>
      <w:outlineLvl w:val="4"/>
    </w:pPr>
    <w:rPr>
      <w:color w:themeColor="accent1" w:themeShade="bf" w:val="2F5496"/>
    </w:rPr>
  </w:style>
  <w:style w:type="paragraph" w:styleId="Heading6">
    <w:name w:val="Heading 6"/>
    <w:basedOn w:val="Normal"/>
    <w:next w:val="Normal"/>
    <w:link w:val="Kop6Char"/>
    <w:uiPriority w:val="9"/>
    <w:semiHidden/>
    <w:unhideWhenUsed/>
    <w:qFormat/>
    <w:pPr>
      <w:keepNext w:val="true"/>
      <w:keepLines/>
      <w:spacing w:before="40" w:after="0"/>
      <w:outlineLvl w:val="5"/>
    </w:pPr>
    <w:rPr>
      <w:i/>
      <w:iCs/>
      <w:color w:themeColor="dark1" w:themeTint="a6" w:val="595959"/>
    </w:rPr>
  </w:style>
  <w:style w:type="paragraph" w:styleId="Heading7">
    <w:name w:val="Heading 7"/>
    <w:basedOn w:val="Normal"/>
    <w:next w:val="Normal"/>
    <w:link w:val="Kop7Char"/>
    <w:qFormat/>
    <w:pPr>
      <w:keepNext w:val="true"/>
      <w:keepLines/>
      <w:spacing w:before="40" w:after="0"/>
      <w:outlineLvl w:val="6"/>
    </w:pPr>
    <w:rPr>
      <w:color w:themeColor="dark1" w:themeTint="a6" w:val="595959"/>
    </w:rPr>
  </w:style>
  <w:style w:type="paragraph" w:styleId="Heading8">
    <w:name w:val="Heading 8"/>
    <w:basedOn w:val="Normal"/>
    <w:next w:val="Normal"/>
    <w:link w:val="Kop8Char"/>
    <w:qFormat/>
    <w:pPr>
      <w:keepNext w:val="true"/>
      <w:keepLines/>
      <w:spacing w:before="0" w:after="0"/>
      <w:outlineLvl w:val="7"/>
    </w:pPr>
    <w:rPr>
      <w:i/>
      <w:iCs/>
      <w:color w:themeColor="dark1" w:themeTint="d8" w:val="272727"/>
    </w:rPr>
  </w:style>
  <w:style w:type="paragraph" w:styleId="Heading9">
    <w:name w:val="Heading 9"/>
    <w:basedOn w:val="Normal"/>
    <w:next w:val="Normal"/>
    <w:link w:val="Kop9Char"/>
    <w:qFormat/>
    <w:pPr>
      <w:keepNext w:val="true"/>
      <w:keepLines/>
      <w:spacing w:before="0" w:after="0"/>
      <w:outlineLvl w:val="8"/>
    </w:pPr>
    <w:rPr>
      <w:color w:themeColor="dark1" w:themeTint="d8" w:val="272727"/>
    </w:rPr>
  </w:style>
  <w:style w:type="character" w:styleId="DefaultParagraphFont" w:default="1">
    <w:name w:val="Default Paragraph Font"/>
    <w:uiPriority w:val="1"/>
    <w:semiHidden/>
    <w:unhideWhenUsed/>
    <w:qFormat/>
    <w:rPr/>
  </w:style>
  <w:style w:type="character" w:styleId="Kop1Char" w:customStyle="1">
    <w:name w:val="Kop 1 Char"/>
    <w:basedOn w:val="DefaultParagraphFont"/>
    <w:link w:val="Heading1"/>
    <w:qFormat/>
    <w:rPr>
      <w:rFonts w:ascii="Calibri Light" w:hAnsi="Calibri Light" w:eastAsia="Calibri" w:cs="Noto Sans Arabic"/>
      <w:color w:themeColor="accent1" w:themeShade="bf" w:val="2F5496"/>
      <w:sz w:val="40"/>
      <w:szCs w:val="40"/>
    </w:rPr>
  </w:style>
  <w:style w:type="character" w:styleId="Kop2Char" w:customStyle="1">
    <w:name w:val="Kop 2 Char"/>
    <w:basedOn w:val="DefaultParagraphFont"/>
    <w:link w:val="Heading2"/>
    <w:qFormat/>
    <w:rPr>
      <w:rFonts w:ascii="Calibri Light" w:hAnsi="Calibri Light" w:eastAsia="Calibri" w:cs="Noto Sans Arabic"/>
      <w:color w:themeColor="accent1" w:themeShade="bf" w:val="2F5496"/>
      <w:sz w:val="32"/>
      <w:szCs w:val="32"/>
    </w:rPr>
  </w:style>
  <w:style w:type="character" w:styleId="Kop3Char" w:customStyle="1">
    <w:name w:val="Kop 3 Char"/>
    <w:basedOn w:val="DefaultParagraphFont"/>
    <w:link w:val="Heading3"/>
    <w:qFormat/>
    <w:rPr>
      <w:rFonts w:eastAsia="Calibri" w:cs="Noto Sans Arabic"/>
      <w:color w:themeColor="accent1" w:themeShade="bf" w:val="2F5496"/>
      <w:sz w:val="28"/>
      <w:szCs w:val="28"/>
    </w:rPr>
  </w:style>
  <w:style w:type="character" w:styleId="Kop4Char" w:customStyle="1">
    <w:name w:val="Kop 4 Char"/>
    <w:basedOn w:val="DefaultParagraphFont"/>
    <w:link w:val="Heading4"/>
    <w:qFormat/>
    <w:rPr>
      <w:rFonts w:eastAsia="Calibri" w:cs="Noto Sans Arabic"/>
      <w:i/>
      <w:iCs/>
      <w:color w:themeColor="accent1" w:themeShade="bf" w:val="2F5496"/>
    </w:rPr>
  </w:style>
  <w:style w:type="character" w:styleId="Kop5Char" w:customStyle="1">
    <w:name w:val="Kop 5 Char"/>
    <w:basedOn w:val="DefaultParagraphFont"/>
    <w:link w:val="Heading5"/>
    <w:qFormat/>
    <w:rPr>
      <w:rFonts w:eastAsia="Calibri" w:cs="Noto Sans Arabic"/>
      <w:color w:themeColor="accent1" w:themeShade="bf" w:val="2F5496"/>
    </w:rPr>
  </w:style>
  <w:style w:type="character" w:styleId="Kop6Char" w:customStyle="1">
    <w:name w:val="Kop 6 Char"/>
    <w:basedOn w:val="DefaultParagraphFont"/>
    <w:link w:val="Heading6"/>
    <w:qFormat/>
    <w:rPr>
      <w:rFonts w:eastAsia="Calibri" w:cs="Noto Sans Arabic"/>
      <w:i/>
      <w:iCs/>
      <w:color w:themeColor="dark1" w:themeTint="a6" w:val="595959"/>
    </w:rPr>
  </w:style>
  <w:style w:type="character" w:styleId="Kop7Char" w:customStyle="1">
    <w:name w:val="Kop 7 Char"/>
    <w:basedOn w:val="DefaultParagraphFont"/>
    <w:link w:val="Heading7"/>
    <w:qFormat/>
    <w:rPr>
      <w:rFonts w:eastAsia="Calibri" w:cs="Noto Sans Arabic"/>
      <w:color w:themeColor="dark1" w:themeTint="a6" w:val="595959"/>
    </w:rPr>
  </w:style>
  <w:style w:type="character" w:styleId="Kop8Char" w:customStyle="1">
    <w:name w:val="Kop 8 Char"/>
    <w:basedOn w:val="DefaultParagraphFont"/>
    <w:link w:val="Heading8"/>
    <w:qFormat/>
    <w:rPr>
      <w:rFonts w:eastAsia="Calibri" w:cs="Noto Sans Arabic"/>
      <w:i/>
      <w:iCs/>
      <w:color w:themeColor="dark1" w:themeTint="d8" w:val="272727"/>
    </w:rPr>
  </w:style>
  <w:style w:type="character" w:styleId="Kop9Char" w:customStyle="1">
    <w:name w:val="Kop 9 Char"/>
    <w:basedOn w:val="DefaultParagraphFont"/>
    <w:link w:val="Heading9"/>
    <w:qFormat/>
    <w:rPr>
      <w:rFonts w:eastAsia="Calibri" w:cs="Noto Sans Arabic"/>
      <w:color w:themeColor="dark1" w:themeTint="d8" w:val="272727"/>
    </w:rPr>
  </w:style>
  <w:style w:type="character" w:styleId="TitelChar" w:customStyle="1">
    <w:name w:val="Titel Char"/>
    <w:basedOn w:val="DefaultParagraphFont"/>
    <w:link w:val="Title"/>
    <w:qFormat/>
    <w:rPr>
      <w:rFonts w:ascii="Calibri Light" w:hAnsi="Calibri Light" w:eastAsia="Calibri" w:cs="Noto Sans Arabic"/>
      <w:spacing w:val="-10"/>
      <w:kern w:val="2"/>
      <w:sz w:val="56"/>
      <w:szCs w:val="56"/>
    </w:rPr>
  </w:style>
  <w:style w:type="character" w:styleId="OndertitelChar" w:customStyle="1">
    <w:name w:val="Ondertitel Char"/>
    <w:basedOn w:val="DefaultParagraphFont"/>
    <w:link w:val="Subtitle"/>
    <w:qFormat/>
    <w:rPr>
      <w:rFonts w:eastAsia="Calibri" w:cs="Noto Sans Arabic"/>
      <w:color w:themeColor="dark1" w:themeTint="a6" w:val="595959"/>
      <w:spacing w:val="15"/>
      <w:sz w:val="28"/>
      <w:szCs w:val="28"/>
    </w:rPr>
  </w:style>
  <w:style w:type="character" w:styleId="CitaatChar" w:customStyle="1">
    <w:name w:val="Citaat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DuidelijkcitaatChar" w:customStyle="1">
    <w:name w:val="Duidelijk citaat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LineNumber">
    <w:name w:val="Line Number"/>
    <w:rPr/>
  </w:style>
  <w:style w:type="character" w:styleId="TekstopmerkingChar" w:customStyle="1">
    <w:name w:val="Tekst opmerking Char"/>
    <w:basedOn w:val="DefaultParagraphFont"/>
    <w:link w:val="AnnotationText"/>
    <w:qFormat/>
    <w:rPr>
      <w:sz w:val="20"/>
      <w:szCs w:val="20"/>
    </w:rPr>
  </w:style>
  <w:style w:type="character" w:styleId="annotationreference">
    <w:name w:val="annotation reference"/>
    <w:basedOn w:val="DefaultParagraphFont"/>
    <w:qFormat/>
    <w:rPr>
      <w:sz w:val="16"/>
      <w:szCs w:val="16"/>
    </w:rPr>
  </w:style>
  <w:style w:type="character" w:styleId="OnderwerpvanopmerkingChar" w:customStyle="1">
    <w:name w:val="Onderwerp van opmerking Char"/>
    <w:basedOn w:val="TekstopmerkingChar"/>
    <w:link w:val="annotationsubject"/>
    <w:qFormat/>
    <w:rPr>
      <w:b/>
      <w:bCs/>
      <w:sz w:val="20"/>
      <w:szCs w:val="20"/>
    </w:rPr>
  </w:style>
  <w:style w:type="character" w:styleId="Strong">
    <w:name w:val="Strong"/>
    <w:uiPriority w:val="22"/>
    <w:qFormat/>
    <w:rPr>
      <w:b/>
      <w:bCs/>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KoptekstChar" w:customStyle="1">
    <w:name w:val="Koptekst Char"/>
    <w:basedOn w:val="DefaultParagraphFont"/>
    <w:link w:val="Header"/>
    <w:uiPriority w:val="99"/>
    <w:qFormat/>
    <w:rsid w:val="00dd216e"/>
    <w:rPr/>
  </w:style>
  <w:style w:type="character" w:styleId="VoettekstChar" w:customStyle="1">
    <w:name w:val="Voettekst Char"/>
    <w:basedOn w:val="DefaultParagraphFont"/>
    <w:link w:val="Footer"/>
    <w:uiPriority w:val="99"/>
    <w:qFormat/>
    <w:rsid w:val="00dd216e"/>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elChar"/>
    <w:uiPriority w:val="10"/>
    <w:qFormat/>
    <w:pPr>
      <w:spacing w:lineRule="auto" w:line="240" w:before="0" w:after="80"/>
      <w:contextualSpacing/>
    </w:pPr>
    <w:rPr>
      <w:rFonts w:ascii="Calibri Light" w:hAnsi="Calibri Light"/>
      <w:spacing w:val="-10"/>
      <w:sz w:val="56"/>
      <w:szCs w:val="56"/>
    </w:rPr>
  </w:style>
  <w:style w:type="paragraph" w:styleId="Subtitle">
    <w:name w:val="Subtitle"/>
    <w:basedOn w:val="Normal"/>
    <w:next w:val="Normal"/>
    <w:link w:val="OndertitelChar"/>
    <w:uiPriority w:val="11"/>
    <w:qFormat/>
    <w:pPr/>
    <w:rPr>
      <w:color w:themeColor="dark1" w:themeTint="a6" w:val="595959"/>
      <w:spacing w:val="15"/>
      <w:sz w:val="28"/>
      <w:szCs w:val="28"/>
    </w:rPr>
  </w:style>
  <w:style w:type="paragraph" w:styleId="Quote">
    <w:name w:val="Quote"/>
    <w:basedOn w:val="Normal"/>
    <w:next w:val="Normal"/>
    <w:link w:val="Citaat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DuidelijkcitaatChar"/>
    <w:qFormat/>
    <w:pPr>
      <w:pBdr>
        <w:top w:val="single" w:sz="4" w:space="10" w:color="2F5496"/>
        <w:bottom w:val="single" w:sz="4" w:space="10" w:color="2F5496"/>
      </w:pBdr>
      <w:spacing w:before="360" w:after="360"/>
      <w:ind w:left="864" w:right="864"/>
      <w:jc w:val="center"/>
    </w:pPr>
    <w:rPr>
      <w:i/>
      <w:iCs/>
      <w:color w:themeColor="accent1" w:themeShade="bf" w:val="2F5496"/>
    </w:rPr>
  </w:style>
  <w:style w:type="paragraph" w:styleId="NormalWeb">
    <w:name w:val="Normal (Web)"/>
    <w:basedOn w:val="Normal"/>
    <w:uiPriority w:val="99"/>
    <w:qFormat/>
    <w:pPr/>
    <w:rPr>
      <w:rFonts w:ascii="Times New Roman" w:hAnsi="Times New Roman" w:cs="Times New Roman"/>
      <w:sz w:val="24"/>
      <w:szCs w:val="24"/>
    </w:rPr>
  </w:style>
  <w:style w:type="paragraph" w:styleId="Comment" w:customStyle="1">
    <w:name w:val="Comment"/>
    <w:basedOn w:val="Normal"/>
    <w:qFormat/>
    <w:pPr/>
    <w:rPr>
      <w:sz w:val="20"/>
      <w:szCs w:val="20"/>
    </w:rPr>
  </w:style>
  <w:style w:type="paragraph" w:styleId="AnnotationText">
    <w:name w:val="Annotation Text"/>
    <w:basedOn w:val="Normal"/>
    <w:link w:val="TekstopmerkingChar"/>
    <w:pPr>
      <w:spacing w:lineRule="auto" w:line="240"/>
    </w:pPr>
    <w:rPr>
      <w:sz w:val="20"/>
      <w:szCs w:val="20"/>
    </w:rPr>
  </w:style>
  <w:style w:type="paragraph" w:styleId="Revision">
    <w:name w:val="Revision"/>
    <w:qFormat/>
    <w:pPr>
      <w:widowControl/>
      <w:suppressAutoHyphens w:val="false"/>
      <w:bidi w:val="0"/>
      <w:spacing w:before="0" w:after="0"/>
      <w:jc w:val="left"/>
    </w:pPr>
    <w:rPr>
      <w:rFonts w:ascii="Calibri" w:hAnsi="Calibri" w:eastAsia="Calibri" w:cs="Noto Sans Arabic"/>
      <w:color w:val="auto"/>
      <w:kern w:val="2"/>
      <w:sz w:val="22"/>
      <w:szCs w:val="22"/>
      <w:lang w:val="nl-NL" w:eastAsia="en-US" w:bidi="ar-SA"/>
    </w:rPr>
  </w:style>
  <w:style w:type="paragraph" w:styleId="annotationsubject">
    <w:name w:val="annotation subject"/>
    <w:basedOn w:val="AnnotationText"/>
    <w:next w:val="AnnotationText"/>
    <w:link w:val="OnderwerpvanopmerkingChar"/>
    <w:qFormat/>
    <w:pPr/>
    <w:rPr>
      <w:b/>
      <w:bCs/>
    </w:rPr>
  </w:style>
  <w:style w:type="paragraph" w:styleId="HeaderandFooter">
    <w:name w:val="Header and Footer"/>
    <w:basedOn w:val="Normal"/>
    <w:qFormat/>
    <w:pPr/>
    <w:rPr/>
  </w:style>
  <w:style w:type="paragraph" w:styleId="Header">
    <w:name w:val="Header"/>
    <w:basedOn w:val="Normal"/>
    <w:link w:val="KoptekstChar"/>
    <w:uiPriority w:val="99"/>
    <w:unhideWhenUsed/>
    <w:rsid w:val="00dd216e"/>
    <w:pPr>
      <w:tabs>
        <w:tab w:val="clear" w:pos="708"/>
        <w:tab w:val="center" w:pos="4536" w:leader="none"/>
        <w:tab w:val="right" w:pos="9072" w:leader="none"/>
      </w:tabs>
      <w:spacing w:lineRule="auto" w:line="240" w:before="0" w:after="0"/>
    </w:pPr>
    <w:rPr/>
  </w:style>
  <w:style w:type="paragraph" w:styleId="Footer">
    <w:name w:val="Footer"/>
    <w:basedOn w:val="Normal"/>
    <w:link w:val="VoettekstChar"/>
    <w:uiPriority w:val="99"/>
    <w:unhideWhenUsed/>
    <w:rsid w:val="00dd216e"/>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 w:type="table" w:styleId="Tabelraster">
    <w:name w:val="Table Grid"/>
    <w:basedOn w:val="Standaardtabe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glossaryDocument" Target="glossary/document.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wm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386ADBD96140E0A7AC6AE4FBE6D9D7"/>
        <w:category>
          <w:name w:val="Algemeen"/>
          <w:gallery w:val="placeholder"/>
        </w:category>
        <w:types>
          <w:type w:val="bbPlcHdr"/>
        </w:types>
        <w:behaviors>
          <w:behavior w:val="content"/>
        </w:behaviors>
        <w:guid w:val="{734C239E-36BC-4462-B2DE-21B23F3B5C12}"/>
      </w:docPartPr>
      <w:docPartBody>
        <w:p w:rsidR="00000000" w:rsidRDefault="003530B1" w:rsidP="003530B1">
          <w:pPr>
            <w:pStyle w:val="D7386ADBD96140E0A7AC6AE4FBE6D9D7"/>
          </w:pPr>
          <w:r>
            <w:t>[Typ hier]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Arab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B1"/>
    <w:rsid w:val="003530B1"/>
    <w:rsid w:val="00446A10"/>
    <w:rsid w:val="009F7E9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D7386ADBD96140E0A7AC6AE4FBE6D9D7">
    <w:name w:val="D7386ADBD96140E0A7AC6AE4FBE6D9D7"/>
    <w:rsid w:val="003530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ages>8</Pages>
  <Words>2295</Words>
  <Characters>15146</Characters>
  <CharactersWithSpaces>17338</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2025-12-08T12:58:00Z</dcterms:created>
  <dc:creator>Fysoptima Fysoptima</dc:creator>
  <dc:description/>
  <dc:language>en-US</dc:language>
  <cp:lastModifiedBy/>
  <dcterms:modified xsi:type="dcterms:W3CDTF">2025-12-09T21:01:13Z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