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Georgia" w:cs="Georgia" w:eastAsia="Georgia" w:hAnsi="Georgia"/>
          <w:b/>
          <w:bCs/>
          <w:sz w:val="26"/>
          <w:szCs w:val="26"/>
        </w:rPr>
        <w:t xml:space="preserve">Format 3. Zelfstudie-onderdelen van een cursus (ook voor online cursussen)</w:t>
      </w:r>
    </w:p>
    <w:p>
      <w:pPr>
        <w:spacing w:after="240"/>
      </w:pPr>
      <w:r>
        <w:rPr>
          <w:rFonts w:ascii="Georgia" w:cs="Georgia" w:eastAsia="Georgia" w:hAnsi="Georgia"/>
          <w:i/>
          <w:iCs/>
          <w:color w:val="7A7A7A"/>
          <w:sz w:val="20"/>
          <w:szCs w:val="20"/>
        </w:rPr>
        <w:t xml:space="preserve">E-learning Patellofemorale Pijn — Fy-fit Academy</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2900"/>
        <w:gridCol w:w="2050"/>
        <w:gridCol w:w="2400"/>
        <w:gridCol w:w="2400"/>
        <w:gridCol w:w="2858"/>
        <w:gridCol w:w="1350"/>
      </w:tblGrid>
      <w:tr>
        <w:trPr>
          <w:tblHeader/>
        </w:trPr>
        <w:tc>
          <w:tcPr>
            <w:tcW w:type="dxa" w:w="2900"/>
            <w:tcBorders>
              <w:top w:val="single" w:color="B0A080" w:sz="4"/>
              <w:left w:val="single" w:color="B0A080" w:sz="4"/>
              <w:bottom w:val="single" w:color="B0A080" w:sz="4"/>
              <w:right w:val="single" w:color="B0A080" w:sz="4"/>
            </w:tcBorders>
            <w:shd w:fill="F0E6D2" w:val="clear"/>
            <w:tcMar>
              <w:top w:type="dxa" w:w="100"/>
              <w:left w:type="dxa" w:w="120"/>
              <w:bottom w:type="dxa" w:w="100"/>
              <w:right w:type="dxa" w:w="120"/>
            </w:tcMar>
            <w:vAlign w:val="center"/>
          </w:tcPr>
          <w:p>
            <w:r>
              <w:rPr>
                <w:rFonts w:ascii="Georgia" w:cs="Georgia" w:eastAsia="Georgia" w:hAnsi="Georgia"/>
                <w:b/>
                <w:bCs/>
                <w:sz w:val="19"/>
                <w:szCs w:val="19"/>
              </w:rPr>
              <w:t xml:space="preserve">Naam zelfstudie-onderdeel</w:t>
            </w:r>
          </w:p>
        </w:tc>
        <w:tc>
          <w:tcPr>
            <w:tcW w:type="dxa" w:w="2050"/>
            <w:tcBorders>
              <w:top w:val="single" w:color="B0A080" w:sz="4"/>
              <w:left w:val="single" w:color="B0A080" w:sz="4"/>
              <w:bottom w:val="single" w:color="B0A080" w:sz="4"/>
              <w:right w:val="single" w:color="B0A080" w:sz="4"/>
            </w:tcBorders>
            <w:shd w:fill="F0E6D2" w:val="clear"/>
            <w:tcMar>
              <w:top w:type="dxa" w:w="100"/>
              <w:left w:type="dxa" w:w="120"/>
              <w:bottom w:type="dxa" w:w="100"/>
              <w:right w:type="dxa" w:w="120"/>
            </w:tcMar>
            <w:vAlign w:val="center"/>
          </w:tcPr>
          <w:p>
            <w:r>
              <w:rPr>
                <w:rFonts w:ascii="Georgia" w:cs="Georgia" w:eastAsia="Georgia" w:hAnsi="Georgia"/>
                <w:b/>
                <w:bCs/>
                <w:sz w:val="19"/>
                <w:szCs w:val="19"/>
              </w:rPr>
              <w:t xml:space="preserve">Type zelfstudie</w:t>
            </w:r>
          </w:p>
        </w:tc>
        <w:tc>
          <w:tcPr>
            <w:tcW w:type="dxa" w:w="2400"/>
            <w:tcBorders>
              <w:top w:val="single" w:color="B0A080" w:sz="4"/>
              <w:left w:val="single" w:color="B0A080" w:sz="4"/>
              <w:bottom w:val="single" w:color="B0A080" w:sz="4"/>
              <w:right w:val="single" w:color="B0A080" w:sz="4"/>
            </w:tcBorders>
            <w:shd w:fill="F0E6D2" w:val="clear"/>
            <w:tcMar>
              <w:top w:type="dxa" w:w="100"/>
              <w:left w:type="dxa" w:w="120"/>
              <w:bottom w:type="dxa" w:w="100"/>
              <w:right w:type="dxa" w:w="120"/>
            </w:tcMar>
            <w:vAlign w:val="center"/>
          </w:tcPr>
          <w:p>
            <w:r>
              <w:rPr>
                <w:rFonts w:ascii="Georgia" w:cs="Georgia" w:eastAsia="Georgia" w:hAnsi="Georgia"/>
                <w:b/>
                <w:bCs/>
                <w:sz w:val="19"/>
                <w:szCs w:val="19"/>
              </w:rPr>
              <w:t xml:space="preserve">Doel van de zelfstudie</w:t>
            </w:r>
          </w:p>
        </w:tc>
        <w:tc>
          <w:tcPr>
            <w:tcW w:type="dxa" w:w="2400"/>
            <w:tcBorders>
              <w:top w:val="single" w:color="B0A080" w:sz="4"/>
              <w:left w:val="single" w:color="B0A080" w:sz="4"/>
              <w:bottom w:val="single" w:color="B0A080" w:sz="4"/>
              <w:right w:val="single" w:color="B0A080" w:sz="4"/>
            </w:tcBorders>
            <w:shd w:fill="F0E6D2" w:val="clear"/>
            <w:tcMar>
              <w:top w:type="dxa" w:w="100"/>
              <w:left w:type="dxa" w:w="120"/>
              <w:bottom w:type="dxa" w:w="100"/>
              <w:right w:type="dxa" w:w="120"/>
            </w:tcMar>
            <w:vAlign w:val="center"/>
          </w:tcPr>
          <w:p>
            <w:r>
              <w:rPr>
                <w:rFonts w:ascii="Georgia" w:cs="Georgia" w:eastAsia="Georgia" w:hAnsi="Georgia"/>
                <w:b/>
                <w:bCs/>
                <w:sz w:val="19"/>
                <w:szCs w:val="19"/>
              </w:rPr>
              <w:t xml:space="preserve">Onderdeel van de cursus waarin de zelfstudie terugkomt</w:t>
            </w:r>
          </w:p>
        </w:tc>
        <w:tc>
          <w:tcPr>
            <w:tcW w:type="dxa" w:w="2858"/>
            <w:tcBorders>
              <w:top w:val="single" w:color="B0A080" w:sz="4"/>
              <w:left w:val="single" w:color="B0A080" w:sz="4"/>
              <w:bottom w:val="single" w:color="B0A080" w:sz="4"/>
              <w:right w:val="single" w:color="B0A080" w:sz="4"/>
            </w:tcBorders>
            <w:shd w:fill="F0E6D2" w:val="clear"/>
            <w:tcMar>
              <w:top w:type="dxa" w:w="100"/>
              <w:left w:type="dxa" w:w="120"/>
              <w:bottom w:type="dxa" w:w="100"/>
              <w:right w:type="dxa" w:w="120"/>
            </w:tcMar>
            <w:vAlign w:val="center"/>
          </w:tcPr>
          <w:p>
            <w:r>
              <w:rPr>
                <w:rFonts w:ascii="Georgia" w:cs="Georgia" w:eastAsia="Georgia" w:hAnsi="Georgia"/>
                <w:b/>
                <w:bCs/>
                <w:sz w:val="19"/>
                <w:szCs w:val="19"/>
              </w:rPr>
              <w:t xml:space="preserve">Wijze van toetsing van de zelfstudie</w:t>
            </w:r>
          </w:p>
        </w:tc>
        <w:tc>
          <w:tcPr>
            <w:tcW w:type="dxa" w:w="1350"/>
            <w:tcBorders>
              <w:top w:val="single" w:color="B0A080" w:sz="4"/>
              <w:left w:val="single" w:color="B0A080" w:sz="4"/>
              <w:bottom w:val="single" w:color="B0A080" w:sz="4"/>
              <w:right w:val="single" w:color="B0A080" w:sz="4"/>
            </w:tcBorders>
            <w:shd w:fill="F0E6D2" w:val="clear"/>
            <w:tcMar>
              <w:top w:type="dxa" w:w="100"/>
              <w:left w:type="dxa" w:w="120"/>
              <w:bottom w:type="dxa" w:w="100"/>
              <w:right w:type="dxa" w:w="120"/>
            </w:tcMar>
            <w:vAlign w:val="center"/>
          </w:tcPr>
          <w:p>
            <w:r>
              <w:rPr>
                <w:rFonts w:ascii="Georgia" w:cs="Georgia" w:eastAsia="Georgia" w:hAnsi="Georgia"/>
                <w:b/>
                <w:bCs/>
                <w:sz w:val="19"/>
                <w:szCs w:val="19"/>
              </w:rPr>
              <w:t xml:space="preserve">Aantal SBU</w:t>
            </w:r>
          </w:p>
        </w:tc>
      </w:tr>
      <w:tr>
        <w:tc>
          <w:tcPr>
            <w:tcW w:type="dxa" w:w="2900"/>
            <w:tcBorders>
              <w:top w:val="single" w:color="B0A080" w:sz="4"/>
              <w:left w:val="single" w:color="B0A080" w:sz="4"/>
              <w:bottom w:val="single" w:color="B0A080" w:sz="4"/>
              <w:right w:val="single" w:color="B0A080" w:sz="4"/>
            </w:tcBorders>
            <w:tcMar>
              <w:top w:type="dxa" w:w="100"/>
              <w:left w:type="dxa" w:w="120"/>
              <w:bottom w:type="dxa" w:w="100"/>
              <w:right w:type="dxa" w:w="120"/>
            </w:tcMar>
            <w:vAlign w:val="top"/>
          </w:tcPr>
          <w:p>
            <w:pPr>
              <w:spacing w:after="40"/>
              <w:jc w:val="left"/>
            </w:pPr>
            <w:r>
              <w:rPr>
                <w:rFonts w:ascii="Georgia" w:cs="Georgia" w:eastAsia="Georgia" w:hAnsi="Georgia"/>
                <w:i w:val="false"/>
                <w:iCs w:val="false"/>
                <w:sz w:val="18"/>
                <w:szCs w:val="18"/>
              </w:rPr>
              <w:t xml:space="preserve">1. Ophey, M., Koeter, S., van Ooijen, L., van Ark, M., Boots, F., Ilbrink, S., Lankhorst, N. A., Piscaer, T., Vestering, M., den Ouden Vierwind, M., van Linschoten, R., &amp; van Berkel, S. (2025). Dutch multidisciplinary guideline on anterior knee pain: Patellofemoral pain and patellar tendinopathy. </w:t>
            </w:r>
            <w:r>
              <w:rPr>
                <w:rFonts w:ascii="Georgia" w:cs="Georgia" w:eastAsia="Georgia" w:hAnsi="Georgia"/>
                <w:i/>
                <w:iCs/>
                <w:sz w:val="18"/>
                <w:szCs w:val="18"/>
              </w:rPr>
              <w:t xml:space="preserve">Knee Surg Sports Traumatol Arthrosc</w:t>
            </w:r>
            <w:r>
              <w:rPr>
                <w:rFonts w:ascii="Georgia" w:cs="Georgia" w:eastAsia="Georgia" w:hAnsi="Georgia"/>
                <w:i w:val="false"/>
                <w:iCs w:val="false"/>
                <w:sz w:val="18"/>
                <w:szCs w:val="18"/>
              </w:rPr>
              <w:t xml:space="preserve">, 33(2), 457-469.</w:t>
            </w:r>
          </w:p>
        </w:tc>
        <w:tc>
          <w:tcPr>
            <w:tcW w:type="dxa" w:w="2050"/>
            <w:tcBorders>
              <w:top w:val="single" w:color="B0A080" w:sz="4"/>
              <w:left w:val="single" w:color="B0A080" w:sz="4"/>
              <w:bottom w:val="single" w:color="B0A080" w:sz="4"/>
              <w:right w:val="single" w:color="B0A080" w:sz="4"/>
            </w:tcBorders>
            <w:tcMar>
              <w:top w:type="dxa" w:w="100"/>
              <w:left w:type="dxa" w:w="120"/>
              <w:bottom w:type="dxa" w:w="100"/>
              <w:right w:type="dxa" w:w="120"/>
            </w:tcMar>
            <w:vAlign w:val="top"/>
          </w:tcPr>
          <w:p>
            <w:pPr>
              <w:spacing w:after="40"/>
              <w:jc w:val="left"/>
            </w:pPr>
            <w:r>
              <w:rPr>
                <w:rFonts w:ascii="Georgia" w:cs="Georgia" w:eastAsia="Georgia" w:hAnsi="Georgia"/>
                <w:i w:val="false"/>
                <w:iCs w:val="false"/>
                <w:sz w:val="18"/>
                <w:szCs w:val="18"/>
              </w:rPr>
              <w:t xml:space="preserve">Lezen van een wetenschappelijke richtlijn (verplichte literatuur)</w:t>
            </w:r>
          </w:p>
        </w:tc>
        <w:tc>
          <w:tcPr>
            <w:tcW w:type="dxa" w:w="2400"/>
            <w:tcBorders>
              <w:top w:val="single" w:color="B0A080" w:sz="4"/>
              <w:left w:val="single" w:color="B0A080" w:sz="4"/>
              <w:bottom w:val="single" w:color="B0A080" w:sz="4"/>
              <w:right w:val="single" w:color="B0A080" w:sz="4"/>
            </w:tcBorders>
            <w:tcMar>
              <w:top w:type="dxa" w:w="100"/>
              <w:left w:type="dxa" w:w="120"/>
              <w:bottom w:type="dxa" w:w="100"/>
              <w:right w:type="dxa" w:w="120"/>
            </w:tcMar>
            <w:vAlign w:val="top"/>
          </w:tcPr>
          <w:p>
            <w:pPr>
              <w:spacing w:after="40"/>
              <w:jc w:val="left"/>
            </w:pPr>
            <w:r>
              <w:rPr>
                <w:rFonts w:ascii="Georgia" w:cs="Georgia" w:eastAsia="Georgia" w:hAnsi="Georgia"/>
                <w:i w:val="false"/>
                <w:iCs w:val="false"/>
                <w:sz w:val="18"/>
                <w:szCs w:val="18"/>
              </w:rPr>
              <w:t xml:space="preserve">Inzicht krijgen in de actuele multidisciplinaire richtlijn voor anterieure kniepijn: het onderscheid tussen PFP en patellatendinopathie, de gefaseerde behandelaanpak en de beslismomenten bij een afwijkend beloop. Het doel is dat de cursist klinische beslissingen evidence-based kan onderbouwen volgens de Nederlandse richtlijn.</w:t>
            </w:r>
          </w:p>
        </w:tc>
        <w:tc>
          <w:tcPr>
            <w:tcW w:type="dxa" w:w="2400"/>
            <w:tcBorders>
              <w:top w:val="single" w:color="B0A080" w:sz="4"/>
              <w:left w:val="single" w:color="B0A080" w:sz="4"/>
              <w:bottom w:val="single" w:color="B0A080" w:sz="4"/>
              <w:right w:val="single" w:color="B0A080" w:sz="4"/>
            </w:tcBorders>
            <w:tcMar>
              <w:top w:type="dxa" w:w="100"/>
              <w:left w:type="dxa" w:w="120"/>
              <w:bottom w:type="dxa" w:w="100"/>
              <w:right w:type="dxa" w:w="120"/>
            </w:tcMar>
            <w:vAlign w:val="top"/>
          </w:tcPr>
          <w:p>
            <w:pPr>
              <w:spacing w:after="40"/>
              <w:jc w:val="left"/>
            </w:pPr>
            <w:r>
              <w:rPr>
                <w:rFonts w:ascii="Georgia" w:cs="Georgia" w:eastAsia="Georgia" w:hAnsi="Georgia"/>
                <w:i w:val="false"/>
                <w:iCs w:val="false"/>
                <w:sz w:val="18"/>
                <w:szCs w:val="18"/>
              </w:rPr>
              <w:t xml:space="preserve">Les 2.1 (Uitsluiten en bevestigen), Les 3.1 (Fase 1 – Educatie &amp; LLROM), Les 3.2 (Belastingmanagement) en Les 3.4 (Workflow en afwijkend beloop).</w:t>
            </w:r>
          </w:p>
        </w:tc>
        <w:tc>
          <w:tcPr>
            <w:tcW w:type="dxa" w:w="2858"/>
            <w:tcBorders>
              <w:top w:val="single" w:color="B0A080" w:sz="4"/>
              <w:left w:val="single" w:color="B0A080" w:sz="4"/>
              <w:bottom w:val="single" w:color="B0A080" w:sz="4"/>
              <w:right w:val="single" w:color="B0A080" w:sz="4"/>
            </w:tcBorders>
            <w:tcMar>
              <w:top w:type="dxa" w:w="100"/>
              <w:left w:type="dxa" w:w="120"/>
              <w:bottom w:type="dxa" w:w="100"/>
              <w:right w:type="dxa" w:w="120"/>
            </w:tcMar>
            <w:vAlign w:val="top"/>
          </w:tcPr>
          <w:p>
            <w:pPr>
              <w:spacing w:after="40"/>
              <w:jc w:val="left"/>
            </w:pPr>
            <w:r>
              <w:rPr>
                <w:rFonts w:ascii="Georgia" w:cs="Georgia" w:eastAsia="Georgia" w:hAnsi="Georgia"/>
                <w:i w:val="false"/>
                <w:iCs w:val="false"/>
                <w:sz w:val="18"/>
                <w:szCs w:val="18"/>
              </w:rPr>
              <w:t xml:space="preserve">Via vier meerkeuzevragen: module 2 vraag 1 (onderscheid PFP versus patellatendinopathie), en module 3 vraag 1 (primaire doel LLROM-interventies in fase 1), vraag 4 (moment van diagnostische heroverweging) en vraag 5 (interpretatie van een gemengd behandelresultaat).</w:t>
            </w:r>
          </w:p>
        </w:tc>
        <w:tc>
          <w:tcPr>
            <w:tcW w:type="dxa" w:w="1350"/>
            <w:tcBorders>
              <w:top w:val="single" w:color="B0A080" w:sz="4"/>
              <w:left w:val="single" w:color="B0A080" w:sz="4"/>
              <w:bottom w:val="single" w:color="B0A080" w:sz="4"/>
              <w:right w:val="single" w:color="B0A080" w:sz="4"/>
            </w:tcBorders>
            <w:tcMar>
              <w:top w:type="dxa" w:w="100"/>
              <w:left w:type="dxa" w:w="120"/>
              <w:bottom w:type="dxa" w:w="100"/>
              <w:right w:type="dxa" w:w="120"/>
            </w:tcMar>
            <w:vAlign w:val="top"/>
          </w:tcPr>
          <w:p>
            <w:pPr>
              <w:spacing w:after="40"/>
              <w:jc w:val="center"/>
            </w:pPr>
            <w:r>
              <w:rPr>
                <w:rFonts w:ascii="Georgia" w:cs="Georgia" w:eastAsia="Georgia" w:hAnsi="Georgia"/>
                <w:i w:val="false"/>
                <w:iCs w:val="false"/>
                <w:sz w:val="18"/>
                <w:szCs w:val="18"/>
              </w:rPr>
              <w:t xml:space="preserve">4</w:t>
            </w:r>
          </w:p>
        </w:tc>
      </w:tr>
      <w:tr>
        <w:tc>
          <w:tcPr>
            <w:tcW w:type="dxa" w:w="2900"/>
            <w:tcBorders>
              <w:top w:val="single" w:color="B0A080" w:sz="4"/>
              <w:left w:val="single" w:color="B0A080" w:sz="4"/>
              <w:bottom w:val="single" w:color="B0A080" w:sz="4"/>
              <w:right w:val="single" w:color="B0A080" w:sz="4"/>
            </w:tcBorders>
            <w:tcMar>
              <w:top w:type="dxa" w:w="100"/>
              <w:left w:type="dxa" w:w="120"/>
              <w:bottom w:type="dxa" w:w="100"/>
              <w:right w:type="dxa" w:w="120"/>
            </w:tcMar>
            <w:vAlign w:val="top"/>
          </w:tcPr>
          <w:p>
            <w:pPr>
              <w:spacing w:after="40"/>
              <w:jc w:val="left"/>
            </w:pPr>
            <w:r>
              <w:rPr>
                <w:rFonts w:ascii="Georgia" w:cs="Georgia" w:eastAsia="Georgia" w:hAnsi="Georgia"/>
                <w:i w:val="false"/>
                <w:iCs w:val="false"/>
                <w:sz w:val="18"/>
                <w:szCs w:val="18"/>
              </w:rPr>
              <w:t xml:space="preserve">2. Dye, S. F. (2005). The pathophysiology of patellofemoral pain: a tissue homeostasis perspective. </w:t>
            </w:r>
            <w:r>
              <w:rPr>
                <w:rFonts w:ascii="Georgia" w:cs="Georgia" w:eastAsia="Georgia" w:hAnsi="Georgia"/>
                <w:i/>
                <w:iCs/>
                <w:sz w:val="18"/>
                <w:szCs w:val="18"/>
              </w:rPr>
              <w:t xml:space="preserve">Clin Orthop Relat Res</w:t>
            </w:r>
            <w:r>
              <w:rPr>
                <w:rFonts w:ascii="Georgia" w:cs="Georgia" w:eastAsia="Georgia" w:hAnsi="Georgia"/>
                <w:i w:val="false"/>
                <w:iCs w:val="false"/>
                <w:sz w:val="18"/>
                <w:szCs w:val="18"/>
              </w:rPr>
              <w:t xml:space="preserve">(436), 100-110.</w:t>
            </w:r>
          </w:p>
        </w:tc>
        <w:tc>
          <w:tcPr>
            <w:tcW w:type="dxa" w:w="2050"/>
            <w:tcBorders>
              <w:top w:val="single" w:color="B0A080" w:sz="4"/>
              <w:left w:val="single" w:color="B0A080" w:sz="4"/>
              <w:bottom w:val="single" w:color="B0A080" w:sz="4"/>
              <w:right w:val="single" w:color="B0A080" w:sz="4"/>
            </w:tcBorders>
            <w:tcMar>
              <w:top w:type="dxa" w:w="100"/>
              <w:left w:type="dxa" w:w="120"/>
              <w:bottom w:type="dxa" w:w="100"/>
              <w:right w:type="dxa" w:w="120"/>
            </w:tcMar>
            <w:vAlign w:val="top"/>
          </w:tcPr>
          <w:p>
            <w:pPr>
              <w:spacing w:after="40"/>
              <w:jc w:val="left"/>
            </w:pPr>
            <w:r>
              <w:rPr>
                <w:rFonts w:ascii="Georgia" w:cs="Georgia" w:eastAsia="Georgia" w:hAnsi="Georgia"/>
                <w:i w:val="false"/>
                <w:iCs w:val="false"/>
                <w:sz w:val="18"/>
                <w:szCs w:val="18"/>
              </w:rPr>
              <w:t xml:space="preserve">Lezen van een wetenschappelijk artikel (verplichte literatuur)</w:t>
            </w:r>
          </w:p>
        </w:tc>
        <w:tc>
          <w:tcPr>
            <w:tcW w:type="dxa" w:w="2400"/>
            <w:tcBorders>
              <w:top w:val="single" w:color="B0A080" w:sz="4"/>
              <w:left w:val="single" w:color="B0A080" w:sz="4"/>
              <w:bottom w:val="single" w:color="B0A080" w:sz="4"/>
              <w:right w:val="single" w:color="B0A080" w:sz="4"/>
            </w:tcBorders>
            <w:tcMar>
              <w:top w:type="dxa" w:w="100"/>
              <w:left w:type="dxa" w:w="120"/>
              <w:bottom w:type="dxa" w:w="100"/>
              <w:right w:type="dxa" w:w="120"/>
            </w:tcMar>
            <w:vAlign w:val="top"/>
          </w:tcPr>
          <w:p>
            <w:pPr>
              <w:spacing w:after="40"/>
              <w:jc w:val="left"/>
            </w:pPr>
            <w:r>
              <w:rPr>
                <w:rFonts w:ascii="Georgia" w:cs="Georgia" w:eastAsia="Georgia" w:hAnsi="Georgia"/>
                <w:i w:val="false"/>
                <w:iCs w:val="false"/>
                <w:sz w:val="18"/>
                <w:szCs w:val="18"/>
              </w:rPr>
              <w:t xml:space="preserve">Begrijpen van het homeostasemodel als modern verklaringsmodel voor PFP. De cursist leert het concept Envelope of Function en de drie belastingszones, en kan uitleggen hoe pijn ontstaat door een verstoorde weefselhomeostase in plaats van structurele schade.</w:t>
            </w:r>
          </w:p>
        </w:tc>
        <w:tc>
          <w:tcPr>
            <w:tcW w:type="dxa" w:w="2400"/>
            <w:tcBorders>
              <w:top w:val="single" w:color="B0A080" w:sz="4"/>
              <w:left w:val="single" w:color="B0A080" w:sz="4"/>
              <w:bottom w:val="single" w:color="B0A080" w:sz="4"/>
              <w:right w:val="single" w:color="B0A080" w:sz="4"/>
            </w:tcBorders>
            <w:tcMar>
              <w:top w:type="dxa" w:w="100"/>
              <w:left w:type="dxa" w:w="120"/>
              <w:bottom w:type="dxa" w:w="100"/>
              <w:right w:type="dxa" w:w="120"/>
            </w:tcMar>
            <w:vAlign w:val="top"/>
          </w:tcPr>
          <w:p>
            <w:pPr>
              <w:spacing w:after="40"/>
              <w:jc w:val="left"/>
            </w:pPr>
            <w:r>
              <w:rPr>
                <w:rFonts w:ascii="Georgia" w:cs="Georgia" w:eastAsia="Georgia" w:hAnsi="Georgia"/>
                <w:i w:val="false"/>
                <w:iCs w:val="false"/>
                <w:sz w:val="18"/>
                <w:szCs w:val="18"/>
              </w:rPr>
              <w:t xml:space="preserve">Les 1.4 (Homeostasemodel), inclusief figuur 1 (Envelope of Function).</w:t>
            </w:r>
          </w:p>
        </w:tc>
        <w:tc>
          <w:tcPr>
            <w:tcW w:type="dxa" w:w="2858"/>
            <w:tcBorders>
              <w:top w:val="single" w:color="B0A080" w:sz="4"/>
              <w:left w:val="single" w:color="B0A080" w:sz="4"/>
              <w:bottom w:val="single" w:color="B0A080" w:sz="4"/>
              <w:right w:val="single" w:color="B0A080" w:sz="4"/>
            </w:tcBorders>
            <w:tcMar>
              <w:top w:type="dxa" w:w="100"/>
              <w:left w:type="dxa" w:w="120"/>
              <w:bottom w:type="dxa" w:w="100"/>
              <w:right w:type="dxa" w:w="120"/>
            </w:tcMar>
            <w:vAlign w:val="top"/>
          </w:tcPr>
          <w:p>
            <w:pPr>
              <w:spacing w:after="40"/>
              <w:jc w:val="left"/>
            </w:pPr>
            <w:r>
              <w:rPr>
                <w:rFonts w:ascii="Georgia" w:cs="Georgia" w:eastAsia="Georgia" w:hAnsi="Georgia"/>
                <w:i w:val="false"/>
                <w:iCs w:val="false"/>
                <w:sz w:val="18"/>
                <w:szCs w:val="18"/>
              </w:rPr>
              <w:t xml:space="preserve">Via een meerkeuzevraag in module 1 (vraag 4) over wat er volgens het Envelope of Function-model gebeurt nadat een knie door overbelasting “van slag” is geraakt (post-injury envelope).</w:t>
            </w:r>
          </w:p>
        </w:tc>
        <w:tc>
          <w:tcPr>
            <w:tcW w:type="dxa" w:w="1350"/>
            <w:tcBorders>
              <w:top w:val="single" w:color="B0A080" w:sz="4"/>
              <w:left w:val="single" w:color="B0A080" w:sz="4"/>
              <w:bottom w:val="single" w:color="B0A080" w:sz="4"/>
              <w:right w:val="single" w:color="B0A080" w:sz="4"/>
            </w:tcBorders>
            <w:tcMar>
              <w:top w:type="dxa" w:w="100"/>
              <w:left w:type="dxa" w:w="120"/>
              <w:bottom w:type="dxa" w:w="100"/>
              <w:right w:type="dxa" w:w="120"/>
            </w:tcMar>
            <w:vAlign w:val="top"/>
          </w:tcPr>
          <w:p>
            <w:pPr>
              <w:spacing w:after="40"/>
              <w:jc w:val="center"/>
            </w:pPr>
            <w:r>
              <w:rPr>
                <w:rFonts w:ascii="Georgia" w:cs="Georgia" w:eastAsia="Georgia" w:hAnsi="Georgia"/>
                <w:i w:val="false"/>
                <w:iCs w:val="false"/>
                <w:sz w:val="18"/>
                <w:szCs w:val="18"/>
              </w:rPr>
              <w:t xml:space="preserve">4</w:t>
            </w:r>
          </w:p>
        </w:tc>
      </w:tr>
    </w:tbl>
    <w:p>
      <w:pPr>
        <w:spacing w:before="240"/>
      </w:pPr>
      <w:r>
        <w:rPr>
          <w:rFonts w:ascii="Georgia" w:cs="Georgia" w:eastAsia="Georgia" w:hAnsi="Georgia"/>
          <w:i/>
          <w:iCs/>
          <w:color w:val="555555"/>
          <w:sz w:val="18"/>
          <w:szCs w:val="18"/>
        </w:rPr>
        <w:t xml:space="preserve">Toelichting: beide artikelen zijn Engelstalig en vallen in de categorie ‘zwaar’ (ten behoeve van de theoretische toets). Conform de SBU-systematiek (minimaal 4 pagina’s per SBU voor zware Engelstalige literatuur) komt dit voor beide artikelen neer op 4 studiebelastingsuren.</w:t>
      </w:r>
    </w:p>
    <w:sectPr>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5DB82FF08CB84CB672D3946426BF4F" ma:contentTypeVersion="16" ma:contentTypeDescription="Create a new document." ma:contentTypeScope="" ma:versionID="fa19fd6fd4ecf684d1151cad55f0378b">
  <xsd:schema xmlns:xsd="http://www.w3.org/2001/XMLSchema" xmlns:xs="http://www.w3.org/2001/XMLSchema" xmlns:p="http://schemas.microsoft.com/office/2006/metadata/properties" xmlns:ns2="3101ad3d-89a3-4c26-bfb1-6179492c75f3" xmlns:ns3="8ce0ef86-d24a-442f-9c46-d14a4c5676be" targetNamespace="http://schemas.microsoft.com/office/2006/metadata/properties" ma:root="true" ma:fieldsID="15990c7fd4af8d77dd1618579e458fe1" ns2:_="" ns3:_="">
    <xsd:import namespace="3101ad3d-89a3-4c26-bfb1-6179492c75f3"/>
    <xsd:import namespace="8ce0ef86-d24a-442f-9c46-d14a4c5676b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01ad3d-89a3-4c26-bfb1-6179492c75f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6ab81e12-bd58-4331-abd4-058a09ba3c05}" ma:internalName="TaxCatchAll" ma:showField="CatchAllData" ma:web="3101ad3d-89a3-4c26-bfb1-6179492c75f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ce0ef86-d24a-442f-9c46-d14a4c5676b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Location" ma:index="14" nillable="true" ma:displayName="Location" ma:indexed="true"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c01554cd-e046-4f21-823b-418b31d92c2e"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101ad3d-89a3-4c26-bfb1-6179492c75f3" xsi:nil="true"/>
    <lcf76f155ced4ddcb4097134ff3c332f xmlns="8ce0ef86-d24a-442f-9c46-d14a4c5676b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7E08057-A904-47BA-94D8-FC3C75A197EF}"/>
</file>

<file path=customXml/itemProps2.xml><?xml version="1.0" encoding="utf-8"?>
<ds:datastoreItem xmlns:ds="http://schemas.openxmlformats.org/officeDocument/2006/customXml" ds:itemID="{97EE127D-588A-419B-B363-EC5FD76A4D25}"/>
</file>

<file path=customXml/itemProps3.xml><?xml version="1.0" encoding="utf-8"?>
<ds:datastoreItem xmlns:ds="http://schemas.openxmlformats.org/officeDocument/2006/customXml" ds:itemID="{3ABD2551-C37B-4087-B634-022B0A6C13FA}"/>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2026-05-29T14:01:50Z</dcterms:created>
  <dcterms:modified xsi:type="dcterms:W3CDTF">2026-05-29T14:01:50Z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0x0101002A5DB82FF08CB84CB672D3946426BF4F</vt:lpwstr>
  </property>
</Properties>
</file>