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Plant Patrol Wiring Diagram</w:t>
      </w:r>
    </w:p>
    <w:p w:rsidR="00000000" w:rsidDel="00000000" w:rsidP="00000000" w:rsidRDefault="00000000" w:rsidRPr="00000000" w14:paraId="00000002">
      <w:pPr>
        <w:rPr/>
      </w:pPr>
      <w:r w:rsidDel="00000000" w:rsidR="00000000" w:rsidRPr="00000000">
        <w:rPr>
          <w:rtl w:val="0"/>
        </w:rPr>
        <w:t xml:space="preserve">Below you will find a picture of how the hardware of Plant Patrol is set up. One thing to note however is that the wires coming out of the Soil Moisture Sensor are actually ending in a female connection. Therefore I used 3 male to male wires to connect the sensor to the breadboard. The colors of the wires shown in this Fritzing model, connecting the moisture sensor to the breadboard, are the actual colors of the female wires. The 3 male to male wires used to connect these female connections to the breadboard are not color dependant, use any male to male wires you have laying around. Be sure to keep the layout as shown here though, so:</w:t>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VCC → 3V3 (or 5V, but I recommend using 3V3 as that is how the project is setup, 5V will result in higher values from the sensor)</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GND → G (ground)</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SIG → A0 (analog pin)</w:t>
      </w:r>
    </w:p>
    <w:p w:rsidR="00000000" w:rsidDel="00000000" w:rsidP="00000000" w:rsidRDefault="00000000" w:rsidRPr="00000000" w14:paraId="00000006">
      <w:pPr>
        <w:rPr>
          <w:b w:val="1"/>
        </w:rPr>
      </w:pPr>
      <w:r w:rsidDel="00000000" w:rsidR="00000000" w:rsidRPr="00000000">
        <w:rPr>
          <w:b w:val="1"/>
        </w:rPr>
        <w:drawing>
          <wp:inline distB="114300" distT="114300" distL="114300" distR="114300">
            <wp:extent cx="5734050" cy="417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1783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