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32"/>
          <w:szCs w:val="32"/>
        </w:rPr>
        <w:t xml:space="preserve">PromptVideo — Slide-to-Video Generator</w:t>
      </w:r>
    </w:p>
    <w:p>
      <w:pPr>
        <w:spacing w:after="120"/>
        <w:jc w:val="center"/>
      </w:pPr>
      <w:r>
        <w:rPr>
          <w:rFonts w:ascii="Times New Roman" w:cs="Times New Roman" w:eastAsia="Times New Roman" w:hAnsi="Times New Roman"/>
          <w:b w:val="false"/>
          <w:bCs w:val="false"/>
          <w:i w:val="false"/>
          <w:iCs w:val="false"/>
          <w:sz w:val="26"/>
          <w:szCs w:val="26"/>
        </w:rPr>
        <w:t xml:space="preserve">Giai đoạn trước dự án</w:t>
      </w:r>
    </w:p>
    <w:p>
      <w:pPr>
        <w:spacing w:after="120"/>
        <w:jc w:val="center"/>
      </w:pPr>
      <w:r>
        <w:rPr>
          <w:rFonts w:ascii="Times New Roman" w:cs="Times New Roman" w:eastAsia="Times New Roman" w:hAnsi="Times New Roman"/>
          <w:b/>
          <w:bCs/>
          <w:i w:val="false"/>
          <w:iCs w:val="false"/>
          <w:sz w:val="30"/>
          <w:szCs w:val="30"/>
        </w:rPr>
        <w:t xml:space="preserve">Kế hoạch quản lý lợi ích (bản rút gọn)</w:t>
      </w:r>
    </w:p>
    <w:p>
      <w:pPr>
        <w:spacing w:after="120"/>
        <w:jc w:val="center"/>
      </w:pPr>
      <w:r>
        <w:rPr>
          <w:rFonts w:ascii="Times New Roman" w:cs="Times New Roman" w:eastAsia="Times New Roman" w:hAnsi="Times New Roman"/>
          <w:b w:val="false"/>
          <w:bCs w:val="false"/>
          <w:i w:val="false"/>
          <w:iCs w:val="false"/>
          <w:sz w:val="24"/>
          <w:szCs w:val="24"/>
        </w:rPr>
        <w:t xml:space="preserve">Phiên bản 2.2</w:t>
      </w:r>
    </w:p>
    <w:p>
      <w:pPr>
        <w:spacing w:after="120"/>
        <w:jc w:val="center"/>
      </w:pPr>
      <w:r>
        <w:rPr>
          <w:rFonts w:ascii="Times New Roman" w:cs="Times New Roman" w:eastAsia="Times New Roman" w:hAnsi="Times New Roman"/>
          <w:b w:val="false"/>
          <w:bCs w:val="false"/>
          <w:i w:val="false"/>
          <w:iCs w:val="false"/>
          <w:sz w:val="24"/>
          <w:szCs w:val="24"/>
        </w:rPr>
        <w:t xml:space="preserve">Nhóm 02</w:t>
      </w:r>
    </w:p>
    <w:p>
      <w:pPr>
        <w:spacing w:after="120"/>
        <w:jc w:val="center"/>
      </w:pPr>
      <w:r>
        <w:rPr>
          <w:rFonts w:ascii="Times New Roman" w:cs="Times New Roman" w:eastAsia="Times New Roman" w:hAnsi="Times New Roman"/>
          <w:b w:val="false"/>
          <w:bCs w:val="false"/>
          <w:i w:val="false"/>
          <w:iCs w:val="false"/>
          <w:sz w:val="24"/>
          <w:szCs w:val="24"/>
        </w:rPr>
        <w:t xml:space="preserve">Ngày phát hành: 2026-09-22</w:t>
      </w:r>
    </w:p>
    <w:p>
      <w:pPr>
        <w:spacing w:after="120"/>
        <w:jc w:val="center"/>
      </w:pPr>
      <w:r>
        <w:rPr>
          <w:rFonts w:ascii="Times New Roman" w:cs="Times New Roman" w:eastAsia="Times New Roman" w:hAnsi="Times New Roman"/>
          <w:b w:val="false"/>
          <w:bCs w:val="false"/>
          <w:i w:val="false"/>
          <w:iCs w:val="false"/>
          <w:sz w:val="24"/>
          <w:szCs w:val="24"/>
        </w:rPr>
        <w:t xml:space="preserve">Trạng thái: Dự thảo — chờ phê duyệt</w:t>
      </w:r>
    </w:p>
    <w:p>
      <w:pPr>
        <w:spacing w:after="120"/>
        <w:jc w:val="both"/>
      </w:pPr>
      <w:r>
        <w:rPr>
          <w:rFonts w:ascii="Times New Roman" w:cs="Times New Roman" w:eastAsia="Times New Roman" w:hAnsi="Times New Roman"/>
          <w:b w:val="false"/>
          <w:bCs w:val="false"/>
          <w:i w:val="false"/>
          <w:iCs w:val="false"/>
          <w:sz w:val="26"/>
          <w:szCs w:val="26"/>
        </w:rPr>
        <w:t xml:space="preserve"/>
      </w:r>
    </w:p>
    <w:p>
      <w:pPr>
        <w:spacing w:after="120"/>
        <w:jc w:val="both"/>
      </w:pPr>
      <w:r>
        <w:rPr>
          <w:rFonts w:ascii="Times New Roman" w:cs="Times New Roman" w:eastAsia="Times New Roman" w:hAnsi="Times New Roman"/>
          <w:b/>
          <w:bCs/>
          <w:i w:val="false"/>
          <w:iCs w:val="false"/>
          <w:sz w:val="26"/>
          <w:szCs w:val="26"/>
        </w:rPr>
        <w:t xml:space="preserve">Xác nhận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Người tạo</w:t>
            </w:r>
          </w:p>
        </w:tc>
        <w:tc>
          <w:tcPr>
            <w:tcW w:type="dxa" w:w="30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Người kiểm tra</w:t>
            </w:r>
          </w:p>
        </w:tc>
        <w:tc>
          <w:tcPr>
            <w:tcW w:type="dxa" w:w="30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Người xác nhận</w:t>
            </w:r>
          </w:p>
        </w:tc>
      </w:tr>
      <w:t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Nguyễn Thế Chiến</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Phạm Quang Anh</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Phạm Quang Anh</w:t>
            </w:r>
          </w:p>
          <w:p>
            <w:pPr>
              <w:jc w:val="left"/>
            </w:pPr>
            <w:r>
              <w:rPr>
                <w:rFonts w:ascii="Times New Roman" w:cs="Times New Roman" w:eastAsia="Times New Roman" w:hAnsi="Times New Roman"/>
                <w:b w:val="false"/>
                <w:bCs w:val="false"/>
                <w:sz w:val="20"/>
                <w:szCs w:val="20"/>
              </w:rPr>
              <w:t xml:space="preserve">Nguyễn Việt Quang</w:t>
            </w:r>
          </w:p>
          <w:p>
            <w:pPr>
              <w:jc w:val="left"/>
            </w:pPr>
            <w:r>
              <w:rPr>
                <w:rFonts w:ascii="Times New Roman" w:cs="Times New Roman" w:eastAsia="Times New Roman" w:hAnsi="Times New Roman"/>
                <w:b w:val="false"/>
                <w:bCs w:val="false"/>
                <w:sz w:val="20"/>
                <w:szCs w:val="20"/>
              </w:rPr>
              <w:t xml:space="preserve">Thầy Nguyễn Đình Quảng</w:t>
            </w:r>
          </w:p>
        </w:tc>
      </w:tr>
    </w:tbl>
    <w:p>
      <w:pPr>
        <w:spacing w:after="120"/>
        <w:jc w:val="both"/>
      </w:pPr>
      <w:r>
        <w:rPr>
          <w:rFonts w:ascii="Times New Roman" w:cs="Times New Roman" w:eastAsia="Times New Roman" w:hAnsi="Times New Roman"/>
          <w:b w:val="false"/>
          <w:bCs w:val="false"/>
          <w:i w:val="false"/>
          <w:iCs w:val="false"/>
          <w:sz w:val="26"/>
          <w:szCs w:val="26"/>
        </w:rPr>
        <w:t xml:space="preserve"/>
      </w:r>
    </w:p>
    <w:p>
      <w:pPr>
        <w:spacing w:after="120"/>
        <w:jc w:val="both"/>
      </w:pPr>
      <w:r>
        <w:rPr>
          <w:rFonts w:ascii="Times New Roman" w:cs="Times New Roman" w:eastAsia="Times New Roman" w:hAnsi="Times New Roman"/>
          <w:b/>
          <w:bCs/>
          <w:i w:val="false"/>
          <w:iCs w:val="false"/>
          <w:sz w:val="26"/>
          <w:szCs w:val="26"/>
        </w:rPr>
        <w:t xml:space="preserve">Lịch sử cập nhật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300"/>
        <w:gridCol w:w="1300"/>
        <w:gridCol w:w="3400"/>
        <w:gridCol w:w="1500"/>
        <w:gridCol w:w="1500"/>
      </w:tblGrid>
      <w:tr>
        <w:tc>
          <w:tcPr>
            <w:tcW w:type="dxa" w:w="5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STT</w:t>
            </w:r>
          </w:p>
        </w:tc>
        <w:tc>
          <w:tcPr>
            <w:tcW w:type="dxa" w:w="10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Phiên bản</w:t>
            </w:r>
          </w:p>
        </w:tc>
        <w:tc>
          <w:tcPr>
            <w:tcW w:type="dxa" w:w="13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Ngày thay đổi</w:t>
            </w:r>
          </w:p>
        </w:tc>
        <w:tc>
          <w:tcPr>
            <w:tcW w:type="dxa" w:w="13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Lý do thay đổi</w:t>
            </w:r>
          </w:p>
        </w:tc>
        <w:tc>
          <w:tcPr>
            <w:tcW w:type="dxa" w:w="34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Nội dung thay đổi</w:t>
            </w:r>
          </w:p>
        </w:tc>
        <w:tc>
          <w:tcPr>
            <w:tcW w:type="dxa" w:w="15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Người thực hiện</w:t>
            </w:r>
          </w:p>
        </w:tc>
        <w:tc>
          <w:tcPr>
            <w:tcW w:type="dxa" w:w="15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Người phê duyệt</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1.0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2026-08-20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Tạo mới</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Khởi tạo Kế hoạch quản lý lợi ích</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Nguyễn Thế Chiến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Phạm Quang Anh</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1.1</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2026-08-24</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Chỉnh sửa</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Đưa toàn bộ thẩm định tài chính (NPV, BCR, thời gian hoàn vốn, ROI và độ nhạy) vào tài liệu này</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Nguyễn Thế Chiến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Phạm Quang Anh</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2.0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2026-08-27</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Chỉnh sửa lớn</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Cập nhật danh mục lợi ích và thẩm định tài chính theo mô hình thuê bao thường niên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Nguyễn Thế Chiến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Phạm Quang Anh</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2.1</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2026-09-01</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Tái cấu trúc</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Rút gọn danh mục lợi ích; phân biệt lợi ích với tiêu chí kỹ thuật; chỉnh các dẫn chiếu liên quan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Nguyễn Thế Chiến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Phạm Quang Anh</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2.2</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2026-09-22</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Rút gọn trình bày</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Viết lại phần diễn giải ngắn gọn hơn để dễ đọc và thuyết trình; giữ nguyên toàn bộ số liệu, bảng và kết luận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Nguyễn Thế Chiến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Phạm Quang Anh</w:t>
            </w:r>
          </w:p>
        </w:tc>
      </w:tr>
    </w:tbl>
    <w:p>
      <w:pPr>
        <w:spacing w:after="120"/>
        <w:jc w:val="both"/>
      </w:pPr>
      <w:r>
        <w:rPr>
          <w:rFonts w:ascii="Times New Roman" w:cs="Times New Roman" w:eastAsia="Times New Roman" w:hAnsi="Times New Roman"/>
          <w:b w:val="false"/>
          <w:bCs w:val="false"/>
          <w:i w:val="false"/>
          <w:iCs w:val="false"/>
          <w:sz w:val="26"/>
          <w:szCs w:val="26"/>
        </w:rPr>
        <w:t xml:space="preserve"/>
      </w:r>
    </w:p>
    <w:p>
      <w:pPr>
        <w:spacing w:after="120"/>
        <w:jc w:val="both"/>
      </w:pPr>
      <w:r>
        <w:rPr>
          <w:rFonts w:ascii="Times New Roman" w:cs="Times New Roman" w:eastAsia="Times New Roman" w:hAnsi="Times New Roman"/>
          <w:b/>
          <w:bCs/>
          <w:i w:val="false"/>
          <w:iCs w:val="false"/>
          <w:sz w:val="26"/>
          <w:szCs w:val="26"/>
        </w:rPr>
        <w:t xml:space="preserve">Mục lục</w:t>
      </w:r>
    </w:p>
    <w:p>
      <w:pPr>
        <w:spacing w:after="120"/>
        <w:jc w:val="both"/>
      </w:pPr>
      <w:r>
        <w:rPr>
          <w:rFonts w:ascii="Times New Roman" w:cs="Times New Roman" w:eastAsia="Times New Roman" w:hAnsi="Times New Roman"/>
          <w:b w:val="false"/>
          <w:bCs w:val="false"/>
          <w:i w:val="false"/>
          <w:iCs w:val="false"/>
          <w:sz w:val="26"/>
          <w:szCs w:val="26"/>
        </w:rPr>
        <w:t xml:space="preserve">1. Mục đích</w:t>
      </w:r>
    </w:p>
    <w:p>
      <w:pPr>
        <w:spacing w:after="120"/>
        <w:jc w:val="both"/>
      </w:pPr>
      <w:r>
        <w:rPr>
          <w:rFonts w:ascii="Times New Roman" w:cs="Times New Roman" w:eastAsia="Times New Roman" w:hAnsi="Times New Roman"/>
          <w:b w:val="false"/>
          <w:bCs w:val="false"/>
          <w:i w:val="false"/>
          <w:iCs w:val="false"/>
          <w:sz w:val="26"/>
          <w:szCs w:val="26"/>
        </w:rPr>
        <w:t xml:space="preserve">2. Danh mục lợi ích</w:t>
      </w:r>
    </w:p>
    <w:p>
      <w:pPr>
        <w:spacing w:after="120"/>
        <w:jc w:val="both"/>
      </w:pPr>
      <w:r>
        <w:rPr>
          <w:rFonts w:ascii="Times New Roman" w:cs="Times New Roman" w:eastAsia="Times New Roman" w:hAnsi="Times New Roman"/>
          <w:b w:val="false"/>
          <w:bCs w:val="false"/>
          <w:i w:val="false"/>
          <w:iCs w:val="false"/>
          <w:sz w:val="26"/>
          <w:szCs w:val="26"/>
        </w:rPr>
        <w:t xml:space="preserve">3. Liên kết chiến lược</w:t>
      </w:r>
    </w:p>
    <w:p>
      <w:pPr>
        <w:spacing w:after="120"/>
        <w:jc w:val="both"/>
      </w:pPr>
      <w:r>
        <w:rPr>
          <w:rFonts w:ascii="Times New Roman" w:cs="Times New Roman" w:eastAsia="Times New Roman" w:hAnsi="Times New Roman"/>
          <w:b w:val="false"/>
          <w:bCs w:val="false"/>
          <w:i w:val="false"/>
          <w:iCs w:val="false"/>
          <w:sz w:val="26"/>
          <w:szCs w:val="26"/>
        </w:rPr>
        <w:t xml:space="preserve">4. Thẩm định tài chính</w:t>
      </w:r>
    </w:p>
    <w:p>
      <w:pPr>
        <w:spacing w:after="120"/>
        <w:jc w:val="both"/>
      </w:pPr>
      <w:r>
        <w:rPr>
          <w:rFonts w:ascii="Times New Roman" w:cs="Times New Roman" w:eastAsia="Times New Roman" w:hAnsi="Times New Roman"/>
          <w:b w:val="false"/>
          <w:bCs w:val="false"/>
          <w:i w:val="false"/>
          <w:iCs w:val="false"/>
          <w:sz w:val="26"/>
          <w:szCs w:val="26"/>
        </w:rPr>
        <w:t xml:space="preserve">5. Lộ trình và điểm quyết định</w:t>
      </w:r>
    </w:p>
    <w:p>
      <w:pPr>
        <w:spacing w:after="120"/>
        <w:jc w:val="both"/>
      </w:pPr>
      <w:r>
        <w:rPr>
          <w:rFonts w:ascii="Times New Roman" w:cs="Times New Roman" w:eastAsia="Times New Roman" w:hAnsi="Times New Roman"/>
          <w:b w:val="false"/>
          <w:bCs w:val="false"/>
          <w:i w:val="false"/>
          <w:iCs w:val="false"/>
          <w:sz w:val="26"/>
          <w:szCs w:val="26"/>
        </w:rPr>
        <w:t xml:space="preserve">6. Giả định và rủi ro</w:t>
      </w:r>
    </w:p>
    <w:p>
      <w:pPr>
        <w:spacing w:after="120"/>
        <w:jc w:val="both"/>
      </w:pPr>
      <w:r>
        <w:rPr>
          <w:rFonts w:ascii="Times New Roman" w:cs="Times New Roman" w:eastAsia="Times New Roman" w:hAnsi="Times New Roman"/>
          <w:b w:val="false"/>
          <w:bCs w:val="false"/>
          <w:i w:val="false"/>
          <w:iCs w:val="false"/>
          <w:sz w:val="26"/>
          <w:szCs w:val="26"/>
        </w:rPr>
        <w:t xml:space="preserve">7. Theo dõi hiện thực hóa</w:t>
      </w:r>
    </w:p>
    <w:p>
      <w:pPr>
        <w:pStyle w:val="Heading1"/>
        <w:spacing w:after="120" w:before="240"/>
      </w:pPr>
      <w:r>
        <w:rPr>
          <w:rFonts w:ascii="Times New Roman" w:cs="Times New Roman" w:eastAsia="Times New Roman" w:hAnsi="Times New Roman"/>
          <w:b/>
          <w:bCs/>
          <w:sz w:val="32"/>
          <w:szCs w:val="32"/>
        </w:rPr>
        <w:t xml:space="preserve">1. Mục đích</w:t>
      </w:r>
    </w:p>
    <w:p>
      <w:pPr>
        <w:spacing w:after="120"/>
        <w:jc w:val="both"/>
      </w:pPr>
      <w:r>
        <w:rPr>
          <w:rFonts w:ascii="Times New Roman" w:cs="Times New Roman" w:eastAsia="Times New Roman" w:hAnsi="Times New Roman"/>
          <w:b w:val="false"/>
          <w:bCs w:val="false"/>
          <w:i w:val="false"/>
          <w:iCs w:val="false"/>
          <w:sz w:val="26"/>
          <w:szCs w:val="26"/>
        </w:rPr>
        <w:t xml:space="preserve">Tài liệu xác định dự án tạo ra lợi ích gì, đo bằng cách nào, ai chịu trách nhiệm và khi nào lợi ích được coi là đã hiện thực hóa.</w:t>
      </w:r>
    </w:p>
    <w:p>
      <w:pPr>
        <w:spacing w:after="120"/>
        <w:jc w:val="both"/>
      </w:pPr>
      <w:r>
        <w:rPr>
          <w:rFonts w:ascii="Times New Roman" w:cs="Times New Roman" w:eastAsia="Times New Roman" w:hAnsi="Times New Roman"/>
          <w:b w:val="false"/>
          <w:bCs w:val="false"/>
          <w:i w:val="false"/>
          <w:iCs w:val="false"/>
          <w:sz w:val="26"/>
          <w:szCs w:val="26"/>
        </w:rPr>
        <w:t xml:space="preserve">Dự án bàn giao ở tuần 15, nhưng phần lớn lợi ích chỉ xuất hiện sau đó — với sản phẩm thuê bao, doanh thu Năm 1 chỉ là điểm khởi đầu, giá trị thật nằm ở tỷ lệ gia hạn, chỉ kiểm chứng được sau 12 tháng vận hành. Phạm vi theo dõi: 3 năm kể từ ngày bàn giao.</w:t>
      </w:r>
    </w:p>
    <w:p>
      <w:pPr>
        <w:pStyle w:val="Heading1"/>
        <w:spacing w:after="120" w:before="240"/>
      </w:pPr>
      <w:r>
        <w:rPr>
          <w:rFonts w:ascii="Times New Roman" w:cs="Times New Roman" w:eastAsia="Times New Roman" w:hAnsi="Times New Roman"/>
          <w:b/>
          <w:bCs/>
          <w:sz w:val="32"/>
          <w:szCs w:val="32"/>
        </w:rPr>
        <w:t xml:space="preserve">2. Danh mục lợi ích</w:t>
      </w:r>
    </w:p>
    <w:p>
      <w:pPr>
        <w:spacing w:after="120"/>
        <w:jc w:val="both"/>
      </w:pPr>
      <w:r>
        <w:rPr>
          <w:rFonts w:ascii="Times New Roman" w:cs="Times New Roman" w:eastAsia="Times New Roman" w:hAnsi="Times New Roman"/>
          <w:b w:val="false"/>
          <w:bCs w:val="false"/>
          <w:i w:val="false"/>
          <w:iCs w:val="false"/>
          <w:sz w:val="26"/>
          <w:szCs w:val="26"/>
        </w:rPr>
        <w:t xml:space="preserve">Dự án dự kiến tạo ra năm lợi ích chính. Các tính năng/tiêu chí kỹ thuật chỉ là điều kiện tạo ra lợi ích, không phải lợi ích độc lập.</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600"/>
        <w:gridCol w:w="2200"/>
        <w:gridCol w:w="1900"/>
      </w:tblGrid>
      <w:tr>
        <w:tc>
          <w:tcPr>
            <w:tcW w:type="dxa" w:w="26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Lợi ích</w:t>
            </w:r>
          </w:p>
        </w:tc>
        <w:tc>
          <w:tcPr>
            <w:tcW w:type="dxa" w:w="26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Cách đo</w:t>
            </w:r>
          </w:p>
        </w:tc>
        <w:tc>
          <w:tcPr>
            <w:tcW w:type="dxa" w:w="16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Hiện trạng</w:t>
            </w:r>
          </w:p>
        </w:tc>
        <w:tc>
          <w:tcPr>
            <w:tcW w:type="dxa" w:w="22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Mục tiêu</w:t>
            </w:r>
          </w:p>
        </w:tc>
        <w:tc>
          <w:tcPr>
            <w:tcW w:type="dxa" w:w="19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Theo dõi</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LI-01. Giảm thời gian tạo video</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Thời gian từ lúc bắt đầu đến khi lưu video MP4, kịch bản chuẩn 5 cảnh, 60 giây</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~45 phút (xác nhận trước M1)</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Dưới 5 phút</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Vũ Khánh Linh; khi bàn giao</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LI-02. Giảm chi phí sử dụng phần mềm</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Chi phí thuê phần mềm tạo video trong một năm</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~4,5–7 triệu đồng/năm</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599.000 đồng/năm (gói Cá nhân)</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Trần Minh Đức; hằng năm</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LI-03. Giảm rủi ro lộ nội dung người dùng</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Lượng dữ liệu nội dung phải gửi khỏi máy khi tạo/xuất video</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Nội dung phải tải lên máy chủ</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0 byte rời khỏi máy</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Đỗ Bảo Long; M4 và khi vận hành</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LI-04. Tạo doanh thu thuê bao định kỳ</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Doanh thu thực thu và số thuê bao trả phí còn hiệu lực mỗi năm</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0 đồng</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74,6 / 240,7 / 487,4 triệu đồng (Năm 1–3)</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Trần Minh Đức; hằng tháng</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LI-05. Duy trì chi phí phục vụ thấp</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Chi phí tiền mặt vận hành/năm chia số thuê bao trả phí trung bình</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Chưa có dữ liệu</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Dưới 65.000 / 50.000 / 45.000 đồng (Năm 1–3)</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Trần Minh Đức; hằng quý</w:t>
            </w:r>
          </w:p>
        </w:tc>
      </w:tr>
    </w:tbl>
    <w:p>
      <w:pPr>
        <w:spacing w:after="120"/>
        <w:jc w:val="both"/>
      </w:pPr>
      <w:r>
        <w:rPr>
          <w:rFonts w:ascii="Times New Roman" w:cs="Times New Roman" w:eastAsia="Times New Roman" w:hAnsi="Times New Roman"/>
          <w:b w:val="false"/>
          <w:bCs w:val="false"/>
          <w:i w:val="false"/>
          <w:iCs w:val="false"/>
          <w:sz w:val="26"/>
          <w:szCs w:val="26"/>
        </w:rPr>
        <w:t xml:space="preserve"/>
      </w:r>
    </w:p>
    <w:p>
      <w:pPr>
        <w:spacing w:after="120"/>
        <w:jc w:val="both"/>
      </w:pPr>
      <w:r>
        <w:rPr>
          <w:rFonts w:ascii="Times New Roman" w:cs="Times New Roman" w:eastAsia="Times New Roman" w:hAnsi="Times New Roman"/>
          <w:b w:val="false"/>
          <w:bCs w:val="false"/>
          <w:i w:val="false"/>
          <w:iCs w:val="false"/>
          <w:sz w:val="22"/>
          <w:szCs w:val="22"/>
        </w:rPr>
        <w:t xml:space="preserve">Yêu cầu về tiếng Việt, độ dài video và tính ổn định đầu ra được quản lý như tiêu chí nghiệm thu tại M3/M4. Tỷ lệ chuyển đổi từ bậc miễn phí và tỷ lệ gia hạn được theo dõi bổ sung để giải thích LI-04.</w:t>
      </w:r>
    </w:p>
    <w:p>
      <w:pPr>
        <w:pStyle w:val="Heading1"/>
        <w:spacing w:after="120" w:before="240"/>
      </w:pPr>
      <w:r>
        <w:rPr>
          <w:rFonts w:ascii="Times New Roman" w:cs="Times New Roman" w:eastAsia="Times New Roman" w:hAnsi="Times New Roman"/>
          <w:b/>
          <w:bCs/>
          <w:sz w:val="32"/>
          <w:szCs w:val="32"/>
        </w:rPr>
        <w:t xml:space="preserve">3. Liên kết chiến lược</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Dòng doanh thu định kỳ, dự báo được — thuê bao thường niên thay vì bán đứt từng lần</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Chi phí phục vụ tối thiểu — máy chủ chỉ xác thực, không xử lý video</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Khác biệt trên thị trường nội địa — giá nội địa, nhanh hơn, không giới hạn độ dài, tiếng Việt tốt hơn</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Giảm rủi ro pháp lý về dữ liệu cá nhân — không thu thập, không lưu trữ nội dung người dùng</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Tích luỹ năng lực và tài sản kỹ thuật cho Enticy Studios — làm chủ mô hình dịch vụ thuê bao, tách mô-đun dùng lại</w:t>
      </w:r>
    </w:p>
    <w:p>
      <w:pPr>
        <w:pStyle w:val="Heading1"/>
        <w:spacing w:after="120" w:before="240"/>
      </w:pPr>
      <w:r>
        <w:rPr>
          <w:rFonts w:ascii="Times New Roman" w:cs="Times New Roman" w:eastAsia="Times New Roman" w:hAnsi="Times New Roman"/>
          <w:b/>
          <w:bCs/>
          <w:sz w:val="32"/>
          <w:szCs w:val="32"/>
        </w:rPr>
        <w:t xml:space="preserve">4. Thẩm định tài chính</w:t>
      </w:r>
    </w:p>
    <w:p>
      <w:pPr>
        <w:spacing w:after="120"/>
        <w:jc w:val="both"/>
      </w:pPr>
      <w:r>
        <w:rPr>
          <w:rFonts w:ascii="Times New Roman" w:cs="Times New Roman" w:eastAsia="Times New Roman" w:hAnsi="Times New Roman"/>
          <w:b w:val="false"/>
          <w:bCs w:val="false"/>
          <w:i w:val="false"/>
          <w:iCs w:val="false"/>
          <w:sz w:val="26"/>
          <w:szCs w:val="26"/>
        </w:rPr>
        <w:t xml:space="preserve">Chi phí tách hai loại: tiền mặt (xác định nhu cầu huy động vốn) và chi phí cơ hội công sức (450 giờ × 80.000 VND/giờ, đánh giá hiệu quả phân bổ nguồn lực).</w:t>
      </w:r>
    </w:p>
    <w:p>
      <w:pPr>
        <w:spacing w:after="120"/>
        <w:jc w:val="both"/>
      </w:pPr>
      <w:r>
        <w:rPr>
          <w:rFonts w:ascii="Times New Roman" w:cs="Times New Roman" w:eastAsia="Times New Roman" w:hAnsi="Times New Roman"/>
          <w:b w:val="false"/>
          <w:bCs w:val="false"/>
          <w:i w:val="false"/>
          <w:iCs w:val="false"/>
          <w:sz w:val="26"/>
          <w:szCs w:val="26"/>
        </w:rPr>
        <w:t xml:space="preserve">Năm 0: 3,5 triệu VND tiền mặt (tên miền, 5 mẫu đồ họa, máy chủ, cổng thanh toán, dự phòng; font dùng giấy phép SIL OFL miễn phí) + 450 giờ công (36 triệu VND).</w:t>
      </w:r>
    </w:p>
    <w:p>
      <w:pPr>
        <w:spacing w:after="120"/>
        <w:jc w:val="both"/>
      </w:pPr>
      <w:r>
        <w:rPr>
          <w:rFonts w:ascii="Times New Roman" w:cs="Times New Roman" w:eastAsia="Times New Roman" w:hAnsi="Times New Roman"/>
          <w:b w:val="false"/>
          <w:bCs w:val="false"/>
          <w:i w:val="false"/>
          <w:iCs w:val="false"/>
          <w:sz w:val="26"/>
          <w:szCs w:val="26"/>
        </w:rPr>
        <w:t xml:space="preserve">Năm 1–3: 6,5 / 15 / 28 triệu VND tiền mặt (máy chủ, phí cổng thanh toán ~2,5%, đồ họa bổ sung) + 260 / 480 / 800 giờ công (20,8 / 38,4 / 64 triệu VND).</w:t>
      </w:r>
    </w:p>
    <w:p>
      <w:pPr>
        <w:spacing w:after="120"/>
        <w:jc w:val="both"/>
      </w:pPr>
      <w:r>
        <w:rPr>
          <w:rFonts w:ascii="Times New Roman" w:cs="Times New Roman" w:eastAsia="Times New Roman" w:hAnsi="Times New Roman"/>
          <w:b w:val="false"/>
          <w:bCs w:val="false"/>
          <w:i w:val="false"/>
          <w:iCs w:val="false"/>
          <w:sz w:val="26"/>
          <w:szCs w:val="26"/>
        </w:rPr>
        <w:t xml:space="preserve">Doanh thu 74,6 / 240,7 / 487,4 triệu VND từ hai bậc trả phí: Cá nhân (100/320/650 thuê bao; 599.000 VND/năm) và Doanh nghiệp (3/10/20 thuê bao; 4.900.000 VND/năm), chưa tính bậc miễn phí.</w:t>
      </w:r>
    </w:p>
    <w:p>
      <w:pPr>
        <w:spacing w:after="120"/>
        <w:jc w:val="both"/>
      </w:pPr>
      <w:r>
        <w:rPr>
          <w:rFonts w:ascii="Times New Roman" w:cs="Times New Roman" w:eastAsia="Times New Roman" w:hAnsi="Times New Roman"/>
          <w:b/>
          <w:bCs/>
          <w:i w:val="false"/>
          <w:iCs w:val="false"/>
          <w:sz w:val="22"/>
          <w:szCs w:val="22"/>
        </w:rPr>
        <w:t xml:space="preserve">Dòng tiền chiết khấu 12%/năm, đã gồm chi phí cơ hội công sức (đơn vị: VND):</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500"/>
        <w:gridCol w:w="1500"/>
        <w:gridCol w:w="1500"/>
        <w:gridCol w:w="1000"/>
        <w:gridCol w:w="1600"/>
        <w:gridCol w:w="1600"/>
      </w:tblGrid>
      <w:tr>
        <w:tc>
          <w:tcPr>
            <w:tcW w:type="dxa" w:w="7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18"/>
                <w:szCs w:val="18"/>
              </w:rPr>
              <w:t xml:space="preserve">Năm</w:t>
            </w:r>
          </w:p>
        </w:tc>
        <w:tc>
          <w:tcPr>
            <w:tcW w:type="dxa" w:w="16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18"/>
                <w:szCs w:val="18"/>
              </w:rPr>
              <w:t xml:space="preserve">Doanh thu</w:t>
            </w:r>
          </w:p>
        </w:tc>
        <w:tc>
          <w:tcPr>
            <w:tcW w:type="dxa" w:w="15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18"/>
                <w:szCs w:val="18"/>
              </w:rPr>
              <w:t xml:space="preserve">Chi phí tiền mặt</w:t>
            </w:r>
          </w:p>
        </w:tc>
        <w:tc>
          <w:tcPr>
            <w:tcW w:type="dxa" w:w="15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18"/>
                <w:szCs w:val="18"/>
              </w:rPr>
              <w:t xml:space="preserve">Chi phí công sức</w:t>
            </w:r>
          </w:p>
        </w:tc>
        <w:tc>
          <w:tcPr>
            <w:tcW w:type="dxa" w:w="15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18"/>
                <w:szCs w:val="18"/>
              </w:rPr>
              <w:t xml:space="preserve">Dòng ròng</w:t>
            </w:r>
          </w:p>
        </w:tc>
        <w:tc>
          <w:tcPr>
            <w:tcW w:type="dxa" w:w="10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18"/>
                <w:szCs w:val="18"/>
              </w:rPr>
              <w:t xml:space="preserve">Hệ số CK</w:t>
            </w:r>
          </w:p>
        </w:tc>
        <w:tc>
          <w:tcPr>
            <w:tcW w:type="dxa" w:w="16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18"/>
                <w:szCs w:val="18"/>
              </w:rPr>
              <w:t xml:space="preserve">Giá trị hiện tại</w:t>
            </w:r>
          </w:p>
        </w:tc>
        <w:tc>
          <w:tcPr>
            <w:tcW w:type="dxa" w:w="16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18"/>
                <w:szCs w:val="18"/>
              </w:rPr>
              <w:t xml:space="preserve">Luỹ kế</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0</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3.500.000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36.000.000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−39.500.000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1,0000</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−39.500.000</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−39.500.000</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1</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74.600.000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6.500.000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20.800.000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+47.300.000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0,8929</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+42.232.143</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+2.732.143</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2</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240.680.000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15.000.000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38.400.000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+187.280.000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0,7972</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+149.298.470</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+152.030.613</w:t>
            </w:r>
          </w:p>
        </w:tc>
      </w:tr>
      <w:t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3</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487.350.000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28.000.000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64.000.000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+395.350.000</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0,7118</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+281.402.321</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18"/>
                <w:szCs w:val="18"/>
              </w:rPr>
              <w:t xml:space="preserve">+433.432.934</w:t>
            </w:r>
          </w:p>
        </w:tc>
      </w:tr>
    </w:tbl>
    <w:p>
      <w:pPr>
        <w:spacing w:after="120"/>
        <w:jc w:val="both"/>
      </w:pPr>
      <w:r>
        <w:rPr>
          <w:rFonts w:ascii="Times New Roman" w:cs="Times New Roman" w:eastAsia="Times New Roman" w:hAnsi="Times New Roman"/>
          <w:b w:val="false"/>
          <w:bCs w:val="false"/>
          <w:i w:val="false"/>
          <w:iCs w:val="false"/>
          <w:sz w:val="26"/>
          <w:szCs w:val="26"/>
        </w:rPr>
        <w:t xml:space="preserve"/>
      </w:r>
    </w:p>
    <w:p>
      <w:pPr>
        <w:spacing w:after="120"/>
        <w:jc w:val="both"/>
      </w:pPr>
      <w:r>
        <w:rPr>
          <w:rFonts w:ascii="Times New Roman" w:cs="Times New Roman" w:eastAsia="Times New Roman" w:hAnsi="Times New Roman"/>
          <w:b w:val="false"/>
          <w:bCs w:val="false"/>
          <w:i w:val="false"/>
          <w:iCs w:val="false"/>
          <w:sz w:val="26"/>
          <w:szCs w:val="26"/>
        </w:rPr>
        <w:t xml:space="preserve">Giá trị hiện tại của lợi ích: 605.361.870 VND; của chi phí: 171.928.936 VND. Kết quả: NPV +433.432.934 VND, BCR 3,52, thời gian hoàn vốn chiết khấu ~0,94 năm — cả ba đạt ngưỡng. ROI/IRR chỉ dùng tham khảo.</w:t>
      </w:r>
    </w:p>
    <w:p>
      <w:pPr>
        <w:spacing w:after="120"/>
        <w:jc w:val="both"/>
      </w:pPr>
      <w:r>
        <w:rPr>
          <w:rFonts w:ascii="Times New Roman" w:cs="Times New Roman" w:eastAsia="Times New Roman" w:hAnsi="Times New Roman"/>
          <w:b w:val="false"/>
          <w:bCs w:val="false"/>
          <w:i w:val="false"/>
          <w:iCs w:val="false"/>
          <w:sz w:val="26"/>
          <w:szCs w:val="26"/>
        </w:rPr>
        <w:t xml:space="preserve">Lợi ích phi tài chính theo dõi bằng chỉ số riêng, không quy đổi vào NPV/BCR — nên kết quả tài chính là một ước lượng thận trọng.</w:t>
      </w:r>
    </w:p>
    <w:p>
      <w:pPr>
        <w:spacing w:after="120"/>
        <w:jc w:val="both"/>
      </w:pPr>
      <w:r>
        <w:rPr>
          <w:rFonts w:ascii="Times New Roman" w:cs="Times New Roman" w:eastAsia="Times New Roman" w:hAnsi="Times New Roman"/>
          <w:b/>
          <w:bCs/>
          <w:i w:val="false"/>
          <w:iCs w:val="false"/>
          <w:sz w:val="22"/>
          <w:szCs w:val="22"/>
        </w:rPr>
        <w:t xml:space="preserve">Phân tích độ nhạy theo hệ số doanh thu:</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1200"/>
        <w:gridCol w:w="2800"/>
      </w:tblGrid>
      <w:tr>
        <w:tc>
          <w:tcPr>
            <w:tcW w:type="dxa" w:w="16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Kịch bản</w:t>
            </w:r>
          </w:p>
        </w:tc>
        <w:tc>
          <w:tcPr>
            <w:tcW w:type="dxa" w:w="18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Hệ số doanh thu</w:t>
            </w:r>
          </w:p>
        </w:tc>
        <w:tc>
          <w:tcPr>
            <w:tcW w:type="dxa" w:w="26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NPV (VND)</w:t>
            </w:r>
          </w:p>
        </w:tc>
        <w:tc>
          <w:tcPr>
            <w:tcW w:type="dxa" w:w="12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BCR</w:t>
            </w:r>
          </w:p>
        </w:tc>
        <w:tc>
          <w:tcPr>
            <w:tcW w:type="dxa" w:w="2800"/>
            <w:tcBorders>
              <w:top w:val="single" w:color="999999" w:sz="4"/>
              <w:left w:val="single" w:color="999999" w:sz="4"/>
              <w:bottom w:val="single" w:color="999999" w:sz="4"/>
              <w:right w:val="single" w:color="999999" w:sz="4"/>
            </w:tcBorders>
            <w:shd w:fill="D9D9D9" w:val="clear"/>
            <w:tcMar>
              <w:top w:type="dxa" w:w="60"/>
              <w:left w:type="dxa" w:w="90"/>
              <w:bottom w:type="dxa" w:w="60"/>
              <w:right w:type="dxa" w:w="90"/>
            </w:tcMar>
            <w:vAlign w:val="center"/>
          </w:tcPr>
          <w:p>
            <w:pPr>
              <w:jc w:val="left"/>
            </w:pPr>
            <w:r>
              <w:rPr>
                <w:rFonts w:ascii="Times New Roman" w:cs="Times New Roman" w:eastAsia="Times New Roman" w:hAnsi="Times New Roman"/>
                <w:b/>
                <w:bCs/>
                <w:sz w:val="20"/>
                <w:szCs w:val="20"/>
              </w:rPr>
              <w:t xml:space="preserve">Kết luận</w:t>
            </w:r>
          </w:p>
        </w:tc>
      </w:tr>
      <w:tr>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Bi quan</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50%</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+130.751.999</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1,76</w:t>
            </w:r>
          </w:p>
        </w:tc>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Vẫn hiệu quả rõ rệt</w:t>
            </w:r>
          </w:p>
        </w:tc>
      </w:tr>
      <w:tr>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Cơ sở</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100%</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+433.432.934</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3,52</w:t>
            </w:r>
          </w:p>
        </w:tc>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Khả thi</w:t>
            </w:r>
          </w:p>
        </w:tc>
      </w:tr>
      <w:tr>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Lạc quan</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150%</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+736.113.869</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5,28</w:t>
            </w:r>
          </w:p>
        </w:tc>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vAlign w:val="center"/>
          </w:tcPr>
          <w:p>
            <w:pPr>
              <w:jc w:val="left"/>
            </w:pPr>
            <w:r>
              <w:rPr>
                <w:rFonts w:ascii="Times New Roman" w:cs="Times New Roman" w:eastAsia="Times New Roman" w:hAnsi="Times New Roman"/>
                <w:b w:val="false"/>
                <w:bCs w:val="false"/>
                <w:sz w:val="20"/>
                <w:szCs w:val="20"/>
              </w:rPr>
              <w:t xml:space="preserve">Rất hiệu quả</w:t>
            </w:r>
          </w:p>
        </w:tc>
      </w:tr>
    </w:tbl>
    <w:p>
      <w:pPr>
        <w:spacing w:after="120"/>
        <w:jc w:val="both"/>
      </w:pPr>
      <w:r>
        <w:rPr>
          <w:rFonts w:ascii="Times New Roman" w:cs="Times New Roman" w:eastAsia="Times New Roman" w:hAnsi="Times New Roman"/>
          <w:b w:val="false"/>
          <w:bCs w:val="false"/>
          <w:i w:val="false"/>
          <w:iCs w:val="false"/>
          <w:sz w:val="26"/>
          <w:szCs w:val="26"/>
        </w:rPr>
        <w:t xml:space="preserve"/>
      </w:r>
    </w:p>
    <w:p>
      <w:pPr>
        <w:spacing w:after="120"/>
        <w:jc w:val="both"/>
      </w:pPr>
      <w:r>
        <w:rPr>
          <w:rFonts w:ascii="Times New Roman" w:cs="Times New Roman" w:eastAsia="Times New Roman" w:hAnsi="Times New Roman"/>
          <w:b w:val="false"/>
          <w:bCs w:val="false"/>
          <w:i w:val="false"/>
          <w:iCs w:val="false"/>
          <w:sz w:val="26"/>
          <w:szCs w:val="26"/>
        </w:rPr>
        <w:t xml:space="preserve">Điểm hoà vốn ở hệ số 28% (28/91/185 thuê bao Cá nhân và 1/3/6 thuê bao Doanh nghiệp qua 3 năm); biên an toàn 72%. Ngay ở kịch bản bi quan, dự án không lỗ tiền mặt, chỉ không đạt giá trị công sức tương xứng. Rủi ro lớn nhất: tỷ lệ gia hạn sụp ở Năm 2 sau khi Năm 1 đạt mục tiêu.</w:t>
      </w:r>
    </w:p>
    <w:p>
      <w:pPr>
        <w:pStyle w:val="Heading1"/>
        <w:spacing w:after="120" w:before="240"/>
      </w:pPr>
      <w:r>
        <w:rPr>
          <w:rFonts w:ascii="Times New Roman" w:cs="Times New Roman" w:eastAsia="Times New Roman" w:hAnsi="Times New Roman"/>
          <w:b/>
          <w:bCs/>
          <w:sz w:val="32"/>
          <w:szCs w:val="32"/>
        </w:rPr>
        <w:t xml:space="preserve">5. Lộ trình và điểm quyết định</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M3 (tuần 8) và M4 (tuần 10) — nghiệm thu: tiếng Việt, không giới hạn độ dài, đầu ra lặp lại được, nội dung không rời máy</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Đóng dự án (tuần 15) — đánh giá LI-01, LI-02, LI-03; bàn giao danh mục lợi ích</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Quý 1–2 Năm 1 — thuê bao trả phí đầu tiên, thuê bao Doanh nghiệp đầu tiên, bắt đầu đo chi phí phục vụ</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Quý 4 Năm 1 — chu kỳ gia hạn đầu tiên, đo được tỷ lệ gia hạn lần đầu</w:t>
      </w:r>
    </w:p>
    <w:p>
      <w:pPr>
        <w:spacing w:after="120"/>
        <w:jc w:val="both"/>
      </w:pPr>
      <w:r>
        <w:rPr>
          <w:rFonts w:ascii="Times New Roman" w:cs="Times New Roman" w:eastAsia="Times New Roman" w:hAnsi="Times New Roman"/>
          <w:b w:val="false"/>
          <w:bCs w:val="false"/>
          <w:i w:val="false"/>
          <w:iCs w:val="false"/>
          <w:sz w:val="26"/>
          <w:szCs w:val="26"/>
        </w:rPr>
        <w:t xml:space="preserve">Điểm quyết định chính thức: nếu hết Quý 4 Năm 1, số thuê bao Cá nhân hoạt động dưới 28 hoặc tỷ lệ gia hạn dưới 50%, nhà tài trợ phải xem xét lại giá, hạn mức bậc miễn phí hoặc giả định thị trường. Hai điều kiện được kiểm tra độc lập — đạt số thuê bao nhưng không giữ được khách cũng là tín hiệu hỏng.</w:t>
      </w:r>
    </w:p>
    <w:p>
      <w:pPr>
        <w:pStyle w:val="Heading1"/>
        <w:spacing w:after="120" w:before="240"/>
      </w:pPr>
      <w:r>
        <w:rPr>
          <w:rFonts w:ascii="Times New Roman" w:cs="Times New Roman" w:eastAsia="Times New Roman" w:hAnsi="Times New Roman"/>
          <w:b/>
          <w:bCs/>
          <w:sz w:val="32"/>
          <w:szCs w:val="32"/>
        </w:rPr>
        <w:t xml:space="preserve">6. Giả định và rủi ro</w:t>
      </w:r>
    </w:p>
    <w:p>
      <w:pPr>
        <w:spacing w:after="120"/>
        <w:jc w:val="both"/>
      </w:pPr>
      <w:r>
        <w:rPr>
          <w:rFonts w:ascii="Times New Roman" w:cs="Times New Roman" w:eastAsia="Times New Roman" w:hAnsi="Times New Roman"/>
          <w:b/>
          <w:bCs/>
          <w:i w:val="false"/>
          <w:iCs w:val="false"/>
          <w:sz w:val="22"/>
          <w:szCs w:val="22"/>
        </w:rPr>
        <w:t xml:space="preserve">Bốn giả định trọng yếu (sai một cái là kết quả mục 4 sai theo):</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Đạt 100/320/650 thuê bao Cá nhân và 3/10/20 thuê bao Doanh nghiệp — biến số của phân tích độ nhạy</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Tỷ lệ gia hạn hằng năm từ 70% — quyết định doanh thu Năm 2–3</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Người dùng chấp nhận mức giá 599.000 và 4.900.000 VND/năm</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Công sức vận hành 260/480/800 giờ mỗi năm — mẫu số của BCR</w:t>
      </w:r>
    </w:p>
    <w:p>
      <w:pPr>
        <w:spacing w:after="120"/>
        <w:jc w:val="both"/>
      </w:pPr>
      <w:r>
        <w:rPr>
          <w:rFonts w:ascii="Times New Roman" w:cs="Times New Roman" w:eastAsia="Times New Roman" w:hAnsi="Times New Roman"/>
          <w:b/>
          <w:bCs/>
          <w:i w:val="false"/>
          <w:iCs w:val="false"/>
          <w:sz w:val="22"/>
          <w:szCs w:val="22"/>
        </w:rPr>
        <w:t xml:space="preserve">Rủi ro hiện thực hoá lợi ích:</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Bậc miễn phí thu hút nhưng không ai nâng cấp — theo dõi chuyển đổi từ tháng đầu; siết hạn mức hoặc điều chỉnh giá nếu thấp</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Tỷ lệ gia hạn dưới 50% ở chu kỳ đầu — phỏng vấn khách rời bỏ ngay từ trường hợp đầu tiên</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Máy chủ giấy phép ngừng hoạt động kéo dài — giám sát tự động, diễn tập khôi phục tại M6</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Không ai theo dõi lợi ích sau khi đóng dự án — biên bản bàn giao có chữ ký, lịch rà soát đặt sẵn</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Chưa đo hiện trạng thời gian tạo video trước phát triển — bắt buộc đo ở mốc M1</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Công sức vận hành thực tế vượt ước lượng — ghi nhận giờ thực tế, tính lại BCR mỗi quý</w:t>
      </w:r>
    </w:p>
    <w:p>
      <w:pPr>
        <w:pStyle w:val="Heading1"/>
        <w:spacing w:after="120" w:before="240"/>
      </w:pPr>
      <w:r>
        <w:rPr>
          <w:rFonts w:ascii="Times New Roman" w:cs="Times New Roman" w:eastAsia="Times New Roman" w:hAnsi="Times New Roman"/>
          <w:b/>
          <w:bCs/>
          <w:sz w:val="32"/>
          <w:szCs w:val="32"/>
        </w:rPr>
        <w:t xml:space="preserve">7. Theo dõi hiện thực hoá</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M3/M4 — Đỗ Bảo Long chủ trì: kiểm tra tiêu chí kỹ thuật hỗ trợ LI-01, LI-03</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Đóng dự án, tuần 15 — Lê Hoàng Nam chủ trì: biên bản bàn giao danh mục lợi ích và tài liệu vận hành</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Hằng tháng, Năm 1 — Trần Minh Đức chủ trì: doanh thu, số thuê bao, tỷ lệ chuyển đổi, thời gian hoạt động máy chủ</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Hằng quý, Năm 1–3 — Trần Minh Đức chủ trì: báo cáo hiện thực hoá lợi ích kèm NPV/BCR tính lại trên số thực đo</w:t>
      </w:r>
    </w:p>
    <w:p>
      <w:pPr>
        <w:pStyle w:val="ListParagraph"/>
        <w:numPr>
          <w:ilvl w:val="0"/>
          <w:numId w:val="1"/>
        </w:numPr>
        <w:spacing w:after="80"/>
      </w:pPr>
      <w:r>
        <w:rPr>
          <w:rFonts w:ascii="Times New Roman" w:cs="Times New Roman" w:eastAsia="Times New Roman" w:hAnsi="Times New Roman"/>
          <w:b w:val="false"/>
          <w:bCs w:val="false"/>
          <w:sz w:val="26"/>
          <w:szCs w:val="26"/>
        </w:rPr>
        <w:t xml:space="preserve">Điểm quyết định, hết Quý 4 Năm 1 — Trần Minh Đức chủ trì: quyết định tiếp tục, điều chỉnh giá, siết hạn mức miễn phí, hoặc dừng</w:t>
      </w:r>
    </w:p>
    <w:p>
      <w:pPr>
        <w:spacing w:after="120"/>
        <w:jc w:val="both"/>
      </w:pPr>
      <w:r>
        <w:rPr>
          <w:rFonts w:ascii="Times New Roman" w:cs="Times New Roman" w:eastAsia="Times New Roman" w:hAnsi="Times New Roman"/>
          <w:b w:val="false"/>
          <w:bCs w:val="false"/>
          <w:i w:val="false"/>
          <w:iCs w:val="false"/>
          <w:sz w:val="26"/>
          <w:szCs w:val="26"/>
        </w:rPr>
        <w:t xml:space="preserve">Mỗi kỳ rà soát ghi: mục tiêu, thực đạt, chênh lệch, đánh giá, nguyên nhân, hành động, người phụ trách, thời hạn. Đạt → ghi nhận; chệch &lt;20% → nêu nguyên nhân và theo dõi kỳ tới; chệch ≥20% → báo nhà tài trợ trong 5 ngày làm việc và xem lại giả định gốc; kéo dài hai kỳ liên tiếp → quyết định tương lai sản phẩm.</w:t>
      </w:r>
    </w:p>
    <w:p>
      <w:pPr>
        <w:spacing w:after="120"/>
        <w:jc w:val="both"/>
      </w:pPr>
      <w:r>
        <w:rPr>
          <w:rFonts w:ascii="Times New Roman" w:cs="Times New Roman" w:eastAsia="Times New Roman" w:hAnsi="Times New Roman"/>
          <w:b w:val="false"/>
          <w:bCs w:val="false"/>
          <w:i w:val="false"/>
          <w:iCs w:val="false"/>
          <w:sz w:val="26"/>
          <w:szCs w:val="26"/>
        </w:rPr>
        <w:t xml:space="preserve">Danh mục lợi ích là tài liệu sống đến khi toàn bộ lợi ích được hiện thực hóa hoặc không còn khả thi, kết thúc khi nhà tài trợ ký phê duyệt báo cáo tổng kết cuối Năm 3.</w:t>
      </w:r>
    </w:p>
    <w:p>
      <w:pPr>
        <w:spacing w:after="120"/>
        <w:jc w:val="both"/>
      </w:pPr>
      <w:r>
        <w:rPr>
          <w:rFonts w:ascii="Times New Roman" w:cs="Times New Roman" w:eastAsia="Times New Roman" w:hAnsi="Times New Roman"/>
          <w:b w:val="false"/>
          <w:bCs w:val="false"/>
          <w:i/>
          <w:iCs/>
          <w:sz w:val="22"/>
          <w:szCs w:val="22"/>
        </w:rPr>
        <w:t xml:space="preserve">Tài liệu liên quan: Luận chứng kinh doanh · Hợp đồng thực hiện dự án · Điều lệ dự án · Nhật ký giả định.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2026-09-22T04:15:34.469Z</dcterms:created>
  <dcterms:modified xsi:type="dcterms:W3CDTF">2026-09-22T04:15:34.470Z</dcterms:modified>
</cp:coreProperties>
</file>

<file path=docProps/custom.xml><?xml version="1.0" encoding="utf-8"?>
<Properties xmlns="http://schemas.openxmlformats.org/officeDocument/2006/custom-properties" xmlns:vt="http://schemas.openxmlformats.org/officeDocument/2006/docPropsVTypes"/>
</file>