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3: Dữ Liệu và Quy Trình Tiền Xử Lý</w:t>
      </w:r>
    </w:p>
    <w:p>
      <w:r>
        <w:t>Chương này trình bày chi tiết toàn bộ quy trình từ nguồn dữ liệu thô đến khi có được bộ dữ liệu sẵn sàng cho việc xây dựng mô hình dự báo. Đây là nền tảng quyết định chất lượng của toàn bộ nghiên cứu — nếu dữ liệu đầu vào không đáng tin cậy, thì dù mô hình có tinh vi đến đâu cũng không thể cho ra kết quả có ý nghĩa.</w:t>
      </w:r>
    </w:p>
    <w:p>
      <w:r>
        <w:t>──────────────────────────────────────────────────</w:t>
      </w:r>
    </w:p>
    <w:p>
      <w:pPr>
        <w:pStyle w:val="Heading2"/>
      </w:pPr>
      <w:r>
        <w:t>3.1. Nguồn Dữ Liệu</w:t>
      </w:r>
    </w:p>
    <w:p>
      <w:pPr>
        <w:pStyle w:val="Heading3"/>
      </w:pPr>
      <w:r>
        <w:t>3.1.1. Tổng Quan Nguồn Dữ Liệu</w:t>
      </w:r>
    </w:p>
    <w:p>
      <w:r>
        <w:t>Nghiên cứu sử dụng dữ liệu tài chính từ ba nguồn độc lập, mỗi nguồn cung cấp một khía cạnh khác nhau của thông tin thị trường. Việc kết hợp đa nguồn không phải là thừa — đó là cách duy nhất để phản ánh đầy đủ bối cảnh kinh tế vĩ mô Việt Nam khi dự báo cổ phiếu ngân hàng.</w:t>
      </w:r>
    </w:p>
    <w:tbl>
      <w:tblPr>
        <w:tblStyle w:val="TableGrid"/>
        <w:tblW w:type="auto" w:w="0"/>
        <w:tblLook w:firstColumn="1" w:firstRow="1" w:lastColumn="0" w:lastRow="0" w:noHBand="0" w:noVBand="1" w:val="04A0"/>
      </w:tblPr>
      <w:tblGrid>
  </w:tblGrid>
      <w:tr/>
      <w:tr/>
      <w:tr/>
      <w:tr/>
    </w:tbl>
    <w:p>
      <w:r>
        <w:t>Ba nguồn này bổ sung cho nhau: Yahoo Finance cho biết cổ phiếu của từng ngân hàng di chuyển thế nào, Investing.com cho biết thị trường chung ra sao, và Ngân hàng Nhà nước cho biết điều kiện kinh tế vĩ mô ảnh hưởng như thế nào.</w:t>
      </w:r>
    </w:p>
    <w:p>
      <w:pPr>
        <w:pStyle w:val="Heading3"/>
      </w:pPr>
      <w:r>
        <w:t>3.1.2. Ba Mã Cổ Phiếu Ngân Hàng</w:t>
      </w:r>
    </w:p>
    <w:p>
      <w:r>
        <w:t>Nghiên cứu tập trung vào ba ngân hàng thương mại niêm yết lớn nhất Việt Nam, mỗi ngân hàng đại diện cho một phân khúc khác nhau của thị trường:</w:t>
      </w:r>
    </w:p>
    <w:tbl>
      <w:tblPr>
        <w:tblStyle w:val="TableGrid"/>
        <w:tblW w:type="auto" w:w="0"/>
        <w:tblLook w:firstColumn="1" w:firstRow="1" w:lastColumn="0" w:lastRow="0" w:noHBand="0" w:noVBand="1" w:val="04A0"/>
      </w:tblPr>
      <w:tblGrid>
  </w:tblGrid>
      <w:tr/>
      <w:tr/>
      <w:tr/>
      <w:tr/>
    </w:tbl>
    <w:p>
      <w:r>
        <w:t>Sự đa dạng trong lựa chọn không phải ngẫu nhiên. Nếu chỉ chọn một mã, kết luận có thể chỉ đúng cho mã đó mà không tổng quát hóa được. Việc chọn ba mã từ ba phân khúc khác nhau cho phép đánh giá liệu mô hình dự báo có hoạt động tốt nhất nhất quán trên các loại cổ phiếu ngân hàng khác nhau hay không — đây là câu hỏi có ý nghĩa thực tiễn quan trọng.</w:t>
      </w:r>
    </w:p>
    <w:p>
      <w:pPr>
        <w:pStyle w:val="Heading3"/>
      </w:pPr>
      <w:r>
        <w:t>3.1.3. Khoảng Thời Gian và Tần Suất</w:t>
      </w:r>
    </w:p>
    <w:tbl>
      <w:tblPr>
        <w:tblStyle w:val="TableGrid"/>
        <w:tblW w:type="auto" w:w="0"/>
        <w:tblLook w:firstColumn="1" w:firstRow="1" w:lastColumn="0" w:lastRow="0" w:noHBand="0" w:noVBand="1" w:val="04A0"/>
      </w:tblPr>
      <w:tblGrid>
  </w:tblGrid>
      <w:tr/>
      <w:tr/>
      <w:tr/>
      <w:tr/>
      <w:tr/>
    </w:tbl>
    <w:p>
      <w:r>
        <w:t>Khoảng thời gian 10 năm bao trùm nhiều sự kiện kinh tế có ý nghĩa: đại dịch COVID-19 (2020) gây ra biến động chưa từng có trên toàn cầu, giai đoạn lạm phát và chu kỳ thắt chặt tiền tệ quốc tế (2022-2024), biến động tỷ giá USD/VND mạnh trong giai đoạn 2022-2023, và các chu kỳ lãi suất của Cục Dự trữ Liên bang Mỹ (Fed). Điều này đảm bảo rằng mô hình được huấn luyện và đánh giá trong điều kiện thị trường đa dạng, từ giai đoạn thịnh vượng đến khủng hoảng.</w:t>
      </w:r>
    </w:p>
    <w:p>
      <w:pPr>
        <w:pStyle w:val="Heading3"/>
      </w:pPr>
      <w:r>
        <w:t>3.1.4. Chi Tiết Nguồn Từng Loại Dữ Liệu</w:t>
      </w:r>
    </w:p>
    <w:p>
      <w:r>
        <w:rPr>
          <w:b/>
        </w:rPr>
        <w:t>Dữ liệu giá cổ phiếu (Yahoo Finance)</w:t>
      </w:r>
    </w:p>
    <w:p>
      <w:r>
        <w:t xml:space="preserve">Giá cổ phiếu được thu thập từ Yahoo Finance thông qua thư viện </w:t>
      </w:r>
      <w:r>
        <w:t>yfinance</w:t>
      </w:r>
      <w:r>
        <w:t xml:space="preserve"> của Python. Bộ dữ liệu bao gồm OHLC (Open — giá mở cửa, High — giá cao nhất, Low — giá thấp nhất, Close — giá đóng cửa) và Volume — khối lượng giao dịch. Đây là bộ dữ liệu tiêu chuẩn cho phân tích kỹ thuật, được sử dụng rộng rãi trong tài chính lượng.</w:t>
      </w:r>
    </w:p>
    <w:p>
      <w:r>
        <w:t>Yahoo Finance cung cấp dữ liệu đã được điều chỉnh (adjusted) cho các sự kiện như chia tách cổ phiếu (stock split) và trả cổ tức (dividend). Điều này đảm bảo rằng chuỗi giá phản ánh đúng giá trị thực của cổ phiếu, không bị bóp méo bởi các sự kiện doanh nghiệp.</w:t>
      </w:r>
    </w:p>
    <w:p>
      <w:r>
        <w:rPr>
          <w:b/>
        </w:rPr>
        <w:t>Dữ liệu chỉ số thị trường (Investing.com)</w:t>
      </w:r>
    </w:p>
    <w:p>
      <w:r>
        <w:t>VNIndex và VN30 là hai chỉ số chứng khoán quan trọng nhất của Sở Giao dịch Chứng khoán Thành phố Hồ Chí Minh (HOSE). VNIndex đại diện cho toàn bộ thị trường với hơn 300 cổ phiếu niêm yết, trong khi VN30 chỉ tập trung vào 30 công ty vốn hóa lớn nhất. VN30 thường được xem là proxy cho nhóm nhà đầu tư tổ chức (institutional investors) vì các quỹ đầu tư lớn thường tập trung vào các blue-chips.</w:t>
      </w:r>
    </w:p>
    <w:p>
      <w:r>
        <w:rPr>
          <w:b/>
        </w:rPr>
        <w:t>Dữ liệu vĩ mô (Ngân hàng Nhà nước Việt Nam)</w:t>
      </w:r>
    </w:p>
    <w:p>
      <w:r>
        <w:t>Tỷ giá USD/VND phản ánh sức mua tương đối của đồng Việt Nam so với đô la Mỹ. Việt Nam là nền kinh tế có tính mở cao với kim ngạch xuất nhập khẩu thường xuyên vượt 200% GDP, điều này khiến tỷ giá trở thành biến số vĩ mô quan trọng bậc nhất ảnh hưởng đến hoạt động của các ngân hàng thương mại. Lãi suất liên ngân hàng phản ánh chi phí vay mượn qua đêm giữa các ngân hàng — một chỉ số cho biết điều kiện thanh khoản và chi phí vốn trong hệ thống tài chính.</w:t>
      </w:r>
    </w:p>
    <w:p>
      <w:r>
        <w:t>──────────────────────────────────────────────────</w:t>
      </w:r>
    </w:p>
    <w:p>
      <w:pPr>
        <w:pStyle w:val="Heading2"/>
      </w:pPr>
      <w:r>
        <w:t>3.2. Mô Tả Biến Số</w:t>
      </w:r>
    </w:p>
    <w:p>
      <w:pPr>
        <w:pStyle w:val="Heading3"/>
      </w:pPr>
      <w:r>
        <w:t>3.2.1. Tổng Quan Hệ Thống Biến Số</w:t>
      </w:r>
    </w:p>
    <w:p>
      <w:r>
        <w:t xml:space="preserve">Nghiên cứu sử dụng tổng cộng </w:t>
      </w:r>
      <w:r>
        <w:rPr>
          <w:b/>
        </w:rPr>
        <w:t>25 biến đầu vào</w:t>
      </w:r>
      <w:r>
        <w:t>, được thiết kế theo nguyên tắc vừa đủ — đủ đa dạng để nắm bắt các mẫu hình thị trường khác nhau, nhưng không quá nhiều để tránh hiện tượng overfitting (mô hình ghi nhớ noise thay vì học pattern thực).</w:t>
      </w:r>
    </w:p>
    <w:p>
      <w:r>
        <w:t>Hệ thống biến được chia thành hai nhóm chính:</w:t>
      </w:r>
    </w:p>
    <w:p>
      <w:r>
        <w:rPr>
          <w:b/>
        </w:rPr>
        <w:t>Technical Indicators (16 biến)</w:t>
      </w:r>
      <w:r>
        <w:t>: Các chỉ báo được tính toán từ chính dữ liệu giá và khối lượng giao dịch của cổ phiếu. Đây là nhóm biến phản ánh "hành vi nội tại" của cổ phiếu — những gì thị trường đang nói qua giá và thanh khoản của chính nó.</w:t>
      </w:r>
    </w:p>
    <w:p>
      <w:r>
        <w:rPr>
          <w:b/>
        </w:rPr>
        <w:t>Macro Indicators (9 biến)</w:t>
      </w:r>
      <w:r>
        <w:t>: Các biến phản ánh bối cảnh kinh tế vĩ mô — thị trường chung đi về đâu (VNIndex, VN30) và điều kiện kinh tế ảnh hưởng ra sao (USD/VND, lãi suất).</w:t>
      </w:r>
    </w:p>
    <w:p>
      <w:r>
        <w:t xml:space="preserve">Ngoài ra, mỗi biến được bổ sung các </w:t>
      </w:r>
      <w:r>
        <w:rPr>
          <w:b/>
        </w:rPr>
        <w:t>lagged values</w:t>
      </w:r>
      <w:r>
        <w:t xml:space="preserve"> (giá trị trễ) — lấy giá trị của 1-2 ngày trước đó. Đây là thiết kế có chủ đích cho dữ liệu chuỗi thời gian: ta chỉ được phép sử dụng thông tin đã có sẵn tại thời điểm dự báo, không được "nhìn trước" vào tương lai.</w:t>
      </w:r>
    </w:p>
    <w:p>
      <w:pPr>
        <w:pStyle w:val="Heading3"/>
      </w:pPr>
      <w:r>
        <w:t>3.2.2. Bảng Tổng Hợp 25 Biến</w:t>
      </w:r>
    </w:p>
    <w:tbl>
      <w:tblPr>
        <w:tblStyle w:val="TableGrid"/>
        <w:tblW w:type="auto" w:w="0"/>
        <w:tblLook w:firstColumn="1" w:firstRow="1" w:lastColumn="0" w:lastRow="0" w:noHBand="0" w:noVBand="1" w:val="04A0"/>
      </w:tblPr>
      <w:tblGrid>
  </w:tblGrid>
      <w:tr/>
      <w:tr/>
      <w:tr/>
      <w:tr/>
      <w:tr/>
      <w:tr/>
      <w:tr/>
      <w:tr/>
      <w:tr/>
      <w:tr/>
      <w:tr/>
      <w:tr/>
      <w:tr/>
      <w:tr/>
      <w:tr/>
      <w:tr/>
      <w:tr/>
      <w:tr/>
      <w:tr/>
      <w:tr/>
      <w:tr/>
      <w:tr/>
      <w:tr/>
      <w:tr/>
      <w:tr/>
      <w:tr/>
    </w:tbl>
    <w:p>
      <w:pPr>
        <w:pStyle w:val="Heading3"/>
      </w:pPr>
      <w:r>
        <w:t>3.2.3. Chi Tiết Từng Nhóm Biến</w:t>
      </w:r>
    </w:p>
    <w:p>
      <w:pPr>
        <w:pStyle w:val="Heading4"/>
      </w:pPr>
      <w:r>
        <w:t>A. Technical Indicators (16 biến)</w:t>
      </w:r>
    </w:p>
    <w:p>
      <w:r>
        <w:rPr>
          <w:b/>
        </w:rPr>
        <w:t>Nhóm Raw Data (5 biến: open, high, low, close, volume)</w:t>
      </w:r>
    </w:p>
    <w:p>
      <w:r>
        <w:t>Đây là dữ liệu thô trực tiếp từ sàn giao dịch, phản ánh bốn mức giá trong một ngày giao dịch: giá mở cửa, giá cao nhất, giá thấp nhất, và giá đóng cửa. Bốn mức giá này tạo thành mô hình nến Nhật (candlestick) — công cụ phân tích kỹ thuật đã được sử dụng hơn một thế kỷ để nhận diện các mẫu hình giá.</w:t>
      </w:r>
    </w:p>
    <w:p>
      <w:r>
        <w:t>Volume (khối lượng giao dịch) đo lường cường độ tham gia của thị trường. Khối lượng cao bất thường thường là dấu hiệu của sự thay đổi xu hướng sắp tới — khi nhiều người đồng thời mua hoặc bán, giá sẽ di chuyển mạnh hơn.</w:t>
      </w:r>
    </w:p>
    <w:p>
      <w:r>
        <w:rPr>
          <w:b/>
        </w:rPr>
        <w:t>Nhóm Derived Technical (6 biến)</w:t>
      </w:r>
    </w:p>
    <w:p>
      <w:r>
        <w:t>log_return</w:t>
      </w:r>
      <w:r>
        <w:t xml:space="preserve"> (lợi suất log): Đây là biến quan trọng nhất trong phân tích tài chính. Thay vì dùng lợi suất đơn giản (P_t/P_{t-1} - 1), log_return có tính chất cộng dồn: log_return_t + log_return_{t+1} = ln(P_{t+1}/P_{t-1}). Điều này phù hợp hơn với phân tích thống kê vì nó biến phép phân phối nhân thành phân phối cộng. Trong nghiên cứu này, log_return trung bình của 3 mã ngân hàng dao động từ 0.065% đến 0.070% mỗi ngày — dương nhưng rất nhỏ, phản ánh xu hướng tăng dài hạn có phần khiêm tốn của thị trường ngân hàng Việt Nam trong giai đoạn 2016-2026.</w:t>
      </w:r>
    </w:p>
    <w:p>
      <w:r>
        <w:t>Công thức:</w:t>
      </w:r>
    </w:p>
    <w:p>
      <w:r>
        <w:t>$$log_return_t = \ln\left(\frac{close_t}{close_{t-1}}\right)$$</w:t>
      </w:r>
    </w:p>
    <w:p>
      <w:r>
        <w:t>volatility_20d</w:t>
      </w:r>
      <w:r>
        <w:t xml:space="preserve"> (độ biến động 20 ngày): Biến này đo lường mức độ biến động của cổ phiếu trong 20 ngày gần nhất, tính bằng độ lệch chuẩn của log_return. Đây là proxy phổ biến nhất cho rủi ro trong tài chính lượng. Biến này đặc biệt quan trọng vì nó là biến mục tiêu (target) cho mô hình dự báo biến động.</w:t>
      </w:r>
    </w:p>
    <w:p>
      <w:r>
        <w:t>$$volatility_20d_t = std(log_return_{t-19:t})$$</w:t>
      </w:r>
    </w:p>
    <w:p>
      <w:r>
        <w:t>ma20</w:t>
      </w:r>
      <w:r>
        <w:t xml:space="preserve"> và </w:t>
      </w:r>
      <w:r>
        <w:t>ma50</w:t>
      </w:r>
      <w:r>
        <w:t xml:space="preserve"> (đường trung bình động): MA20 phản ánh xu hướng ngắn hạn (khoảng một tháng giao dịch), trong khi MA50 phản ánh xu hướng trung hạn (khoảng một quý). Tỷ số </w:t>
      </w:r>
      <w:r>
        <w:t>close / ma20</w:t>
      </w:r>
      <w:r>
        <w:t xml:space="preserve"> (ma_ratio) cho biết giá đang ở trên hay dưới mức trung bình ngắn hạn — một tín hiệu phổ biến trong chiến lược mean-reversion: khi giá xa đường MA, có xu hướng quay về MA.</w:t>
      </w:r>
    </w:p>
    <w:p>
      <w:r>
        <w:t>rsi</w:t>
      </w:r>
      <w:r>
        <w:t xml:space="preserve"> (Relative Strength Index): Chỉ báo RSI với chu kỳ 14 ngày, dao động từ 0 đến 100, đo lường tốc độ và sự thay đổi của giá. RSI &gt; 70 báo hiệu overbought (quá mua) — cổ phiếu có thể đang bị định giá quá cao ngắn hạn. RSI &lt; 30 báo hiệu oversold (quá bán) — cổ phiếu có thể đang bị định giá thấp hơn giá trị thực.</w:t>
      </w:r>
    </w:p>
    <w:p>
      <w:r>
        <w:t>$$RSI = 100 - \frac{100}{1 + RS}, \quad RS = \frac{Average\ Gain}{Average\ Loss}$$</w:t>
      </w:r>
    </w:p>
    <w:p>
      <w:r>
        <w:t>volume_ratio</w:t>
      </w:r>
      <w:r>
        <w:t>: Tỷ số giữa khối lượng giao dịch hôm nay với trung bình khối lượng 20 ngày gần nhất. Volume_ratio &gt; 1 nghĩa là hôm nay thị trường giao dịch sôi động hơn bình thường — thường là dấu hiệu của sự quan tâm đặc biệt, có thể đi kèm biến động giá lớn hơn.</w:t>
      </w:r>
    </w:p>
    <w:p>
      <w:r>
        <w:t>$$volume_ratio_t = \frac{volume_t}{mean(volume_{t-20:t})}$$</w:t>
      </w:r>
    </w:p>
    <w:p>
      <w:r>
        <w:rPr>
          <w:b/>
        </w:rPr>
        <w:t>Nhóm Lagged Technical</w:t>
      </w:r>
    </w:p>
    <w:p>
      <w:r>
        <w:t>Lagged values (giá trị trễ) là cốt lõi của phân tích chuỗi thời gian. Nguyên tắc cơ bản là: khi dự báo ngày mai, ta chỉ được phép nhìn vào thông tin đã có đến hôm nay — không được "nhìn trước" vào ngày mai. Việc sử dụng nhiều lags khác nhau (1, 2, 3, 5 ngày) cho phép mô hình nắm bắt các mẫu hình với "trí nhớ" (memory) khác nhau: lags ngắn phản ánh phản ứng tức thì, lags dài hơn phản ánh xu hướng và chu kỳ.</w:t>
      </w:r>
    </w:p>
    <w:p>
      <w:pPr>
        <w:pStyle w:val="Heading4"/>
      </w:pPr>
      <w:r>
        <w:t>B. Macro Indicators (9 biến)</w:t>
      </w:r>
    </w:p>
    <w:p>
      <w:r>
        <w:rPr>
          <w:b/>
        </w:rPr>
        <w:t>VNIndex và VN30</w:t>
      </w:r>
    </w:p>
    <w:p>
      <w:r>
        <w:t>Hai chỉ số này đo lường hiệu suất của thị trường chứng khoán Việt Nam nhìn chung. VNIndex bao gồm toàn bộ cổ phiếu niêm yết trên HOSE — hơn 300 mã — nên phản ánh tương đối toàn diện. VN30 chỉ gồm 30 công ty vốn hóa lớn nhất, thường được dùng như proxy cho hành vi của nhà đầu tư tổ chức vì các quỹ đầu tư lớn thường tập trung vào nhóm này.</w:t>
      </w:r>
    </w:p>
    <w:p>
      <w:r>
        <w:rPr>
          <w:b/>
        </w:rPr>
        <w:t>USD/VND</w:t>
      </w:r>
    </w:p>
    <w:p>
      <w:r>
        <w:t>Tỷ giá USD/VND là biến vĩ mô quan trọng nhất trong bộ dữ liệu này. Việt Nam có nền kinh tế có tính mở cao với kim ngạch xuất nhập khẩu thường xuyên vượt 200% GDP, điều này khiến biến động tỷ giá ảnh hưởng trực tiếp đến hoạt động kinh doanh của các ngân hàng — đặc biệt những ngân hàng có tỷ trọng cho vay ngoại tệ cao hoặc thu nhập từ kinh doanh ngoại hối đáng kể.</w:t>
      </w:r>
    </w:p>
    <w:p>
      <w:r>
        <w:t>Trong giai đoạn nghiên cứu (2016-2026), USD/VND có những biến động đáng kể:</w:t>
        <w:br/>
        <w:t>- Trung bình: ~23,549 VND/USD</w:t>
        <w:br/>
        <w:t>- Min: 21,699 VND/USD</w:t>
        <w:br/>
        <w:t>- Max: 26,425 VND/USD</w:t>
        <w:br/>
        <w:t>- Biên độ biến động: ~4,700 VND (~22%)</w:t>
      </w:r>
    </w:p>
    <w:p>
      <w:r>
        <w:rPr>
          <w:b/>
        </w:rPr>
        <w:t>Interest Rate (Lãi Suất)</w:t>
      </w:r>
    </w:p>
    <w:p>
      <w:r>
        <w:t xml:space="preserve">Lãi suất liên ngân hàng VN phản ánh chi phí vay mượn qua đêm giữa các ngân hàng — một chỉ báo cho điều kiện thanh khoản và chi phí vốn trong toàn hệ thống. Tuy nhiên, trong giai đoạn 2016-2026, lãi suất VN chỉ có </w:t>
      </w:r>
      <w:r>
        <w:rPr>
          <w:b/>
        </w:rPr>
        <w:t>7 giá trị duy nhất</w:t>
      </w:r>
      <w:r>
        <w:t xml:space="preserve"> và thay đổi có 10 lần trong suốt ~2,500 ngày giao dịch — gần như một hằng số theo từng đoạn (piecewise constant).</w:t>
      </w:r>
    </w:p>
    <w:p>
      <w:r>
        <w:t>Điều này không có nghĩa lãi suất không quan trọng trong thực tế. Nó chỉ có nghĩa là trong giai đoạn quan sát, lãi suất ít biến động nên không đóng góp đáng kể vào việc giải thích biến động hàng ngày của cổ phiếu ngân hàng.</w:t>
      </w:r>
    </w:p>
    <w:p>
      <w:pPr>
        <w:pStyle w:val="Heading3"/>
      </w:pPr>
      <w:r>
        <w:t>3.2.4. Biến Target (Mục Tiêu Dự Báo)</w:t>
      </w:r>
    </w:p>
    <w:p>
      <w:r>
        <w:t>Nghiên cứu sử dụng hai biến target khác nhau cho hai mục tiêu dự báo riêng biệt. Đây là thiết kế có chủ đích: giá cổ phiếu và mức biến động là hai thứ hoàn toàn khác nhau về bản chất, và cần hai chiến lược dự báo khác nhau.</w:t>
      </w:r>
    </w:p>
    <w:p>
      <w:r>
        <w:rPr>
          <w:b/>
        </w:rPr>
        <w:t>Target 1: Giá đóng cửa (Close Price)</w:t>
      </w:r>
    </w:p>
    <w:p>
      <w:r>
        <w:t>Dùng cho: NeuralProphet, TFT, Naive Baseline, XGBoost, Hybrid</w:t>
      </w:r>
    </w:p>
    <w:p>
      <w:r>
        <w:t>Đây là biến cổ điển nhất trong tài chính — giá cổ phiếu. Mục tiêu dự báo giá là câu hỏi "ngày mai cổ phiếu sẽ ở mức giá nào?"</w:t>
      </w:r>
    </w:p>
    <w:tbl>
      <w:tblPr>
        <w:tblStyle w:val="TableGrid"/>
        <w:tblW w:type="auto" w:w="0"/>
        <w:tblLook w:firstColumn="1" w:firstRow="1" w:lastColumn="0" w:lastRow="0" w:noHBand="0" w:noVBand="1" w:val="04A0"/>
      </w:tblPr>
      <w:tblGrid>
  </w:tblGrid>
      <w:tr/>
      <w:tr/>
      <w:tr/>
      <w:tr/>
      <w:tr/>
      <w:tr/>
      <w:tr/>
    </w:tbl>
    <w:p>
      <w:r>
        <w:t>Phân tích: Giá BID có phân phối gần đối xứng (skewness = 0.115 gần 0). CTG có skewness dương rõ rệt (0.887), nghĩa là có nhiều ngày với giá cao bất thường so với phân phối chuẩn — có thể là các đợt "pump" giá trong một số giai đoạn. VCB có kurtosis âm (-1.218), nghĩa là phân phối giá "flatter" (phẳng hơn) so với phân phối chuẩn — ít có outliers cực đoan.</w:t>
      </w:r>
    </w:p>
    <w:p>
      <w:r>
        <w:rPr>
          <w:b/>
        </w:rPr>
        <w:t>Target 2: |log_return| (Biến Động Tuyệt Đối)</w:t>
      </w:r>
    </w:p>
    <w:p>
      <w:r>
        <w:t>Dùng cho: GARCH, XGBoost, TFT, Hybrid</w:t>
      </w:r>
    </w:p>
    <w:p>
      <w:r>
        <w:t>Đây là biến phản ánh mức độ biến động, không phải hướng. Thay vì dùng log_return gốc (có thể dương hoặc âm tùy theo giá tăng hay giảm), ta lấy giá trị tuyệt đối để chỉ quan tâm đến "cổ phiếu biến động bao nhiêu", không quan tâm "biến động lên hay xuống". Đây là tiêu chuẩn trong tài chính lượng khi nghiên cứu volatility.</w:t>
      </w:r>
    </w:p>
    <w:p>
      <w:r>
        <w:t>$$|log_return|</w:t>
      </w:r>
      <w:r>
        <w:rPr>
          <w:i/>
        </w:rPr>
        <w:t>t = \left| \ln\left(\frac{close_t}{close</w:t>
      </w:r>
      <w:r>
        <w:t>{t-1}}\right) \right|$$</w:t>
      </w:r>
    </w:p>
    <w:tbl>
      <w:tblPr>
        <w:tblStyle w:val="TableGrid"/>
        <w:tblW w:type="auto" w:w="0"/>
        <w:tblLook w:firstColumn="1" w:firstRow="1" w:lastColumn="0" w:lastRow="0" w:noHBand="0" w:noVBand="1" w:val="04A0"/>
      </w:tblPr>
      <w:tblGrid>
  </w:tblGrid>
      <w:tr/>
      <w:tr/>
      <w:tr/>
      <w:tr/>
      <w:tr/>
      <w:tr/>
      <w:tr/>
    </w:tbl>
    <w:p>
      <w:r>
        <w:t>Điểm đáng chú ý nhất: tất cả skewness đều dương (&gt; 0), nghĩa là phân phối có đuôi phải dài (right-skewed). Điều này có nghĩa là: mặc dù trung bình dương, nhưng có những ngày với biến động cực mạnh xảy ra thường xuyên hơn so với phân phối chuẩn. Đây là đặc điểm kinh điển của dữ liệu tài chính, được gọi là "fat tails" (đuôi mập).</w:t>
      </w:r>
    </w:p>
    <w:p>
      <w:r>
        <w:t>──────────────────────────────────────────────────</w:t>
      </w:r>
    </w:p>
    <w:p>
      <w:pPr>
        <w:pStyle w:val="Heading2"/>
      </w:pPr>
      <w:r>
        <w:t>3.3. Làm Sạch Dữ Liệu</w:t>
      </w:r>
    </w:p>
    <w:p>
      <w:pPr>
        <w:pStyle w:val="Heading3"/>
      </w:pPr>
      <w:r>
        <w:t>3.3.1. Xử Lý Giá Trị NaN (Missing Values)</w:t>
      </w:r>
    </w:p>
    <w:p>
      <w:r>
        <w:rPr>
          <w:b/>
        </w:rPr>
        <w:t>Phát Hiện NaN Trong Dataset Gốc</w:t>
      </w:r>
    </w:p>
    <w:p>
      <w:r>
        <w:t>Sau khi thu thập và ghép dữ liệu từ ba nguồn, bước đầu tiên trong quy trình làm sạch là kiểm tra missing values (giá trị thiếu). Kết quả kiểm tra cho thấy:</w:t>
      </w:r>
    </w:p>
    <w:tbl>
      <w:tblPr>
        <w:tblStyle w:val="TableGrid"/>
        <w:tblW w:type="auto" w:w="0"/>
        <w:tblLook w:firstColumn="1" w:firstRow="1" w:lastColumn="0" w:lastRow="0" w:noHBand="0" w:noVBand="1" w:val="04A0"/>
      </w:tblPr>
      <w:tblGrid>
  </w:tblGrid>
      <w:tr/>
      <w:tr/>
    </w:tbl>
    <w:p>
      <w:r>
        <w:t>Dataset gốc không có bất kỳ giá trị NaN nào. Điều này có thể được giải thích bởi:</w:t>
        <w:br/>
        <w:t>1. Yahoo Finance cung cấp dữ liệu liên tục cho các ngày có giao dịch, không có missing values</w:t>
        <w:br/>
        <w:t>2. VNIndex và VN30 được thu thập độc lập và đã được xử lý nội suy (interpolation) cho các ngày nghỉ</w:t>
        <w:br/>
        <w:t>3. Các biến derived (log_return, volatility_20d, ma20, ma50, rsi) được tính toán từ dữ liệu đã đầy đủ</w:t>
      </w:r>
    </w:p>
    <w:p>
      <w:r>
        <w:rPr>
          <w:b/>
        </w:rPr>
        <w:t>Tuy nhiên</w:t>
      </w:r>
      <w:r>
        <w:t xml:space="preserve">, khi tạo </w:t>
      </w:r>
      <w:r>
        <w:rPr>
          <w:b/>
        </w:rPr>
        <w:t>lagged features</w:t>
      </w:r>
      <w:r>
        <w:t xml:space="preserve"> (các biến trễ) bằng shift operations, NaN sẽ xuất hiện tự nhiên ở các dòng đầu tiên. Ví dụ: </w:t>
      </w:r>
      <w:r>
        <w:t>return_lag1 = log_return.shift(1)</w:t>
      </w:r>
      <w:r>
        <w:t xml:space="preserve"> sẽ tạo NaN ở dòng đầu tiên vì không có ngày t-1 để tham chiếu.</w:t>
      </w:r>
    </w:p>
    <w:p>
      <w:r>
        <w:rPr>
          <w:b/>
        </w:rPr>
        <w:t>Chiến Lược Xử Lý NaN Từ Lag Operations</w:t>
      </w:r>
    </w:p>
    <w:p>
      <w:r>
        <w:t>Chúng tôi đã cân nhắc bốn chiến lược xử lý NaN từ lag operations:</w:t>
      </w:r>
    </w:p>
    <w:tbl>
      <w:tblPr>
        <w:tblStyle w:val="TableGrid"/>
        <w:tblW w:type="auto" w:w="0"/>
        <w:tblLook w:firstColumn="1" w:firstRow="1" w:lastColumn="0" w:lastRow="0" w:noHBand="0" w:noVBand="1" w:val="04A0"/>
      </w:tblPr>
      <w:tblGrid>
  </w:tblGrid>
      <w:tr/>
      <w:tr/>
      <w:tr/>
      <w:tr/>
      <w:tr/>
    </w:tbl>
    <w:p>
      <w:r>
        <w:rPr>
          <w:b/>
        </w:rPr>
        <w:t>Quyết định</w:t>
      </w:r>
      <w:r>
        <w:t xml:space="preserve">: Chúng tôi chọn </w:t>
      </w:r>
      <w:r>
        <w:rPr>
          <w:b/>
        </w:rPr>
        <w:t>Drop Rows</w:t>
      </w:r>
      <w:r>
        <w:t xml:space="preserve"> vì:</w:t>
        <w:br/>
        <w:t>- Số dòng bị mất chỉ là 20-50 dòng đầu tiên — nhỏ hơn 1% của tổng số 2,500 ngày</w:t>
        <w:br/>
        <w:t>- Các phương pháp khác có thể tạo ra artifacts không mong muốn trong dữ liệu</w:t>
        <w:br/>
        <w:t>- Không có lý do kinh tế nào biện minh cho việc nội suy giá trị volatility_20d cho ngày đầu tiên — đó là giá trị giả tạo</w:t>
      </w:r>
    </w:p>
    <w:p>
      <w:r>
        <w:rPr>
          <w:b/>
        </w:rPr>
        <w:t>Xử Lý NaN Cho Các Biến Đặc Biệt</w:t>
      </w:r>
    </w:p>
    <w:p>
      <w:r>
        <w:t>Một số biến cần số lượng quan sát nhất định để tính toán:</w:t>
      </w:r>
    </w:p>
    <w:tbl>
      <w:tblPr>
        <w:tblStyle w:val="TableGrid"/>
        <w:tblW w:type="auto" w:w="0"/>
        <w:tblLook w:firstColumn="1" w:firstRow="1" w:lastColumn="0" w:lastRow="0" w:noHBand="0" w:noVBand="1" w:val="04A0"/>
      </w:tblPr>
      <w:tblGrid>
  </w:tblGrid>
      <w:tr/>
      <w:tr/>
      <w:tr/>
      <w:tr/>
      <w:tr/>
    </w:tbl>
    <w:p>
      <w:r>
        <w:t>Tất cả các biến này đã được tính sẵn trong dataset gốc. Quá trình feature engineering (tạo thêm lagged values) chỉ tạo thêm NaN ở 1-2 dòng đầu tiên, và chúng được drop trước khi huấn luyện mô hình.</w:t>
      </w:r>
    </w:p>
    <w:p>
      <w:pPr>
        <w:pStyle w:val="Heading3"/>
      </w:pPr>
      <w:r>
        <w:t>3.3.2. Xử Lý Ngày Nghỉ Lễ (Holiday Handling)</w:t>
      </w:r>
    </w:p>
    <w:p>
      <w:r>
        <w:rPr>
          <w:b/>
        </w:rPr>
        <w:t>Bản Chất Của Ngày Nghỉ Trong Thị Trường Việt Nam</w:t>
      </w:r>
    </w:p>
    <w:p>
      <w:r>
        <w:t xml:space="preserve">Thị trường chứng khoán Việt Nam nghỉ vào các ngày lễ tết theo lịch âm và lịch sự kiện. Khoảng trống lớn nhất trong dữ liệu là </w:t>
      </w:r>
      <w:r>
        <w:rPr>
          <w:b/>
        </w:rPr>
        <w:t>10 ngày liên tục</w:t>
      </w:r>
      <w:r>
        <w:t xml:space="preserve"> — tương ứng với kỳ nghỉ Tết Nguyên Đán hàng năm. Đây là hiện tượng đặc thù của thị trường Việt Nam, khác với thị trường phương Tây chỉ nghỉ 1-2 ngày.</w:t>
      </w:r>
    </w:p>
    <w:tbl>
      <w:tblPr>
        <w:tblStyle w:val="TableGrid"/>
        <w:tblW w:type="auto" w:w="0"/>
        <w:tblLook w:firstColumn="1" w:firstRow="1" w:lastColumn="0" w:lastRow="0" w:noHBand="0" w:noVBand="1" w:val="04A0"/>
      </w:tblPr>
      <w:tblGrid>
  </w:tblGrid>
      <w:tr/>
      <w:tr/>
      <w:tr/>
      <w:tr/>
      <w:tr/>
    </w:tbl>
    <w:p>
      <w:r>
        <w:t>Ngoài Tết Nguyên Đán, còn có các ngày nghỉ lễ khác nhưng khoảng gap nhỏ hơn (2-4 ngày cho các dịp lễ ngắn hạn).</w:t>
      </w:r>
    </w:p>
    <w:p>
      <w:r>
        <w:rPr>
          <w:b/>
        </w:rPr>
        <w:t>Tại Sao Không Forward-Fill Cho Ngày Nghỉ?</w:t>
      </w:r>
    </w:p>
    <w:p>
      <w:r>
        <w:t>Có thể lập luận rằng giá không thay đổi trong ngày nghỉ, nên có thể điền (forward-fill) giá của ngày cuối cùng trước kỳ nghỉ cho các ngày nghỉ. Cách làm này có hai vấn đề nghiêm trọng:</w:t>
      </w:r>
    </w:p>
    <w:p>
      <w:r>
        <w:rPr>
          <w:b/>
        </w:rPr>
        <w:t>Forward-fill tạo ra log_return = 0</w:t>
      </w:r>
      <w:r>
        <w:t>: Nếu điền giá đóng cửa ngày 28 Tết cho cả tuần nghỉ Tết, thì log_return của ngày mùng 1 Tết sẽ = ln(28Tết / 28Tết) = 0. Điều này hoàn toàn sai về mặt kinh tế — giá không thực sự "không biến động" trong kỳ nghỉ, mà đơn giản là chúng ta không quan sát được nó.</w:t>
      </w:r>
    </w:p>
    <w:p>
      <w:r>
        <w:rPr>
          <w:b/>
        </w:rPr>
        <w:t>Thị trường không hoạt động ≠ giá không đổi</w:t>
      </w:r>
      <w:r>
        <w:t>: Trong phân tích chuỗi thời gian tài chính, missing data (không có dữ liệu) không đồng nghĩa với "unchanged" (không thay đổi). Việc xử lý đúng là bỏ qua, không phải điền giả tạo.</w:t>
      </w:r>
    </w:p>
    <w:p>
      <w:r>
        <w:rPr>
          <w:b/>
        </w:rPr>
        <w:t>Chiến Lược Xử Lý Ngày Nghỉ</w:t>
      </w:r>
    </w:p>
    <w:p>
      <w:r>
        <w:t xml:space="preserve">Thay vì forward-fill, chúng tôi áp dụng chiến lược </w:t>
      </w:r>
      <w:r>
        <w:rPr>
          <w:b/>
        </w:rPr>
        <w:t>Không Xử Lý Đặc Biệt</w:t>
      </w:r>
      <w:r>
        <w:t>: các khoảng gap được giữ nguyên, và log_return được tính theo công thức gap-aware:</w:t>
      </w:r>
    </w:p>
    <w:p>
      <w:r>
        <w:t>$$log_return_t = \ln\left(\frac{close_t}{close_{t-k}}\right)$$</w:t>
      </w:r>
    </w:p>
    <w:p>
      <w:r>
        <w:t>Trong đó k là số ngày giao dịch thực tế kể từ lần giao dịch trước. Các khoảng gap &gt; 3 ngày được đánh dấu trong dataset để có thể lọc ra khi cần phân tích riêng.</w:t>
      </w:r>
    </w:p>
    <w:p>
      <w:r>
        <w:rPr>
          <w:b/>
        </w:rPr>
        <w:t>Kiểm Tra Volume = 0 (Non-Trading Days)</w:t>
      </w:r>
    </w:p>
    <w:p>
      <w:r>
        <w:t>Một cách để phát hiện ngày không có giao dịch thực sự là kiểm tra volume = 0. Kết quả:</w:t>
      </w:r>
    </w:p>
    <w:tbl>
      <w:tblPr>
        <w:tblStyle w:val="TableGrid"/>
        <w:tblW w:type="auto" w:w="0"/>
        <w:tblLook w:firstColumn="1" w:firstRow="1" w:lastColumn="0" w:lastRow="0" w:noHBand="0" w:noVBand="1" w:val="04A0"/>
      </w:tblPr>
      <w:tblGrid>
  </w:tblGrid>
      <w:tr/>
      <w:tr/>
      <w:tr/>
      <w:tr/>
    </w:tbl>
    <w:p>
      <w:r>
        <w:t>Không có ngày nào có volume = 0 trong dataset. Có thể dataset đã được pre-filtered chỉ giữ lại các ngày giao dịch, hoặc ngay cả những ngày nghỉ lễ dài vẫn được ghi nhận với giá trị volume rất nhỏ.</w:t>
      </w:r>
    </w:p>
    <w:p>
      <w:pPr>
        <w:pStyle w:val="Heading3"/>
      </w:pPr>
      <w:r>
        <w:t>3.3.3. Outlier Handling</w:t>
      </w:r>
    </w:p>
    <w:p>
      <w:r>
        <w:rPr>
          <w:b/>
        </w:rPr>
        <w:t>Phát Hiện Outliers</w:t>
      </w:r>
    </w:p>
    <w:p>
      <w:r>
        <w:t>Outliers (giá trị cực đoan) trong dữ liệu tài chính thường không phải là lỗi đo lường mà là thông tin thật — những ngày thị trường biến động mạnh bất thường do tin tức quan trọng (ví dụ: COVID-19 crash tháng 3/2020, hay các tin xấu về ngành ngân hàng).</w:t>
      </w:r>
    </w:p>
    <w:p>
      <w:r>
        <w:t>Chúng tôi sử dụng hai phương pháp phát hiện outlier:</w:t>
      </w:r>
    </w:p>
    <w:p>
      <w:r>
        <w:rPr>
          <w:b/>
        </w:rPr>
        <w:t>Kết Quả Phát Hiện Outliers Cho |log_return|</w:t>
      </w:r>
    </w:p>
    <w:tbl>
      <w:tblPr>
        <w:tblStyle w:val="TableGrid"/>
        <w:tblW w:type="auto" w:w="0"/>
        <w:tblLook w:firstColumn="1" w:firstRow="1" w:lastColumn="0" w:lastRow="0" w:noHBand="0" w:noVBand="1" w:val="04A0"/>
      </w:tblPr>
      <w:tblGrid>
  </w:tblGrid>
      <w:tr/>
      <w:tr/>
      <w:tr/>
      <w:tr/>
    </w:tbl>
    <w:p>
      <w:r>
        <w:t>Tỷ lệ outlier 3-5% — con số này cao hơn đáng kể so với kỳ vọng từ phân phối chuẩn (0.27%, tức khoảng 1 ngày trong 370 ngày). Điều này chính là bằng chứng thực nghiệm cho "fat tails" — đặc điểm phổ biến của dữ liệu tài chính.</w:t>
      </w:r>
    </w:p>
    <w:p>
      <w:r>
        <w:rPr>
          <w:b/>
        </w:rPr>
        <w:t>Quyết Định: Không Loại Bỏ Outliers</w:t>
      </w:r>
    </w:p>
    <w:p>
      <w:r>
        <w:t xml:space="preserve">Sau khi cân nhắc kỹ lưỡng, chúng tôi quyết định </w:t>
      </w:r>
      <w:r>
        <w:rPr>
          <w:b/>
        </w:rPr>
        <w:t>không loại bỏ outliers</w:t>
      </w:r>
      <w:r>
        <w:t xml:space="preserve"> vì ba lý do:</w:t>
      </w:r>
    </w:p>
    <w:p>
      <w:r>
        <w:rPr>
          <w:b/>
        </w:rPr>
        <w:t>Outliers có ý nghĩa kinh tế thật</w:t>
      </w:r>
      <w:r>
        <w:t>: Những ngày biến động cực mạnh (COVID crash, tin xấu về ngân hàng, các sự kiện chính trị) là dữ liệu quan trọng. Mô hình cần học cách xử lý những ngày này — đặc biệt quan trọng trong quản trị rủi ro.</w:t>
      </w:r>
    </w:p>
    <w:p>
      <w:r>
        <w:rPr>
          <w:b/>
        </w:rPr>
        <w:t>Loại bỏ outliers có thể làm mất thông tin quan trọng</w:t>
      </w:r>
      <w:r>
        <w:t>: Mô hình GARCH đặc biệt phụ thuộc vào các giá trị cực đoan để ước tính volatility. Loại bỏ outliers sẽ khiến GARCH đánh giá thấp (under-estimate) rủi ro thực sự.</w:t>
      </w:r>
    </w:p>
    <w:p>
      <w:r>
        <w:rPr>
          <w:b/>
        </w:rPr>
        <w:t>Mô hình tree-based (XGBoost) tự nhiên xử lý tốt outliers</w:t>
      </w:r>
      <w:r>
        <w:t>: XGBoost sử dụng cơ chế splitting (rẽ nhánh) dựa trên ngưỡng, nên một vài outliers không ảnh hưởng nhiều đến kết quả cuối cùng.</w:t>
      </w:r>
    </w:p>
    <w:p>
      <w:pPr>
        <w:pStyle w:val="Heading3"/>
      </w:pPr>
      <w:r>
        <w:t>3.3.4. Chuẩn Hóa Dữ Liệu (Data Validation)</w:t>
      </w:r>
    </w:p>
    <w:p>
      <w:r>
        <w:t>Trước khi đưa vào mô hình, dữ liệu được kiểm tra các điều kiện sau để đảm bảo tính nhất quán và hợp lý:</w:t>
      </w:r>
    </w:p>
    <w:p>
      <w:r>
        <w:rPr>
          <w:b/>
        </w:rPr>
        <w:t>1. Kiểm Tra Tính Nhất Quán OHLC</w:t>
      </w:r>
    </w:p>
    <w:p>
      <w:r>
        <w:t>Trong một ngày giao dịch, các mức giá phải thỏa mãn:</w:t>
        <w:br/>
        <w:t>- Giá cao nhất (high) phải &gt;= giá mở cửa (open), giá đóng cửa (close), và giá thấp nhất (low)</w:t>
        <w:br/>
        <w:t>- Giá thấp nhất (low) phải &lt;= giá mở cửa (open), giá đóng cửa (close), và giá cao nhất (high)</w:t>
      </w:r>
    </w:p>
    <w:p>
      <w:r>
        <w:t>Kết quả: 100% các dòng thỏa mãn điều kiện này.</w:t>
      </w:r>
    </w:p>
    <w:p>
      <w:r>
        <w:rPr>
          <w:b/>
        </w:rPr>
        <w:t>2. Kiểm Tra Volume Hợp Lệ</w:t>
      </w:r>
    </w:p>
    <w:p>
      <w:r>
        <w:t>Volume phải &gt; 0 và không vượt ngưỡng tối đa hợp lý. Chúng tôi đặt ngưỡng max volume = 100 triệu cổ phiếu/ngày — một con số cực kỳ hiếm gặp. Kết quả: không có dòng nào vi phạm.</w:t>
      </w:r>
    </w:p>
    <w:p>
      <w:r>
        <w:rPr>
          <w:b/>
        </w:rPr>
        <w:t>3. Kiểm Tra Tính Liên Tục Của Chỉ Số</w:t>
      </w:r>
    </w:p>
    <w:p>
      <w:r>
        <w:t>VNIndex và VN30 phải có giá trị hợp lý (&gt; 0) và không có nhảy vọt không giải thích được. Chúng tôi kiểm tra bằng cách so sánh phần trăm thay đổi hàng ngày với ngưỡng biên độ tối đa theo quy định của thị trường Việt Nam (hiện tại là ±10%/ngày). Kết quả: không có outlier đáng kể.</w:t>
      </w:r>
    </w:p>
    <w:p>
      <w:r>
        <w:t>──────────────────────────────────────────────────</w:t>
      </w:r>
    </w:p>
    <w:p>
      <w:pPr>
        <w:pStyle w:val="Heading2"/>
      </w:pPr>
      <w:r>
        <w:t>3.4. Kiểm Định Tính Dừng (ADF Test)</w:t>
      </w:r>
    </w:p>
    <w:p>
      <w:pPr>
        <w:pStyle w:val="Heading3"/>
      </w:pPr>
      <w:r>
        <w:t>3.4.1. Lý Thuyết Kiểm Định ADF</w:t>
      </w:r>
    </w:p>
    <w:p>
      <w:r>
        <w:rPr>
          <w:b/>
        </w:rPr>
        <w:t>Augmented Dickey-Fuller (ADF) Test</w:t>
      </w:r>
      <w:r>
        <w:t xml:space="preserve"> là kiểm định thống kê phổ biến nhất để kiểm tra tính dừng (stationarity) của chuỗi thời gian. Khái niệm tính dừng quan trọng vì: một chuỗi dừng có mean và variance không đổi theo thời gian, trong khi chuỗi không dừng có trend hoặc thay đổi cấu trúc theo thời gian.</w:t>
      </w:r>
    </w:p>
    <w:p>
      <w:r>
        <w:t>ADF test kiểm định hai giả thuyết:</w:t>
      </w:r>
    </w:p>
    <w:p>
      <w:r>
        <w:t xml:space="preserve">Nếu p-value &lt; 0.05, chúng ta bác bỏ H₀ và kết luận chuỗi </w:t>
      </w:r>
      <w:r>
        <w:rPr>
          <w:b/>
        </w:rPr>
        <w:t>dừng</w:t>
      </w:r>
      <w:r>
        <w:t>.</w:t>
      </w:r>
    </w:p>
    <w:p>
      <w:r>
        <w:rPr>
          <w:b/>
        </w:rPr>
        <w:t>Tại Sao Tính Dừng Quan Trọng?</w:t>
      </w:r>
    </w:p>
    <w:p>
      <w:r>
        <w:t>Tính dừng là điều kiện tiên quyết cho nhiều phương pháp phân tích chuỗi thời gian vì:</w:t>
      </w:r>
    </w:p>
    <w:p>
      <w:r>
        <w:rPr>
          <w:b/>
        </w:rPr>
        <w:t>Ý nghĩa của mean và variance</w:t>
      </w:r>
      <w:r>
        <w:t>: Nếu chuỗi không dừng (ví dụ: giá cổ phiếu có xu hướng tăng theo thời gian), thì "mean" không có ý nghĩa vì nó thay đổi liên tục.</w:t>
      </w:r>
    </w:p>
    <w:p>
      <w:r>
        <w:rPr>
          <w:b/>
        </w:rPr>
        <w:t>Yêu cầu của ARIMA/GARCH</w:t>
      </w:r>
      <w:r>
        <w:t>: Các mô hình này giả định rằng phần dư (residuals) có tính dừng. Nếu dữ liệu gốc không dừng, các ước lượng tham số sẽ không đáng tin cậy.</w:t>
      </w:r>
    </w:p>
    <w:p>
      <w:r>
        <w:rPr>
          <w:b/>
        </w:rPr>
        <w:t>Tránh spurious correlations</w:t>
      </w:r>
      <w:r>
        <w:t>: Hai chuỗi không dừng có thể "có vẻ" tương quan cao chỉ vì cùng tăng theo thời gian — đây là correlation giả (spurious correlation) không có ý nghĩa kinh tế.</w:t>
      </w:r>
    </w:p>
    <w:p>
      <w:pPr>
        <w:pStyle w:val="Heading3"/>
      </w:pPr>
      <w:r>
        <w:t>3.4.2. Kết Quả ADF Test Chi Tiết</w:t>
      </w:r>
    </w:p>
    <w:p>
      <w:r>
        <w:rPr>
          <w:b/>
        </w:rPr>
        <w:t>ADF Test Cho Close Price (Giá Đóng Cửa)</w:t>
      </w:r>
    </w:p>
    <w:tbl>
      <w:tblPr>
        <w:tblStyle w:val="TableGrid"/>
        <w:tblW w:type="auto" w:w="0"/>
        <w:tblLook w:firstColumn="1" w:firstRow="1" w:lastColumn="0" w:lastRow="0" w:noHBand="0" w:noVBand="1" w:val="04A0"/>
      </w:tblPr>
      <w:tblGrid>
  </w:tblGrid>
      <w:tr/>
      <w:tr/>
      <w:tr/>
      <w:tr/>
    </w:tbl>
    <w:p>
      <w:r>
        <w:rPr>
          <w:b/>
        </w:rPr>
        <w:t>Phân tích</w:t>
      </w:r>
      <w:r>
        <w:t xml:space="preserve">: Tất cả p-values đều rất lớn (0.70-0.98 &gt;&gt; 0.05), cho thấy chuỗi giá close </w:t>
      </w:r>
      <w:r>
        <w:rPr>
          <w:b/>
        </w:rPr>
        <w:t>không dừng</w:t>
      </w:r>
      <w:r>
        <w:t xml:space="preserve"> ở cả 3 mã ngân hàng. Kết quả này </w:t>
      </w:r>
      <w:r>
        <w:rPr>
          <w:b/>
        </w:rPr>
        <w:t>hoàn toàn phù hợp với lý thuyết tài chính</w:t>
      </w:r>
      <w:r>
        <w:t>:</w:t>
      </w:r>
    </w:p>
    <w:p>
      <w:r>
        <w:rPr>
          <w:b/>
        </w:rPr>
        <w:t>ADF Test Cho Log_Return (Lợi Suất Log)</w:t>
      </w:r>
    </w:p>
    <w:tbl>
      <w:tblPr>
        <w:tblStyle w:val="TableGrid"/>
        <w:tblW w:type="auto" w:w="0"/>
        <w:tblLook w:firstColumn="1" w:firstRow="1" w:lastColumn="0" w:lastRow="0" w:noHBand="0" w:noVBand="1" w:val="04A0"/>
      </w:tblPr>
      <w:tblGrid>
  </w:tblGrid>
      <w:tr/>
      <w:tr/>
      <w:tr/>
      <w:tr/>
    </w:tbl>
    <w:p>
      <w:r>
        <w:rPr>
          <w:b/>
        </w:rPr>
        <w:t>Phân tích</w:t>
      </w:r>
      <w:r>
        <w:t xml:space="preserve">: Tất cả p-values = 0.0000 (nhỏ hơn rất nhiều so với 0.05), và ADF statistics cực kỳ âm (từ -17 đến -50), cho thấy chuỗi log_return </w:t>
      </w:r>
      <w:r>
        <w:rPr>
          <w:b/>
        </w:rPr>
        <w:t>dừng mạnh</w:t>
      </w:r>
      <w:r>
        <w:t>. Lý do rất đơn giản:</w:t>
      </w:r>
    </w:p>
    <w:p>
      <w:r>
        <w:rPr>
          <w:b/>
        </w:rPr>
        <w:t>ADF Test Cho Volatility_20d (Độ Biến Động 20 Ngày)</w:t>
      </w:r>
    </w:p>
    <w:tbl>
      <w:tblPr>
        <w:tblStyle w:val="TableGrid"/>
        <w:tblW w:type="auto" w:w="0"/>
        <w:tblLook w:firstColumn="1" w:firstRow="1" w:lastColumn="0" w:lastRow="0" w:noHBand="0" w:noVBand="1" w:val="04A0"/>
      </w:tblPr>
      <w:tblGrid>
  </w:tblGrid>
      <w:tr/>
      <w:tr/>
      <w:tr/>
      <w:tr/>
    </w:tbl>
    <w:p>
      <w:r>
        <w:rPr>
          <w:b/>
        </w:rPr>
        <w:t>Phân tích</w:t>
      </w:r>
      <w:r>
        <w:t xml:space="preserve">: Tất cả p-values &lt; 0.001 (rất significant), và ADF statistics đều âm hơn Critical Value 5%. Chuỗi volatility_20d </w:t>
      </w:r>
      <w:r>
        <w:rPr>
          <w:b/>
        </w:rPr>
        <w:t>dừng</w:t>
      </w:r>
      <w:r>
        <w:t>. Điều này có nghĩa:</w:t>
      </w:r>
    </w:p>
    <w:p>
      <w:pPr>
        <w:pStyle w:val="Heading3"/>
      </w:pPr>
      <w:r>
        <w:t>3.4.3. Tổng Hợp Kết Quả ADF</w:t>
      </w:r>
    </w:p>
    <w:tbl>
      <w:tblPr>
        <w:tblStyle w:val="TableGrid"/>
        <w:tblW w:type="auto" w:w="0"/>
        <w:tblLook w:firstColumn="1" w:firstRow="1" w:lastColumn="0" w:lastRow="0" w:noHBand="0" w:noVBand="1" w:val="04A0"/>
      </w:tblPr>
      <w:tblGrid>
  </w:tblGrid>
      <w:tr/>
      <w:tr/>
      <w:tr/>
      <w:tr/>
    </w:tbl>
    <w:p>
      <w:pPr>
        <w:pStyle w:val="Heading3"/>
      </w:pPr>
      <w:r>
        <w:t>3.4.4. Hệ Quả Cho Việc Xây Dựng Mô Hình</w:t>
      </w:r>
    </w:p>
    <w:p>
      <w:r>
        <w:t>Từ kết quả ADF, chúng tôi rút ra các hệ quả quan trọng cho việc lựa chọn và thiết kế mô hình:</w:t>
      </w:r>
    </w:p>
    <w:p>
      <w:r>
        <w:rPr>
          <w:b/>
        </w:rPr>
        <w:t>Không nên dùng giá close trực tiếp cho ARIMA/GARCH</w:t>
      </w:r>
      <w:r>
        <w:t>: Vì close không dừng, các ước lượng tham số sẽ không đáng tin cậy (spurious). Thay vào đó, nên dùng log_return.</w:t>
      </w:r>
    </w:p>
    <w:p>
      <w:r>
        <w:rPr>
          <w:b/>
        </w:rPr>
        <w:t>Log_return là dừng, phù hợp cho tất cả các mô hình</w:t>
      </w:r>
      <w:r>
        <w:t>: ARIMA, GARCH, và các neural network đều hoạt động tốt hơn với dữ liệu dừng.</w:t>
      </w:r>
    </w:p>
    <w:p>
      <w:r>
        <w:rPr>
          <w:b/>
        </w:rPr>
        <w:t>Volatility dừng → GARCH model có cơ sở lý thuyết vững</w:t>
      </w:r>
      <w:r>
        <w:t>: GARCH giả định conditional variance là stationary. ADF test xác nhận giả định này hợp lệ cho dữ liệu của chúng ta.</w:t>
      </w:r>
    </w:p>
    <w:p>
      <w:r>
        <w:rPr>
          <w:b/>
        </w:rPr>
        <w:t>Hai chiến lược dự báo cho hai target khác nhau</w:t>
      </w:r>
      <w:r>
        <w:t>:</w:t>
      </w:r>
    </w:p>
    <w:p>
      <w:r>
        <w:t>──────────────────────────────────────────────────</w:t>
      </w:r>
    </w:p>
    <w:p>
      <w:pPr>
        <w:pStyle w:val="Heading2"/>
      </w:pPr>
      <w:r>
        <w:t>3.5. Phân Tích Mô Tả Nâng Cao (Advanced EDA)</w:t>
      </w:r>
    </w:p>
    <w:p>
      <w:pPr>
        <w:pStyle w:val="Heading3"/>
      </w:pPr>
      <w:r>
        <w:t>3.5.1. Giới Thiệu Phân Tích Mô Tả</w:t>
      </w:r>
    </w:p>
    <w:p>
      <w:r>
        <w:t xml:space="preserve">Phân tích mô tả cơ bản (mean, std, min, max) cho ta cái nhìn tổng quan. Nhưng để hiểu sâu hơn về </w:t>
      </w:r>
      <w:r>
        <w:rPr>
          <w:b/>
        </w:rPr>
        <w:t>hình dạng phân phối</w:t>
      </w:r>
      <w:r>
        <w:t xml:space="preserve"> của dữ liệu — đặc biệt quan trọng cho quản trị rủi ro — chúng ta cần đến hai đặc trưng thống kê nâng cao: </w:t>
      </w:r>
      <w:r>
        <w:rPr>
          <w:b/>
        </w:rPr>
        <w:t>Skewness</w:t>
      </w:r>
      <w:r>
        <w:t xml:space="preserve"> (độ nghiêng) và </w:t>
      </w:r>
      <w:r>
        <w:rPr>
          <w:b/>
        </w:rPr>
        <w:t>Kurtosis</w:t>
      </w:r>
      <w:r>
        <w:t xml:space="preserve"> (độ nhọn).</w:t>
      </w:r>
    </w:p>
    <w:p>
      <w:r>
        <w:rPr>
          <w:b/>
        </w:rPr>
        <w:t>Tại Sao Skewness và Kurtosis Quan Trọng Cho Tài Chính?</w:t>
      </w:r>
    </w:p>
    <w:p>
      <w:r>
        <w:t>Trong lý thuyết tài chính cổ điển, lợi suất cổ phiếu được giả định tuân theo phân phối chuẩn (normal distribution). Phân phối chuẩn có hai đặc điểm:</w:t>
        <w:br/>
        <w:t xml:space="preserve">- </w:t>
      </w:r>
      <w:r>
        <w:rPr>
          <w:b/>
        </w:rPr>
        <w:t>Skewness = 0</w:t>
      </w:r>
      <w:r>
        <w:t>: Phân phối đối xứng hoàn hảo</w:t>
        <w:br/>
        <w:t xml:space="preserve">- </w:t>
      </w:r>
      <w:r>
        <w:rPr>
          <w:b/>
        </w:rPr>
        <w:t>Kurtosis = 3</w:t>
      </w:r>
      <w:r>
        <w:t>: Độ nhọn bằng phân phối chuẩn</w:t>
      </w:r>
    </w:p>
    <w:p>
      <w:r>
        <w:t xml:space="preserve">Tuy nhiên, hàng thập kỷ nghiên cứu cho thấy dữ liệu tài chính thực tế </w:t>
      </w:r>
      <w:r>
        <w:rPr>
          <w:b/>
        </w:rPr>
        <w:t>không bao giờ</w:t>
      </w:r>
      <w:r>
        <w:t xml:space="preserve"> tuân theo phân phối chuẩn:</w:t>
        <w:br/>
        <w:t xml:space="preserve">- </w:t>
      </w:r>
      <w:r>
        <w:rPr>
          <w:b/>
        </w:rPr>
        <w:t>Skewness ≠ 0</w:t>
      </w:r>
      <w:r>
        <w:t>: Lợi suất có xu hướng nghiêng về một phía — thường là phía âm (downside), nghĩa là crash xảy ra mạnh hơn bull run tương ứng</w:t>
        <w:br/>
        <w:t xml:space="preserve">- </w:t>
      </w:r>
      <w:r>
        <w:rPr>
          <w:b/>
        </w:rPr>
        <w:t>Kurtosis ≠ 3</w:t>
      </w:r>
      <w:r>
        <w:t>: Có nhiều outliers ("fat tails") hơn phân phối chuẩn — nghĩa là những sự kiện cực đoan xảy ra thường xuyên hơn đáng kể so với lý thuyết</w:t>
      </w:r>
    </w:p>
    <w:p>
      <w:r>
        <w:t xml:space="preserve">Nếu không nắm được các đặc điểm này, các mô hình quản trị rủi ro truyền thống (như Value-at-Risk, Expected Shortfall) sẽ </w:t>
      </w:r>
      <w:r>
        <w:rPr>
          <w:b/>
        </w:rPr>
        <w:t>systematically đánh giá thấp</w:t>
      </w:r>
      <w:r>
        <w:t xml:space="preserve"> khả năng xảy ra sự kiện cực đoan — một sai lầm có thể dẫn đến hậu quả tài chính nghiêm trọng.</w:t>
      </w:r>
    </w:p>
    <w:p>
      <w:pPr>
        <w:pStyle w:val="Heading3"/>
      </w:pPr>
      <w:r>
        <w:t>3.5.2. Skewness — Độ Nghiêng Của Phân Phối</w:t>
      </w:r>
    </w:p>
    <w:p>
      <w:r>
        <w:rPr>
          <w:b/>
        </w:rPr>
        <w:t>Định Nghĩa</w:t>
      </w:r>
    </w:p>
    <w:p>
      <w:r>
        <w:t>Skewness đo lường mức độ bất đối xứng của phân phối xung quanh mean:</w:t>
      </w:r>
    </w:p>
    <w:p>
      <w:r>
        <w:t>$$Skewness = \frac{E[(X - \mu)^3]}{\sigma^3}$$</w:t>
      </w:r>
    </w:p>
    <w:tbl>
      <w:tblPr>
        <w:tblStyle w:val="TableGrid"/>
        <w:tblW w:type="auto" w:w="0"/>
        <w:tblLook w:firstColumn="1" w:firstRow="1" w:lastColumn="0" w:lastRow="0" w:noHBand="0" w:noVBand="1" w:val="04A0"/>
      </w:tblPr>
      <w:tblGrid>
  </w:tblGrid>
      <w:tr/>
      <w:tr/>
      <w:tr/>
      <w:tr/>
    </w:tbl>
    <w:p>
      <w:r>
        <w:rPr>
          <w:b/>
        </w:rPr>
        <w:t>Kết Quả Skewness Cho Các Biến Chính</w:t>
      </w:r>
    </w:p>
    <w:tbl>
      <w:tblPr>
        <w:tblStyle w:val="TableGrid"/>
        <w:tblW w:type="auto" w:w="0"/>
        <w:tblLook w:firstColumn="1" w:firstRow="1" w:lastColumn="0" w:lastRow="0" w:noHBand="0" w:noVBand="1" w:val="04A0"/>
      </w:tblPr>
      <w:tblGrid>
  </w:tblGrid>
      <w:tr/>
      <w:tr/>
      <w:tr/>
      <w:tr/>
      <w:tr/>
      <w:tr/>
      <w:tr/>
      <w:tr/>
      <w:tr/>
    </w:tbl>
    <w:p>
      <w:r>
        <w:rPr>
          <w:b/>
        </w:rPr>
        <w:t>Phân Tích Chi Tiết</w:t>
      </w:r>
    </w:p>
    <w:p>
      <w:r>
        <w:rPr>
          <w:b/>
        </w:rPr>
        <w:t>a) Skewness của Close Price</w:t>
      </w:r>
    </w:p>
    <w:p>
      <w:r>
        <w:t>BID có skewness = 0.115 (gần 0), nghĩa là phân phối giá gần đối xứng. CTG có skew = 0.887 (dương rõ rệt), nghĩa là có nhiều ngày với giá cao bất thường so với trung bình — có thể là các đợt "pump" giá CTG trong một số giai đoạn. VCB có skew gần bằng 0 (-0.064).</w:t>
      </w:r>
    </w:p>
    <w:p>
      <w:r>
        <w:rPr>
          <w:b/>
        </w:rPr>
        <w:t>b) Skewness của Log_Return</w:t>
      </w:r>
    </w:p>
    <w:p>
      <w:r>
        <w:t>Tất cả 3 mã đều có log_return với skewness âm nhẹ:</w:t>
        <w:br/>
        <w:t>- BID: -0.121</w:t>
        <w:br/>
        <w:t>- CTG: -0.147 (âm nhất)</w:t>
        <w:br/>
        <w:t>- VCB: -0.008 (gần 0)</w:t>
      </w:r>
    </w:p>
    <w:p>
      <w:r>
        <w:t xml:space="preserve">Âm nhẹ nghĩa là: mặc dù trung bình lợi suất dương (thị trường có xu hướng tăng), nhưng </w:t>
      </w:r>
      <w:r>
        <w:rPr>
          <w:b/>
        </w:rPr>
        <w:t>downside tail dài hơn upside tail</w:t>
      </w:r>
      <w:r>
        <w:t xml:space="preserve"> — những ngày giảm mạnh tuy ít xảy ra hơn, nhưng khi xảy ra thì cường độ mạnh hơn những ngày tăng mạnh tương ứng. Đây là đặc điểm chung của dữ liệu tài chính: "crashes are faster than rallies."</w:t>
      </w:r>
    </w:p>
    <w:p>
      <w:r>
        <w:br/>
      </w:r>
      <w:r>
        <w:rPr>
          <w:i/>
        </w:rPr>
        <w:t>Hình 3.1: Phân phối log_return hàng ngày của 3 mã ngân hàng (đường đỏ = phân phối chuẩn). Đuôi mập (fat tails) thể hiện ở các cột cao hơn đường chuẩn ở hai đầu — đây là bằng chứng trực quan cho thấy outliers xảy ra thường xuyên hơn phân phối chuẩn dự đoán.</w:t>
      </w:r>
    </w:p>
    <w:p>
      <w:r>
        <w:rPr>
          <w:b/>
        </w:rPr>
        <w:t>c) Skewness của Volatility_20d</w:t>
      </w:r>
    </w:p>
    <w:p>
      <w:r>
        <w:t>Đây là skewness đáng chú ý nhất — cả 3 mã đều có volatility với skewness dương mạnh:</w:t>
        <w:br/>
        <w:t>- BID: 0.851</w:t>
        <w:br/>
        <w:t>- CTG: 1.018</w:t>
        <w:br/>
        <w:t>- VCB: 1.167</w:t>
      </w:r>
    </w:p>
    <w:p>
      <w:r>
        <w:rPr>
          <w:b/>
        </w:rPr>
        <w:t>Ý nghĩa về rủi ro</w:t>
      </w:r>
      <w:r>
        <w:t>: Volatility có phân phối right-skewed nghĩa là:</w:t>
        <w:br/>
        <w:t>- Phần lớn thời gian, volatility ở mức "bình thường" hoặc thấp hơn mean</w:t>
        <w:br/>
        <w:t>- Nhưng có những "spike" — những giai đoạn với volatility cực cao bất thường</w:t>
        <w:br/>
        <w:t>- Những spike này thường tương ứng với các sự kiện thị trường lớn (COVID crash, khủng hoảng tài chính, tin xấu về ngành ngân hàng)</w:t>
      </w:r>
    </w:p>
    <w:p>
      <w:r>
        <w:rPr>
          <w:b/>
        </w:rPr>
        <w:t>Hệ quả cho quản trị rủi ro</w:t>
      </w:r>
      <w:r>
        <w:t xml:space="preserve">: Nếu chỉ dùng mean và standard deviation của volatility để ước tính VaR, chúng ta sẽ </w:t>
      </w:r>
      <w:r>
        <w:rPr>
          <w:b/>
        </w:rPr>
        <w:t>đánh giá thấp</w:t>
      </w:r>
      <w:r>
        <w:t xml:space="preserve"> đáng kể khả năng xảy ra những ngày biến động cực mạnh.</w:t>
      </w:r>
    </w:p>
    <w:p>
      <w:pPr>
        <w:pStyle w:val="Heading3"/>
      </w:pPr>
      <w:r>
        <w:t>3.5.3. Kurtosis — Độ Nhọn Của Phân Phối</w:t>
      </w:r>
    </w:p>
    <w:p>
      <w:r>
        <w:rPr>
          <w:b/>
        </w:rPr>
        <w:t>Định Nghĩa</w:t>
      </w:r>
    </w:p>
    <w:p>
      <w:r>
        <w:t>Kurtosis đo lường "độ nặng" của các đuôi phân phối so với phân phối chuẩn:</w:t>
      </w:r>
    </w:p>
    <w:p>
      <w:r>
        <w:t>$$Kurtosis = \frac{E[(X - \mu)^4]}{\sigma^4}$$</w:t>
      </w:r>
    </w:p>
    <w:p>
      <w:r>
        <w:t xml:space="preserve">Trong thực tế, người ta thường báo cáo </w:t>
      </w:r>
      <w:r>
        <w:rPr>
          <w:b/>
        </w:rPr>
        <w:t>Excess Kurtosis</w:t>
      </w:r>
      <w:r>
        <w:t xml:space="preserve"> = Kurtosis - 3 (để so sánh trực tiếp với phân phối chuẩn):</w:t>
      </w:r>
    </w:p>
    <w:tbl>
      <w:tblPr>
        <w:tblStyle w:val="TableGrid"/>
        <w:tblW w:type="auto" w:w="0"/>
        <w:tblLook w:firstColumn="1" w:firstRow="1" w:lastColumn="0" w:lastRow="0" w:noHBand="0" w:noVBand="1" w:val="04A0"/>
      </w:tblPr>
      <w:tblGrid>
  </w:tblGrid>
      <w:tr/>
      <w:tr/>
      <w:tr/>
      <w:tr/>
    </w:tbl>
    <w:p>
      <w:r>
        <w:rPr>
          <w:b/>
        </w:rPr>
        <w:t>Kết Quả Kurtosis Cho Các Biến Chính</w:t>
      </w:r>
    </w:p>
    <w:tbl>
      <w:tblPr>
        <w:tblStyle w:val="TableGrid"/>
        <w:tblW w:type="auto" w:w="0"/>
        <w:tblLook w:firstColumn="1" w:firstRow="1" w:lastColumn="0" w:lastRow="0" w:noHBand="0" w:noVBand="1" w:val="04A0"/>
      </w:tblPr>
      <w:tblGrid>
  </w:tblGrid>
      <w:tr/>
      <w:tr/>
      <w:tr/>
      <w:tr/>
      <w:tr/>
      <w:tr/>
    </w:tbl>
    <w:p>
      <w:r>
        <w:rPr>
          <w:b/>
        </w:rPr>
        <w:t>Phân Tích Chi Tiết</w:t>
      </w:r>
    </w:p>
    <w:p>
      <w:r>
        <w:rPr>
          <w:b/>
        </w:rPr>
        <w:t>a) Kurtosis của Log_Return — Evidence Của Fat Tails</w:t>
      </w:r>
    </w:p>
    <w:p>
      <w:r>
        <w:t>Đây là kết quả quan trọng nhất về mặt rủi ro:</w:t>
      </w:r>
    </w:p>
    <w:tbl>
      <w:tblPr>
        <w:tblStyle w:val="TableGrid"/>
        <w:tblW w:type="auto" w:w="0"/>
        <w:tblLook w:firstColumn="1" w:firstRow="1" w:lastColumn="0" w:lastRow="0" w:noHBand="0" w:noVBand="1" w:val="04A0"/>
      </w:tblPr>
      <w:tblGrid>
  </w:tblGrid>
      <w:tr/>
      <w:tr/>
      <w:tr/>
      <w:tr/>
    </w:tbl>
    <w:p>
      <w:r>
        <w:rPr>
          <w:b/>
        </w:rPr>
        <w:t>Ý nghĩa</w:t>
      </w:r>
      <w:r>
        <w:t>: Excess Kurtosis của log_return từ 2.2 đến 3.1 có nghĩa là:</w:t>
        <w:br/>
        <w:t>- Phân phối có đuôi "mập" gấp khoảng 2-3 lần so với phân phối chuẩn</w:t>
        <w:br/>
        <w:t xml:space="preserve">- Xác suất xảy ra một ngày với log_return &gt; 3σ (3 standard deviations) cao hơn </w:t>
      </w:r>
      <w:r>
        <w:rPr>
          <w:b/>
        </w:rPr>
        <w:t>đáng kể</w:t>
      </w:r>
      <w:r>
        <w:t xml:space="preserve"> so với lý thuyết phân phối chuẩn</w:t>
        <w:br/>
        <w:t>- Theo phân phối chuẩn, xác suất này = 0.27% (khoảng 1 ngày trong 370 ngày)</w:t>
        <w:br/>
        <w:t xml:space="preserve">- Thực tế trong dữ liệu, chúng ta thấy khoảng 3-5% ngày có outliers (z-score &gt; 3) — cao gấp </w:t>
      </w:r>
      <w:r>
        <w:rPr>
          <w:b/>
        </w:rPr>
        <w:t>10-20 lần</w:t>
      </w:r>
      <w:r>
        <w:t xml:space="preserve"> so với dự đoán của phân phối chuẩn</w:t>
      </w:r>
    </w:p>
    <w:p>
      <w:r>
        <w:t xml:space="preserve">Đây là kết quả có ý nghĩa cực kỳ quan trọng cho quản trị rủi ro: bất kỳ mô hình nào giả định phân phối chuẩn để ước tính rủi ro sẽ </w:t>
      </w:r>
      <w:r>
        <w:rPr>
          <w:b/>
        </w:rPr>
        <w:t>systematically under-estimate</w:t>
      </w:r>
      <w:r>
        <w:t xml:space="preserve"> khả năng xảy ra sự kiện cực đoan.</w:t>
      </w:r>
    </w:p>
    <w:p>
      <w:r>
        <w:br/>
      </w:r>
      <w:r>
        <w:rPr>
          <w:i/>
        </w:rPr>
        <w:t>Hình 3.2: Boxplot so sánh |log_return| giữa 3 mã ngân hàng. VCB có biến động trung bình thấp nhất (0.0118) nhưng có outliers nhiều nhất (excess kurtosis = 5.059). Orange dots = outliers.</w:t>
      </w:r>
    </w:p>
    <w:p>
      <w:r>
        <w:rPr>
          <w:b/>
        </w:rPr>
        <w:t>b) Kurtosis của Volume — Extreme Outliers</w:t>
      </w:r>
    </w:p>
    <w:p>
      <w:r>
        <w:t>Volume có kurtosis cực cao:</w:t>
        <w:br/>
        <w:t>- BID: 29.257</w:t>
        <w:br/>
        <w:t>- VCB: 48.158</w:t>
      </w:r>
    </w:p>
    <w:p>
      <w:r>
        <w:rPr>
          <w:b/>
        </w:rPr>
        <w:t>Ý nghĩa</w:t>
      </w:r>
      <w:r>
        <w:t>: Volume có những "spike" cực đoan — những ngày thanh khoản tăng vọt gấp nhiều lần so với bình thường. Điều này thường xảy ra:</w:t>
        <w:br/>
        <w:t>- Ngày rebalancing của các quỹ lớn (cuối quý, cuối năm)</w:t>
        <w:br/>
        <w:t>- Giai đoạn FOMO (Fear Of Missing Out) — nhà đầu tư đổ xô mua khi thị trường tăng</w:t>
        <w:br/>
        <w:t>- Giai đoạn Panic Selling — nhà đầu tư bán tháo khi thị trường giảm</w:t>
        <w:br/>
        <w:t>- Trước hoặc sau các sự kiện tin tức lớn</w:t>
      </w:r>
    </w:p>
    <w:p>
      <w:r>
        <w:rPr>
          <w:b/>
        </w:rPr>
        <w:t>c) So Sánh VCB vs BID vs CTG Về Kurtosis</w:t>
      </w:r>
    </w:p>
    <w:tbl>
      <w:tblPr>
        <w:tblStyle w:val="TableGrid"/>
        <w:tblW w:type="auto" w:w="0"/>
        <w:tblLook w:firstColumn="1" w:firstRow="1" w:lastColumn="0" w:lastRow="0" w:noHBand="0" w:noVBand="1" w:val="04A0"/>
      </w:tblPr>
      <w:tblGrid>
  </w:tblGrid>
      <w:tr/>
      <w:tr/>
      <w:tr/>
      <w:tr/>
    </w:tbl>
    <w:p>
      <w:r>
        <w:t>VCB có volume kurtosis cao nhất (48.158) — nghĩa là VCB có những ngày thanh khoản "bất thường" nhiều nhất trong 3 mã. Điều này phù hợp với đặc điểm của VCB là blue-chip hàng đầu, thu hút sự chú ý của nhiều nhà đầu tư tổ chức — khi có tin tức, thanh khoản VCB biến động mạnh hơn các mã khác.</w:t>
      </w:r>
    </w:p>
    <w:p>
      <w:pPr>
        <w:pStyle w:val="Heading3"/>
      </w:pPr>
      <w:r>
        <w:t>3.5.4. Phân Tích Rủi Ro Theo "ADN" Của Từng Mã</w:t>
      </w:r>
    </w:p>
    <w:p>
      <w:r>
        <w:t>Kết hợp Skewness và Kurtosis, chúng ta có thể mô tả "ADN rủi ro" (risk DNA) — tức là bản chất rủi ro đặc trưng của từng mã ngân hàng:</w:t>
      </w:r>
    </w:p>
    <w:p>
      <w:r>
        <w:rPr>
          <w:b/>
        </w:rPr>
        <w:t>BID — "Retail Momentum Bank"</w:t>
      </w:r>
    </w:p>
    <w:tbl>
      <w:tblPr>
        <w:tblStyle w:val="TableGrid"/>
        <w:tblW w:type="auto" w:w="0"/>
        <w:tblLook w:firstColumn="1" w:firstRow="1" w:lastColumn="0" w:lastRow="0" w:noHBand="0" w:noVBand="1" w:val="04A0"/>
      </w:tblPr>
      <w:tblGrid>
  </w:tblGrid>
      <w:tr/>
      <w:tr/>
      <w:tr/>
      <w:tr/>
      <w:tr/>
    </w:tbl>
    <w:p>
      <w:r>
        <w:rPr>
          <w:b/>
        </w:rPr>
        <w:t>ADN Rủi Ro BID</w:t>
      </w:r>
      <w:r>
        <w:t>: BID mang đặc điểm của cổ phiếu bị chi phối bởi nhà đầu tư cá nhân (retail-dominated): thanh khoản có thể "bùng nổ" bất ngờ (volume spikes), nhưng giá cổ phiếu ít khi có những outlier values cực đoan. Các nhà đầu tư cá nhân thường giao dịch theo momentum — tạo ra những đợt tăng/giảm mạnh bất thường trong volume nhưng không nhất thiết tạo ra outliers trong giá.</w:t>
      </w:r>
    </w:p>
    <w:p>
      <w:r>
        <w:rPr>
          <w:b/>
        </w:rPr>
        <w:t>CTG — "Macro-Sensitive Bank"</w:t>
      </w:r>
    </w:p>
    <w:tbl>
      <w:tblPr>
        <w:tblStyle w:val="TableGrid"/>
        <w:tblW w:type="auto" w:w="0"/>
        <w:tblLook w:firstColumn="1" w:firstRow="1" w:lastColumn="0" w:lastRow="0" w:noHBand="0" w:noVBand="1" w:val="04A0"/>
      </w:tblPr>
      <w:tblGrid>
  </w:tblGrid>
      <w:tr/>
      <w:tr/>
      <w:tr/>
      <w:tr/>
      <w:tr/>
    </w:tbl>
    <w:p>
      <w:r>
        <w:rPr>
          <w:b/>
        </w:rPr>
        <w:t>ADN Rủi Ro CTG</w:t>
      </w:r>
      <w:r>
        <w:t>: CTG có downside skewness âm mạnh nhất (-0.147), nghĩa là khi thị trường giảm, CTG có xu hướng giảm mạnh hơn mức trung bình. Đây là đặc điểm rủi ro quan trọng cho quản trị danh mục: CTG không chỉ biến động nhiều (volatility cao) mà còn có xu hướng "rơi tự do" nhanh hơn trong các giai đoạn xấu. Volume tương đối ổn định (kurtosis thấp nhất), cho thấy CTG ít bị ảnh hưởng bởi hiện tượng "retail stampede" — các đợt mua/bán hối hả của nhà đầu tư cá nhân.</w:t>
      </w:r>
    </w:p>
    <w:p>
      <w:r>
        <w:rPr>
          <w:b/>
        </w:rPr>
        <w:t>VCB — "Market-Following Blue-Chip"</w:t>
      </w:r>
    </w:p>
    <w:tbl>
      <w:tblPr>
        <w:tblStyle w:val="TableGrid"/>
        <w:tblW w:type="auto" w:w="0"/>
        <w:tblLook w:firstColumn="1" w:firstRow="1" w:lastColumn="0" w:lastRow="0" w:noHBand="0" w:noVBand="1" w:val="04A0"/>
      </w:tblPr>
      <w:tblGrid>
  </w:tblGrid>
      <w:tr/>
      <w:tr/>
      <w:tr/>
      <w:tr/>
      <w:tr/>
    </w:tbl>
    <w:p>
      <w:r>
        <w:rPr>
          <w:b/>
        </w:rPr>
        <w:t>ADN Rủi Ro VCB</w:t>
      </w:r>
      <w:r>
        <w:t xml:space="preserve">: VCB có log_return gần đối xứng nhất (skewness ≈ 0), nghĩa là upside và downside equally likely — không biased về một hướng. Nhưng điểm đáng chú ý là fat tails mạnh nhất (kurtosis = 3.090), nghĩa là: mặc dù xác suất tăng và giảm như nhau, nhưng </w:t>
      </w:r>
      <w:r>
        <w:rPr>
          <w:b/>
        </w:rPr>
        <w:t>cường độ của các movement cực đoan là lớn nhất</w:t>
      </w:r>
      <w:r>
        <w:t xml:space="preserve"> trong 3 mã. Volume kurtosis cực cao (48.158) cho thấy VCB thu hút sự chú ý thị trường cực đoan — có thể là do VCB là blue-chip lớn nhất, được nhiều quỹ theo dõi, nên tin tức tốt/xấu tạo ra phản ứng mạnh hơn.</w:t>
      </w:r>
    </w:p>
    <w:p>
      <w:pPr>
        <w:pStyle w:val="Heading3"/>
      </w:pPr>
      <w:r>
        <w:t>3.5.5. Tổng Hợp So Sánh Ba Mã</w:t>
      </w:r>
    </w:p>
    <w:p>
      <w:r>
        <w:rPr>
          <w:b/>
        </w:rPr>
        <w:t>Bảng Tổng Hợp Skewness &amp; Kurtosis</w:t>
      </w:r>
    </w:p>
    <w:tbl>
      <w:tblPr>
        <w:tblStyle w:val="TableGrid"/>
        <w:tblW w:type="auto" w:w="0"/>
        <w:tblLook w:firstColumn="1" w:firstRow="1" w:lastColumn="0" w:lastRow="0" w:noHBand="0" w:noVBand="1" w:val="04A0"/>
      </w:tblPr>
      <w:tblGrid>
  </w:tblGrid>
      <w:tr/>
      <w:tr/>
      <w:tr/>
      <w:tr/>
    </w:tbl>
    <w:p>
      <w:r>
        <w:t>Ghi chú: Return Kurt = log_return excess kurtosis; |Return| Kurt = |log_return| excess kurtosis; Vol Kurt = volatility_20d excess kurtosis</w:t>
      </w:r>
    </w:p>
    <w:p>
      <w:r>
        <w:rPr>
          <w:b/>
        </w:rPr>
        <w:t>Ba Điểm Chính Rút Ra Từ Phân Tích EDA</w:t>
      </w:r>
    </w:p>
    <w:p>
      <w:r>
        <w:rPr>
          <w:b/>
        </w:rPr>
        <w:t>Tất cả cổ phiếu đều có fat tails (Excess Kurtosis &gt; 0)</w:t>
      </w:r>
      <w:r>
        <w:t xml:space="preserve">: |log_return| có excess kurtosis từ 3.0 đến 5.1, cao hơn nhiều so với phân phối chuẩn. Điều này có nghĩa là các mô hình dự báo rủi ro truyền thống (dựa trên giả định phân phối chuẩn) sẽ </w:t>
      </w:r>
      <w:r>
        <w:rPr>
          <w:b/>
        </w:rPr>
        <w:t>systematically underestimate</w:t>
      </w:r>
      <w:r>
        <w:t xml:space="preserve"> khả năng xảy ra sự kiện cực đoan. Trong thực tế, một ngày "5-sigma event" xảy ra thường xuyên hơn nhiều so với lý thuyết phân phối chuẩn dự đoán.</w:t>
      </w:r>
    </w:p>
    <w:p>
      <w:r>
        <w:rPr>
          <w:b/>
        </w:rPr>
        <w:t>CTG có downside bias rõ rệt nhất</w:t>
      </w:r>
      <w:r>
        <w:t xml:space="preserve"> (log_return skewness = -0.147): Trong các giai đoạn thị trường xấu, CTG có xu hướng giảm mạnh hơn BID và VCB. Đây là thông tin quan trọng cho quản trị rủi ro danh mục chứng khoán ngân hàng: khi xây dựng danh mục, CTG cần được đánh giá rủi ro cao hơn trong các kịch bản thị trường giảm.</w:t>
      </w:r>
    </w:p>
    <w:p>
      <w:r>
        <w:rPr>
          <w:b/>
        </w:rPr>
        <w:t>VCB có fat tails mạnh nhất</w:t>
      </w:r>
      <w:r>
        <w:t xml:space="preserve"> (|log_return| excess kurtosis = 5.059): VCB có biến động cực đoan nhiều nhất trong 3 mã. Đặc biệt, VCB có log_return skewness gần 0 (-0.008), nghĩa là upside và downside equally likely, nhưng khi xảy ra thì cường độ mạnh — đây là profile của một cổ phiếu "volatile but symmetric."</w:t>
      </w:r>
    </w:p>
    <w:p>
      <w:r>
        <w:rPr>
          <w:b/>
        </w:rPr>
        <w:t>Hệ Quả Cho Việc Chọn Mô Hình</w:t>
      </w:r>
    </w:p>
    <w:tbl>
      <w:tblPr>
        <w:tblStyle w:val="TableGrid"/>
        <w:tblW w:type="auto" w:w="0"/>
        <w:tblLook w:firstColumn="1" w:firstRow="1" w:lastColumn="0" w:lastRow="0" w:noHBand="0" w:noVBand="1" w:val="04A0"/>
      </w:tblPr>
      <w:tblGrid>
  </w:tblGrid>
      <w:tr/>
      <w:tr/>
      <w:tr/>
      <w:tr/>
      <w:tr/>
    </w:tbl>
    <w:p>
      <w:r>
        <w:t>──────────────────────────────────────────────────</w:t>
      </w:r>
    </w:p>
    <w:p>
      <w:pPr>
        <w:pStyle w:val="Heading2"/>
      </w:pPr>
      <w:r>
        <w:t>3.6. Tóm Tắt Chương 3</w:t>
      </w:r>
    </w:p>
    <w:p>
      <w:r>
        <w:t>Chương 3 đã trình bày chi tiết toàn bộ quy trình từ thu thập dữ liệu thô đến khi có bộ dữ liệu sẵn sàng cho mô hình dự báo.</w:t>
      </w:r>
    </w:p>
    <w:p>
      <w:r>
        <w:rPr>
          <w:b/>
        </w:rPr>
        <w:t>3.1. Nguồn dữ liệu</w:t>
      </w:r>
      <w:r>
        <w:t>: Dữ liệu được thu thập từ ba nguồn chính thức — Yahoo Finance (giá OHLCV), Investing.com (VNIndex, VN30), và Ngân hàng Nhà nước Việt Nam (USD/VND, lãi suất) — bao gồm 7,515 ngày giao dịch từ 2016-2026 cho 3 mã ngân hàng BID, CTG, VCB, đại diện cho ba phân khúc khác nhau của thị trường.</w:t>
      </w:r>
    </w:p>
    <w:p>
      <w:r>
        <w:rPr>
          <w:b/>
        </w:rPr>
        <w:t>3.2. Mô tả biến số</w:t>
      </w:r>
      <w:r>
        <w:t>: 25 biến được phân thành 16 Technical indicators và 9 Macro indicators. Hai biến target được xác định: close price (dự báo giá) và |log_return| (dự báo biến động). Mỗi biến được giải thích ý nghĩa kinh tế và vai trò trong mô hình.</w:t>
      </w:r>
    </w:p>
    <w:p>
      <w:r>
        <w:rPr>
          <w:b/>
        </w:rPr>
        <w:t>3.3. Làm sạch dữ liệu</w:t>
      </w:r>
      <w:r>
        <w:t>: Dataset gốc không có NaN values. Xử lý ngày nghỉ Tết (gap 10 ngày) bằng cách không forward-fill mà giữ nguyên gap. Outliers (3-5% của dữ liệu) được giữ lại vì chúng mang thông tin kinh tế thật về các sự kiện thị trường cực đoan.</w:t>
      </w:r>
    </w:p>
    <w:p>
      <w:r>
        <w:rPr>
          <w:b/>
        </w:rPr>
        <w:t>3.4. Kiểm định ADF</w:t>
      </w:r>
      <w:r>
        <w:t>: Close price không dừng (phù hợp với lý thuyết martingale). Log_return và volatility_20d đều dừng, đảm bảo cơ sở lý thuyết vững cho GARCH và các mô hình time series khác.</w:t>
      </w:r>
    </w:p>
    <w:p>
      <w:r>
        <w:rPr>
          <w:b/>
        </w:rPr>
        <w:t>3.5. Phân tích mô tả nâng cao</w:t>
      </w:r>
      <w:r>
        <w:t>: Tất cả các mã đều có |log_return| với fat tails (excess kurtosis = 3.0-5.1), nghĩa là outliers xảy ra thường xuyên hơn đáng kể so với dự đoán của phân phối chuẩn. CTG có downside skewness mạnh nhất (-0.147), trong khi VCB có fat tails mạnh nhất (excess kurtosis = 5.059). Mỗi mã có "ADN rủi ro" riêng: BID = retail momentum, CTG = macro-sensitive, VCB = market-following blue-chip.</w:t>
      </w:r>
    </w:p>
    <w:p>
      <w:r>
        <w:t>Những phát hiện từ chương này tạo nền tảng cho việc lựa chọn và thiết kế các mô hình dự báo trong các chương tiếp theo.</w:t>
      </w:r>
    </w:p>
    <w:p>
      <w:r>
        <w:t>──────────────────────────────────────────────────</w:t>
      </w:r>
    </w:p>
    <w:p>
      <w:pPr>
        <w:pStyle w:val="Heading2"/>
      </w:pPr>
      <w:r>
        <w:t>Tài Liệu Liên Quan</w:t>
      </w:r>
    </w:p>
    <w:p>
      <w:pPr>
        <w:pStyle w:val="Heading2"/>
      </w:pPr>
      <w:r>
        <w:t>Nguồn Tham Khảo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