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6f526cdb60723b698c6e051636eec595857f6c"/>
    <w:p>
      <w:pPr>
        <w:pStyle w:val="Heading1"/>
      </w:pPr>
      <w:r>
        <w:t xml:space="preserve">CHƯƠNG 3: BỘ DỮ LIỆU, BIẾN SỐ VÀ QUY TRÌNH TIỀN XỬ LÝ</w:t>
      </w:r>
    </w:p>
    <w:p>
      <w:pPr>
        <w:pStyle w:val="FirstParagraph"/>
      </w:pPr>
      <w:r>
        <w:t xml:space="preserve">Chương này trình bày chi tiết toàn bộ quy trình từ khâu thu thập nguồn dữ liệu thô đến khi xây dựng hoàn chỉnh bộ dữ liệu phục vụ cho các mô hình dự báo. Do đặc thù của bài toán dự báo tài chính, dữ liệu không chỉ bao gồm thông tin nội tại của cổ phiếu mà còn chứa các chỉ báo kinh tế vĩ mô. Nội dung chương này tương đương với quy trình thiết lập, tiền xử lý và phân tích khám phá dữ liệu (EDA) nhằm đảm bảo tính hợp lệ, tính dừng và độ tin cậy của đầu vào trước khi tiến hành mô hình hóa.</w:t>
      </w:r>
    </w:p>
    <w:p>
      <w:r>
        <w:pict>
          <v:rect style="width:0;height:1.5pt" o:hralign="center" o:hrstd="t" o:hr="t"/>
        </w:pict>
      </w:r>
    </w:p>
    <w:bookmarkStart w:id="12" w:name="nguồn-dữ-liệu-và-cấu-trúc-bộ-dữ-liệu"/>
    <w:p>
      <w:pPr>
        <w:pStyle w:val="Heading2"/>
      </w:pPr>
      <w:r>
        <w:t xml:space="preserve">3.1. Nguồn Dữ Liệu Và Cấu Trúc Bộ Dữ Liệu</w:t>
      </w:r>
    </w:p>
    <w:bookmarkStart w:id="9" w:name="tổng-quan-nguồn-dữ-liệu"/>
    <w:p>
      <w:pPr>
        <w:pStyle w:val="Heading3"/>
      </w:pPr>
      <w:r>
        <w:t xml:space="preserve">3.1.1. Tổng Quan Nguồn Dữ Liệu</w:t>
      </w:r>
    </w:p>
    <w:p>
      <w:pPr>
        <w:pStyle w:val="FirstParagraph"/>
      </w:pPr>
      <w:r>
        <w:t xml:space="preserve">Để đảm bảo phản ánh đầy đủ bối cảnh kinh tế vĩ mô Việt Nam cũng như hành vi riêng biệt của từng cổ phiếu ngân hàng, nghiên cứu đã tiến hành thu thập dữ liệu từ ba nguồn độc lập uy tín. Khoảng thời gian khảo sát kéo dài 10 năm, từ</w:t>
      </w:r>
      <w:r>
        <w:t xml:space="preserve"> </w:t>
      </w:r>
      <w:r>
        <w:rPr>
          <w:b/>
          <w:bCs/>
        </w:rPr>
        <w:t xml:space="preserve">04/02/2016 đến 27/02/2026</w:t>
      </w:r>
      <w:r>
        <w:t xml:space="preserve">, tương đương khoảng</w:t>
      </w:r>
      <w:r>
        <w:t xml:space="preserve"> </w:t>
      </w:r>
      <w:r>
        <w:rPr>
          <w:b/>
          <w:bCs/>
        </w:rPr>
        <w:t xml:space="preserve">2,495 - 2,510 ngày giao dịch</w:t>
      </w:r>
      <w:r>
        <w:t xml:space="preserve"> </w:t>
      </w:r>
      <w:r>
        <w:t xml:space="preserve">cho mỗi mã cổ phiếu.</w:t>
      </w:r>
    </w:p>
    <w:p>
      <w:pPr>
        <w:pStyle w:val="Compact"/>
        <w:numPr>
          <w:ilvl w:val="0"/>
          <w:numId w:val="1001"/>
        </w:numPr>
      </w:pPr>
      <w:r>
        <w:rPr>
          <w:b/>
          <w:bCs/>
        </w:rPr>
        <w:t xml:space="preserve">Yahoo Finance:</w:t>
      </w:r>
      <w:r>
        <w:t xml:space="preserve"> </w:t>
      </w:r>
      <w:r>
        <w:t xml:space="preserve">Cung cấp thông tin giao dịch vi mô hàng ngày của 3 mã ngân hàng (Giá OHLCV). Dữ liệu tại đây đã được điều chỉnh (adjusted) cho các sự kiện chia tách cổ phiếu hoặc trả cổ tức, đảm bảo chuỗi giá phản ánh chính xác giá trị thực tế của doanh nghiệp theo thời gian.</w:t>
      </w:r>
    </w:p>
    <w:p>
      <w:pPr>
        <w:pStyle w:val="Compact"/>
        <w:numPr>
          <w:ilvl w:val="0"/>
          <w:numId w:val="1001"/>
        </w:numPr>
      </w:pPr>
      <w:r>
        <w:rPr>
          <w:b/>
          <w:bCs/>
        </w:rPr>
        <w:t xml:space="preserve">Investing.com:</w:t>
      </w:r>
      <w:r>
        <w:t xml:space="preserve"> </w:t>
      </w:r>
      <w:r>
        <w:t xml:space="preserve">Cung cấp dữ liệu vĩ mô về chỉ số thị trường chứng khoán (VNIndex, VN30), đại diện cho xu hướng chung của toàn thị trường chứng khoán Việt Nam.</w:t>
      </w:r>
    </w:p>
    <w:p>
      <w:pPr>
        <w:pStyle w:val="Compact"/>
        <w:numPr>
          <w:ilvl w:val="0"/>
          <w:numId w:val="1001"/>
        </w:numPr>
      </w:pPr>
      <w:r>
        <w:rPr>
          <w:b/>
          <w:bCs/>
        </w:rPr>
        <w:t xml:space="preserve">Ngân Hàng Nhà Nước Việt Nam (NHNN):</w:t>
      </w:r>
      <w:r>
        <w:t xml:space="preserve"> </w:t>
      </w:r>
      <w:r>
        <w:t xml:space="preserve">Cung cấp dữ liệu vĩ mô về chi phí vốn và tỷ giá, bao gồm Tỷ giá trung tâm USD/VND và Lãi suất liên ngân hàng qua đêm.</w:t>
      </w:r>
    </w:p>
    <w:p>
      <w:pPr>
        <w:pStyle w:val="FirstParagraph"/>
      </w:pPr>
      <w:r>
        <w:t xml:space="preserve">Giai đoạn 10 năm này bao trùm nhiều chu kỳ kinh tế và các sự kiện lớn như: đại dịch COVID-19, chu kỳ thắt chặt/nới lỏng tiền tệ của FED và những biến động mạnh của tỷ giá USD/VND. Sự đa dạng về điều kiện thị trường giúp mô hình dự báo học được các mẫu hình (patterns) thay đổi linh hoạt từ trạng thái bình ổn đến khủng hoảng.</w:t>
      </w:r>
    </w:p>
    <w:bookmarkEnd w:id="9"/>
    <w:bookmarkStart w:id="10" w:name="ba-mã-cổ-phiếu-ngân-hàng-đại-diện"/>
    <w:p>
      <w:pPr>
        <w:pStyle w:val="Heading3"/>
      </w:pPr>
      <w:r>
        <w:t xml:space="preserve">3.1.2. Ba Mã Cổ Phiếu Ngân Hàng Đại Diện</w:t>
      </w:r>
    </w:p>
    <w:p>
      <w:pPr>
        <w:pStyle w:val="FirstParagraph"/>
      </w:pPr>
      <w:r>
        <w:t xml:space="preserve">Nghiên cứu tập trung vào ba ngân hàng thương mại niêm yết lớn nhất Việt Nam. Việc lựa chọn không mang tính ngẫu nhiên mà đại diện cho ba phân khúc khác biệt trên thị trường, giúp kiểm chứng năng lực tổng quát hóa của các mô hình dự báo:</w:t>
      </w:r>
      <w:r>
        <w:t xml:space="preserve"> </w:t>
      </w:r>
      <w:r>
        <w:t xml:space="preserve">*</w:t>
      </w:r>
      <w:r>
        <w:t xml:space="preserve"> </w:t>
      </w:r>
      <w:r>
        <w:rPr>
          <w:b/>
          <w:bCs/>
        </w:rPr>
        <w:t xml:space="preserve">BID (Ngân hàng TMCP Đầu tư và Phát triển Việt Nam - BIDV):</w:t>
      </w:r>
      <w:r>
        <w:t xml:space="preserve"> </w:t>
      </w:r>
      <w:r>
        <w:t xml:space="preserve">Ngân hàng quốc doanh có quy mô tài sản lớn nhất. Cổ phiếu có mức giá tương đối thấp so với cùng kỳ, thanh khoản trung bình và chịu ảnh hưởng đáng kể từ dòng tiền của nhà đầu tư cá nhân.</w:t>
      </w:r>
      <w:r>
        <w:t xml:space="preserve"> </w:t>
      </w:r>
      <w:r>
        <w:t xml:space="preserve">*</w:t>
      </w:r>
      <w:r>
        <w:t xml:space="preserve"> </w:t>
      </w:r>
      <w:r>
        <w:rPr>
          <w:b/>
          <w:bCs/>
        </w:rPr>
        <w:t xml:space="preserve">CTG (Ngân hàng TMCP Công thương Việt Nam - VietinBank):</w:t>
      </w:r>
      <w:r>
        <w:t xml:space="preserve"> </w:t>
      </w:r>
      <w:r>
        <w:t xml:space="preserve">Ngân hàng quốc doanh có mức thanh khoản cực kỳ cao. Cổ phiếu CTG rất nhạy cảm với các yếu tố vĩ mô và sự thay đổi chính sách tiền tệ.</w:t>
      </w:r>
      <w:r>
        <w:t xml:space="preserve"> </w:t>
      </w:r>
      <w:r>
        <w:t xml:space="preserve">*</w:t>
      </w:r>
      <w:r>
        <w:t xml:space="preserve"> </w:t>
      </w:r>
      <w:r>
        <w:rPr>
          <w:b/>
          <w:bCs/>
        </w:rPr>
        <w:t xml:space="preserve">VCB (Ngân hàng TMCP Ngoại thương Việt Nam - Vietcombank):</w:t>
      </w:r>
      <w:r>
        <w:t xml:space="preserve"> </w:t>
      </w:r>
      <w:r>
        <w:t xml:space="preserve">Ngân hàng thương mại cổ phần tư nhân lớn nhất (tính theo vốn hóa). Đây là cổ phiếu</w:t>
      </w:r>
      <w:r>
        <w:t xml:space="preserve"> </w:t>
      </w:r>
      <w:r>
        <w:t xml:space="preserve">“blue-chip”</w:t>
      </w:r>
      <w:r>
        <w:t xml:space="preserve"> </w:t>
      </w:r>
      <w:r>
        <w:t xml:space="preserve">mang tính dẫn dắt thị trường, thường có xu hướng biến động sát với chỉ số VNIndex.</w:t>
      </w:r>
    </w:p>
    <w:bookmarkEnd w:id="10"/>
    <w:bookmarkStart w:id="11" w:name="Xe4591e8fdbfd6ff71f8771f02d1237dc000e22b"/>
    <w:p>
      <w:pPr>
        <w:pStyle w:val="Heading3"/>
      </w:pPr>
      <w:r>
        <w:t xml:space="preserve">3.1.3. Cấu Trúc 3 Bộ Dữ Liệu Hiện Tại (Dataset Structure)</w:t>
      </w:r>
    </w:p>
    <w:p>
      <w:pPr>
        <w:pStyle w:val="FirstParagraph"/>
      </w:pPr>
      <w:r>
        <w:t xml:space="preserve">Thay vì gộp chung vào một file master khổng lồ, dữ liệu được tiền xử lý và tách lập thành ba bộ dữ liệu độc lập tương ứng với ba mã cổ phiếu:</w:t>
      </w:r>
      <w:r>
        <w:t xml:space="preserve"> </w:t>
      </w:r>
      <w:r>
        <w:rPr>
          <w:rStyle w:val="VerbatimChar"/>
        </w:rPr>
        <w:t xml:space="preserve">banks_BID_dataset.csv</w:t>
      </w:r>
      <w:r>
        <w:t xml:space="preserve">,</w:t>
      </w:r>
      <w:r>
        <w:t xml:space="preserve"> </w:t>
      </w:r>
      <w:r>
        <w:rPr>
          <w:rStyle w:val="VerbatimChar"/>
        </w:rPr>
        <w:t xml:space="preserve">banks_CTG_dataset.csv</w:t>
      </w:r>
      <w:r>
        <w:t xml:space="preserve">, và</w:t>
      </w:r>
      <w:r>
        <w:t xml:space="preserve"> </w:t>
      </w:r>
      <w:r>
        <w:rPr>
          <w:rStyle w:val="VerbatimChar"/>
        </w:rPr>
        <w:t xml:space="preserve">banks_VCB_dataset.csv</w:t>
      </w:r>
      <w:r>
        <w:t xml:space="preserve">. Việc tổ chức như vậy đáp ứng trực tiếp yêu cầu huấn luyện mô hình dự báo chuỗi thời gian (Time-series) riêng biệt cho từng mã, cung cấp cho các thuật toán một luồng thông tin biệt lập để tránh hiện tượng rò rỉ dữ liệu (data leakage) giữa các cổ phiếu.</w:t>
      </w:r>
    </w:p>
    <w:p>
      <w:pPr>
        <w:pStyle w:val="BodyText"/>
      </w:pPr>
      <w:r>
        <w:t xml:space="preserve">Mỗi bộ dữ liệu có kích thước dao động khoảng 2,500 dòng (quan sát) tương ứng với số ngày giao dịch lịch sử, và</w:t>
      </w:r>
      <w:r>
        <w:t xml:space="preserve"> </w:t>
      </w:r>
      <w:r>
        <w:rPr>
          <w:b/>
          <w:bCs/>
        </w:rPr>
        <w:t xml:space="preserve">17 trường thông tin (cột)</w:t>
      </w:r>
      <w:r>
        <w:t xml:space="preserve"> </w:t>
      </w:r>
      <w:r>
        <w:t xml:space="preserve">được đồng bộ cấu trúc như sau: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Cột</w:t>
            </w:r>
          </w:p>
        </w:tc>
        <w:tc>
          <w:tcPr/>
          <w:p>
            <w:pPr>
              <w:pStyle w:val="Compact"/>
              <w:jc w:val="left"/>
            </w:pPr>
            <w:r>
              <w:t xml:space="preserve">Kiểu Dữ Liệu</w:t>
            </w:r>
          </w:p>
        </w:tc>
        <w:tc>
          <w:tcPr/>
          <w:p>
            <w:pPr>
              <w:pStyle w:val="Compact"/>
              <w:jc w:val="left"/>
            </w:pPr>
            <w:r>
              <w:t xml:space="preserve">Nguồn</w:t>
            </w:r>
          </w:p>
        </w:tc>
        <w:tc>
          <w:tcPr/>
          <w:p>
            <w:pPr>
              <w:pStyle w:val="Compact"/>
              <w:jc w:val="left"/>
            </w:pPr>
            <w:r>
              <w:t xml:space="preserve">Mô Tả Giới Thiệu</w:t>
            </w:r>
          </w:p>
        </w:tc>
      </w:tr>
      <w:tr>
        <w:tc>
          <w:tcPr/>
          <w:p>
            <w:pPr>
              <w:pStyle w:val="Compact"/>
              <w:jc w:val="left"/>
            </w:pPr>
            <w:r>
              <w:rPr>
                <w:rStyle w:val="VerbatimChar"/>
              </w:rPr>
              <w:t xml:space="preserve">date</w:t>
            </w:r>
          </w:p>
        </w:tc>
        <w:tc>
          <w:tcPr/>
          <w:p>
            <w:pPr>
              <w:pStyle w:val="Compact"/>
              <w:jc w:val="left"/>
            </w:pPr>
            <w:r>
              <w:t xml:space="preserve">DateTime</w:t>
            </w:r>
          </w:p>
        </w:tc>
        <w:tc>
          <w:tcPr/>
          <w:p>
            <w:pPr>
              <w:pStyle w:val="Compact"/>
              <w:jc w:val="left"/>
            </w:pPr>
            <w:r>
              <w:t xml:space="preserve">System</w:t>
            </w:r>
          </w:p>
        </w:tc>
        <w:tc>
          <w:tcPr/>
          <w:p>
            <w:pPr>
              <w:pStyle w:val="Compact"/>
              <w:jc w:val="left"/>
            </w:pPr>
            <w:r>
              <w:t xml:space="preserve">Ngày giao dịch (YYYY-MM-DD). Thời gian được định dạng chuẩn.</w:t>
            </w:r>
          </w:p>
        </w:tc>
      </w:tr>
      <w:tr>
        <w:tc>
          <w:tcPr/>
          <w:p>
            <w:pPr>
              <w:pStyle w:val="Compact"/>
              <w:jc w:val="left"/>
            </w:pPr>
            <w:r>
              <w:rPr>
                <w:rStyle w:val="VerbatimChar"/>
              </w:rPr>
              <w:t xml:space="preserve">open</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close</w:t>
            </w:r>
          </w:p>
        </w:tc>
        <w:tc>
          <w:tcPr/>
          <w:p>
            <w:pPr>
              <w:pStyle w:val="Compact"/>
              <w:jc w:val="left"/>
            </w:pPr>
            <w:r>
              <w:t xml:space="preserve">Numeric</w:t>
            </w:r>
          </w:p>
        </w:tc>
        <w:tc>
          <w:tcPr/>
          <w:p>
            <w:pPr>
              <w:pStyle w:val="Compact"/>
              <w:jc w:val="left"/>
            </w:pPr>
            <w:r>
              <w:t xml:space="preserve">Yahoo Finance</w:t>
            </w:r>
          </w:p>
        </w:tc>
        <w:tc>
          <w:tcPr/>
          <w:p>
            <w:pPr>
              <w:pStyle w:val="Compact"/>
              <w:jc w:val="left"/>
            </w:pPr>
            <w:r>
              <w:t xml:space="preserve">Các mức giá Cổ phiếu cơ bản trong ngày.</w:t>
            </w:r>
          </w:p>
        </w:tc>
      </w:tr>
      <w:tr>
        <w:tc>
          <w:tcPr/>
          <w:p>
            <w:pPr>
              <w:pStyle w:val="Compact"/>
              <w:jc w:val="left"/>
            </w:pPr>
            <w:r>
              <w:rPr>
                <w:rStyle w:val="VerbatimChar"/>
              </w:rPr>
              <w:t xml:space="preserve">volume</w:t>
            </w:r>
          </w:p>
        </w:tc>
        <w:tc>
          <w:tcPr/>
          <w:p>
            <w:pPr>
              <w:pStyle w:val="Compact"/>
              <w:jc w:val="left"/>
            </w:pPr>
            <w:r>
              <w:t xml:space="preserve">Numeric</w:t>
            </w:r>
          </w:p>
        </w:tc>
        <w:tc>
          <w:tcPr/>
          <w:p>
            <w:pPr>
              <w:pStyle w:val="Compact"/>
              <w:jc w:val="left"/>
            </w:pPr>
            <w:r>
              <w:t xml:space="preserve">Yahoo Finance</w:t>
            </w:r>
          </w:p>
        </w:tc>
        <w:tc>
          <w:tcPr/>
          <w:p>
            <w:pPr>
              <w:pStyle w:val="Compact"/>
              <w:jc w:val="left"/>
            </w:pPr>
            <w:r>
              <w:t xml:space="preserve">Tổng khối lượng giao dịch cổ phiếu khớp lệnh trong ngày.</w:t>
            </w:r>
          </w:p>
        </w:tc>
      </w:tr>
      <w:tr>
        <w:tc>
          <w:tcPr/>
          <w:p>
            <w:pPr>
              <w:pStyle w:val="Compact"/>
              <w:jc w:val="left"/>
            </w:pPr>
            <w:r>
              <w:rPr>
                <w:rStyle w:val="VerbatimChar"/>
              </w:rPr>
              <w:t xml:space="preserve">ticker</w:t>
            </w:r>
          </w:p>
        </w:tc>
        <w:tc>
          <w:tcPr/>
          <w:p>
            <w:pPr>
              <w:pStyle w:val="Compact"/>
              <w:jc w:val="left"/>
            </w:pPr>
            <w:r>
              <w:t xml:space="preserve">String</w:t>
            </w:r>
          </w:p>
        </w:tc>
        <w:tc>
          <w:tcPr/>
          <w:p>
            <w:pPr>
              <w:pStyle w:val="Compact"/>
              <w:jc w:val="left"/>
            </w:pPr>
            <w:r>
              <w:t xml:space="preserve">System</w:t>
            </w:r>
          </w:p>
        </w:tc>
        <w:tc>
          <w:tcPr/>
          <w:p>
            <w:pPr>
              <w:pStyle w:val="Compact"/>
              <w:jc w:val="left"/>
            </w:pPr>
            <w:r>
              <w:t xml:space="preserve">Định danh mã cổ phiếu (BID, CTG hoặc VCB).</w:t>
            </w:r>
          </w:p>
        </w:tc>
      </w:tr>
      <w:tr>
        <w:tc>
          <w:tcPr/>
          <w:p>
            <w:pPr>
              <w:pStyle w:val="Compact"/>
              <w:jc w:val="left"/>
            </w:pPr>
            <w:r>
              <w:rPr>
                <w:rStyle w:val="VerbatimChar"/>
              </w:rPr>
              <w:t xml:space="preserve">vnindex_close</w:t>
            </w:r>
            <w:r>
              <w:t xml:space="preserve">,</w:t>
            </w:r>
            <w:r>
              <w:t xml:space="preserve"> </w:t>
            </w:r>
            <w:r>
              <w:rPr>
                <w:rStyle w:val="VerbatimChar"/>
              </w:rPr>
              <w:t xml:space="preserve">vn30_close</w:t>
            </w:r>
          </w:p>
        </w:tc>
        <w:tc>
          <w:tcPr/>
          <w:p>
            <w:pPr>
              <w:pStyle w:val="Compact"/>
              <w:jc w:val="left"/>
            </w:pPr>
            <w:r>
              <w:t xml:space="preserve">Numeric</w:t>
            </w:r>
          </w:p>
        </w:tc>
        <w:tc>
          <w:tcPr/>
          <w:p>
            <w:pPr>
              <w:pStyle w:val="Compact"/>
              <w:jc w:val="left"/>
            </w:pPr>
            <w:r>
              <w:t xml:space="preserve">Investing.com</w:t>
            </w:r>
          </w:p>
        </w:tc>
        <w:tc>
          <w:tcPr/>
          <w:p>
            <w:pPr>
              <w:pStyle w:val="Compact"/>
              <w:jc w:val="left"/>
            </w:pPr>
            <w:r>
              <w:t xml:space="preserve">Điểm số đóng cửa của chỉ số VNIndex và VN30.</w:t>
            </w:r>
          </w:p>
        </w:tc>
      </w:tr>
      <w:tr>
        <w:tc>
          <w:tcPr/>
          <w:p>
            <w:pPr>
              <w:pStyle w:val="Compact"/>
              <w:jc w:val="left"/>
            </w:pPr>
            <w:r>
              <w:rPr>
                <w:rStyle w:val="VerbatimChar"/>
              </w:rPr>
              <w:t xml:space="preserve">log_return</w:t>
            </w:r>
          </w:p>
        </w:tc>
        <w:tc>
          <w:tcPr/>
          <w:p>
            <w:pPr>
              <w:pStyle w:val="Compact"/>
              <w:jc w:val="left"/>
            </w:pPr>
            <w:r>
              <w:t xml:space="preserve">Numeric</w:t>
            </w:r>
          </w:p>
        </w:tc>
        <w:tc>
          <w:tcPr/>
          <w:p>
            <w:pPr>
              <w:pStyle w:val="Compact"/>
              <w:jc w:val="left"/>
            </w:pPr>
            <w:r>
              <w:t xml:space="preserve">Phái sinh</w:t>
            </w:r>
          </w:p>
        </w:tc>
        <w:tc>
          <w:tcPr/>
          <w:p>
            <w:pPr>
              <w:pStyle w:val="Compact"/>
              <w:jc w:val="left"/>
            </w:pPr>
            <w:r>
              <w:t xml:space="preserve">Tỷ suất sinh lợi logarit hàng ngày, được sử dụng làm target.</w:t>
            </w:r>
          </w:p>
        </w:tc>
      </w:tr>
      <w:tr>
        <w:tc>
          <w:tcPr/>
          <w:p>
            <w:pPr>
              <w:pStyle w:val="Compact"/>
              <w:jc w:val="left"/>
            </w:pPr>
            <w:r>
              <w:rPr>
                <w:rStyle w:val="VerbatimChar"/>
              </w:rPr>
              <w:t xml:space="preserve">volatility_20d</w:t>
            </w:r>
          </w:p>
        </w:tc>
        <w:tc>
          <w:tcPr/>
          <w:p>
            <w:pPr>
              <w:pStyle w:val="Compact"/>
              <w:jc w:val="left"/>
            </w:pPr>
            <w:r>
              <w:t xml:space="preserve">Numeric</w:t>
            </w:r>
          </w:p>
        </w:tc>
        <w:tc>
          <w:tcPr/>
          <w:p>
            <w:pPr>
              <w:pStyle w:val="Compact"/>
              <w:jc w:val="left"/>
            </w:pPr>
            <w:r>
              <w:t xml:space="preserve">Phái sinh</w:t>
            </w:r>
          </w:p>
        </w:tc>
        <w:tc>
          <w:tcPr/>
          <w:p>
            <w:pPr>
              <w:pStyle w:val="Compact"/>
              <w:jc w:val="left"/>
            </w:pPr>
            <w:r>
              <w:t xml:space="preserve">Độ lệch chuẩn của log_return trong chu kỳ 20 ngày gần nhất.</w:t>
            </w:r>
          </w:p>
        </w:tc>
      </w:tr>
      <w:tr>
        <w:tc>
          <w:tcPr/>
          <w:p>
            <w:pPr>
              <w:pStyle w:val="Compact"/>
              <w:jc w:val="left"/>
            </w:pPr>
            <w:r>
              <w:rPr>
                <w:rStyle w:val="VerbatimChar"/>
              </w:rPr>
              <w:t xml:space="preserve">ma20</w:t>
            </w:r>
            <w:r>
              <w:t xml:space="preserve">,</w:t>
            </w:r>
            <w:r>
              <w:t xml:space="preserve"> </w:t>
            </w:r>
            <w:r>
              <w:rPr>
                <w:rStyle w:val="VerbatimChar"/>
              </w:rPr>
              <w:t xml:space="preserve">ma50</w:t>
            </w:r>
          </w:p>
        </w:tc>
        <w:tc>
          <w:tcPr/>
          <w:p>
            <w:pPr>
              <w:pStyle w:val="Compact"/>
              <w:jc w:val="left"/>
            </w:pPr>
            <w:r>
              <w:t xml:space="preserve">Numeric</w:t>
            </w:r>
          </w:p>
        </w:tc>
        <w:tc>
          <w:tcPr/>
          <w:p>
            <w:pPr>
              <w:pStyle w:val="Compact"/>
              <w:jc w:val="left"/>
            </w:pPr>
            <w:r>
              <w:t xml:space="preserve">Phái sinh</w:t>
            </w:r>
          </w:p>
        </w:tc>
        <w:tc>
          <w:tcPr/>
          <w:p>
            <w:pPr>
              <w:pStyle w:val="Compact"/>
              <w:jc w:val="left"/>
            </w:pPr>
            <w:r>
              <w:t xml:space="preserve">Đường trung bình động giản đơn (SMA) chu kỳ 20 và 50 ngày.</w:t>
            </w:r>
          </w:p>
        </w:tc>
      </w:tr>
      <w:tr>
        <w:tc>
          <w:tcPr/>
          <w:p>
            <w:pPr>
              <w:pStyle w:val="Compact"/>
              <w:jc w:val="left"/>
            </w:pPr>
            <w:r>
              <w:rPr>
                <w:rStyle w:val="VerbatimChar"/>
              </w:rPr>
              <w:t xml:space="preserve">rsi</w:t>
            </w:r>
          </w:p>
        </w:tc>
        <w:tc>
          <w:tcPr/>
          <w:p>
            <w:pPr>
              <w:pStyle w:val="Compact"/>
              <w:jc w:val="left"/>
            </w:pPr>
            <w:r>
              <w:t xml:space="preserve">Numeric</w:t>
            </w:r>
          </w:p>
        </w:tc>
        <w:tc>
          <w:tcPr/>
          <w:p>
            <w:pPr>
              <w:pStyle w:val="Compact"/>
              <w:jc w:val="left"/>
            </w:pPr>
            <w:r>
              <w:t xml:space="preserve">Phái sinh</w:t>
            </w:r>
          </w:p>
        </w:tc>
        <w:tc>
          <w:tcPr/>
          <w:p>
            <w:pPr>
              <w:pStyle w:val="Compact"/>
              <w:jc w:val="left"/>
            </w:pPr>
            <w:r>
              <w:t xml:space="preserve">Chỉ báo sức mạnh tương đối (RSI) chu kỳ 14 ngày.</w:t>
            </w:r>
          </w:p>
        </w:tc>
      </w:tr>
      <w:tr>
        <w:tc>
          <w:tcPr/>
          <w:p>
            <w:pPr>
              <w:pStyle w:val="Compact"/>
              <w:jc w:val="left"/>
            </w:pPr>
            <w:r>
              <w:rPr>
                <w:rStyle w:val="VerbatimChar"/>
              </w:rPr>
              <w:t xml:space="preserve">usd_vnd</w:t>
            </w:r>
          </w:p>
        </w:tc>
        <w:tc>
          <w:tcPr/>
          <w:p>
            <w:pPr>
              <w:pStyle w:val="Compact"/>
              <w:jc w:val="left"/>
            </w:pPr>
            <w:r>
              <w:t xml:space="preserve">Numeric</w:t>
            </w:r>
          </w:p>
        </w:tc>
        <w:tc>
          <w:tcPr/>
          <w:p>
            <w:pPr>
              <w:pStyle w:val="Compact"/>
              <w:jc w:val="left"/>
            </w:pPr>
            <w:r>
              <w:t xml:space="preserve">NHNN</w:t>
            </w:r>
          </w:p>
        </w:tc>
        <w:tc>
          <w:tcPr/>
          <w:p>
            <w:pPr>
              <w:pStyle w:val="Compact"/>
              <w:jc w:val="left"/>
            </w:pPr>
            <w:r>
              <w:t xml:space="preserve">Tỷ giá trung tâm USD/VND theo thông báo hàng ngày.</w:t>
            </w:r>
          </w:p>
        </w:tc>
      </w:tr>
      <w:tr>
        <w:tc>
          <w:tcPr/>
          <w:p>
            <w:pPr>
              <w:pStyle w:val="Compact"/>
              <w:jc w:val="left"/>
            </w:pPr>
            <w:r>
              <w:rPr>
                <w:rStyle w:val="VerbatimChar"/>
              </w:rPr>
              <w:t xml:space="preserve">interest_rate</w:t>
            </w:r>
          </w:p>
        </w:tc>
        <w:tc>
          <w:tcPr/>
          <w:p>
            <w:pPr>
              <w:pStyle w:val="Compact"/>
              <w:jc w:val="left"/>
            </w:pPr>
            <w:r>
              <w:t xml:space="preserve">Numeric</w:t>
            </w:r>
          </w:p>
        </w:tc>
        <w:tc>
          <w:tcPr/>
          <w:p>
            <w:pPr>
              <w:pStyle w:val="Compact"/>
              <w:jc w:val="left"/>
            </w:pPr>
            <w:r>
              <w:t xml:space="preserve">NHNN</w:t>
            </w:r>
          </w:p>
        </w:tc>
        <w:tc>
          <w:tcPr/>
          <w:p>
            <w:pPr>
              <w:pStyle w:val="Compact"/>
              <w:jc w:val="left"/>
            </w:pPr>
            <w:r>
              <w:t xml:space="preserve">Lãi suất liên ngân hàng qua đêm (%).</w:t>
            </w:r>
          </w:p>
        </w:tc>
      </w:tr>
    </w:tbl>
    <w:p>
      <w:r>
        <w:pict>
          <v:rect style="width:0;height:1.5pt" o:hralign="center" o:hrstd="t" o:hr="t"/>
        </w:pict>
      </w:r>
    </w:p>
    <w:bookmarkEnd w:id="11"/>
    <w:bookmarkEnd w:id="12"/>
    <w:bookmarkStart w:id="16" w:name="Xcd314abc1da85debe270495f9d8b4892542eb4c"/>
    <w:p>
      <w:pPr>
        <w:pStyle w:val="Heading2"/>
      </w:pPr>
      <w:r>
        <w:t xml:space="preserve">3.2. Tiền Xử Lý Dữ Liệu Vàng (Data Preprocessing)</w:t>
      </w:r>
    </w:p>
    <w:p>
      <w:pPr>
        <w:pStyle w:val="FirstParagraph"/>
      </w:pPr>
      <w:r>
        <w:t xml:space="preserve">Chất lượng của dữ liệu quyết định đến 80% độ chính xác của các mô hình Machine Learning. Bộ dữ liệu sau khi thu thập được đưa qua quy trình làm sạch nghiêm ngặt.</w:t>
      </w:r>
    </w:p>
    <w:bookmarkStart w:id="13" w:name="xử-lý-giá-trị-thiếu-missing-values"/>
    <w:p>
      <w:pPr>
        <w:pStyle w:val="Heading3"/>
      </w:pPr>
      <w:r>
        <w:t xml:space="preserve">3.2.1. Xử Lý Giá Trị Thiếu (Missing Values)</w:t>
      </w:r>
    </w:p>
    <w:p>
      <w:pPr>
        <w:pStyle w:val="FirstParagraph"/>
      </w:pPr>
      <w:r>
        <w:t xml:space="preserve">Bản chất dữ liệu được lấy từ các nguồn tài chính nên bảng dữ liệu gốc (17 cột) ghi nhận tỷ lệ Missing Values = 0%. Tuy nhiên, trong quá trình Feature Engineering để trích xuất các</w:t>
      </w:r>
      <w:r>
        <w:t xml:space="preserve"> </w:t>
      </w:r>
      <w:r>
        <w:rPr>
          <w:b/>
          <w:bCs/>
        </w:rPr>
        <w:t xml:space="preserve">biến độ trễ (Lagged Features)</w:t>
      </w:r>
      <w:r>
        <w:t xml:space="preserve"> </w:t>
      </w:r>
      <w:r>
        <w:t xml:space="preserve">như</w:t>
      </w:r>
      <w:r>
        <w:t xml:space="preserve"> </w:t>
      </w:r>
      <w:r>
        <w:rPr>
          <w:rStyle w:val="VerbatimChar"/>
        </w:rPr>
        <w:t xml:space="preserve">log_return_lag1</w:t>
      </w:r>
      <w:r>
        <w:t xml:space="preserve">,</w:t>
      </w:r>
      <w:r>
        <w:t xml:space="preserve"> </w:t>
      </w:r>
      <w:r>
        <w:rPr>
          <w:rStyle w:val="VerbatimChar"/>
        </w:rPr>
        <w:t xml:space="preserve">volatility_lag1</w:t>
      </w:r>
      <w:r>
        <w:t xml:space="preserve"> </w:t>
      </w:r>
      <w:r>
        <w:t xml:space="preserve">và các đường trung bình động (MA20, MA50), hệ thống sẽ tịnh tiến dữ liệu về quá khứ, dẫn đến việc thiếu hụt giá trị ở phần đầu danh sách (Ví dụ: MA50 cần 50 ngày đầu tiên để tính, do đó 49 ngày đầu sẽ bị NaN).</w:t>
      </w:r>
    </w:p>
    <w:p>
      <w:pPr>
        <w:pStyle w:val="BodyText"/>
      </w:pPr>
      <w:r>
        <w:rPr>
          <w:b/>
          <w:bCs/>
        </w:rPr>
        <w:t xml:space="preserve">Quyết định xử lý:</w:t>
      </w:r>
      <w:r>
        <w:t xml:space="preserve"> </w:t>
      </w:r>
      <w:r>
        <w:t xml:space="preserve">Thay vì nội suy (Interpolation) hay điền giá trị trước đó (Forward Fill) vốn có thể tạo ra các</w:t>
      </w:r>
      <w:r>
        <w:t xml:space="preserve"> </w:t>
      </w:r>
      <w:r>
        <w:t xml:space="preserve">“bước nhảy”</w:t>
      </w:r>
      <w:r>
        <w:t xml:space="preserve"> </w:t>
      </w:r>
      <w:r>
        <w:t xml:space="preserve">giả tạo làm sai lệch tính chất của chuỗi thời gian, nghiên cứu quyết định</w:t>
      </w:r>
      <w:r>
        <w:t xml:space="preserve"> </w:t>
      </w:r>
      <w:r>
        <w:rPr>
          <w:b/>
          <w:bCs/>
        </w:rPr>
        <w:t xml:space="preserve">xóa bỏ (Drop Rows)</w:t>
      </w:r>
      <w:r>
        <w:t xml:space="preserve"> </w:t>
      </w:r>
      <w:r>
        <w:t xml:space="preserve">các dòng bị NaN này. Số lượng dòng bị loại bỏ (tối đa 50 dòng đầu) chiếm chưa tới 2% tổng số dòng (~2,500), không gây ảnh hưởng đến cấu trúc phân phối của tập dữ liệu.</w:t>
      </w:r>
    </w:p>
    <w:bookmarkEnd w:id="13"/>
    <w:bookmarkStart w:id="14" w:name="xử-lý-ngày-nghỉ-lễ-holiday-handling"/>
    <w:p>
      <w:pPr>
        <w:pStyle w:val="Heading3"/>
      </w:pPr>
      <w:r>
        <w:t xml:space="preserve">3.2.2. Xử Lý Ngày Nghỉ Lễ (Holiday Handling)</w:t>
      </w:r>
    </w:p>
    <w:p>
      <w:pPr>
        <w:pStyle w:val="FirstParagraph"/>
      </w:pPr>
      <w:r>
        <w:t xml:space="preserve">Đặc thù của thị trường chứng khoán Việt Nam là có kỳ nghỉ lễ Âm lịch kéo dài (Nghỉ Tết từ 7 đến 10 ngày).</w:t>
      </w:r>
      <w:r>
        <w:t xml:space="preserve"> </w:t>
      </w:r>
      <w:r>
        <w:t xml:space="preserve">*</w:t>
      </w:r>
      <w:r>
        <w:t xml:space="preserve"> </w:t>
      </w:r>
      <w:r>
        <w:rPr>
          <w:b/>
          <w:bCs/>
        </w:rPr>
        <w:t xml:space="preserve">Không sử dụng Forward-Fill:</w:t>
      </w:r>
      <w:r>
        <w:t xml:space="preserve"> </w:t>
      </w:r>
      <w:r>
        <w:t xml:space="preserve">Nếu điền giá ngày cận Tết cho toàn bộ những ngày nghỉ, tỷ suất sinh lời của những ngày đó sẽ bằng 0 (ln(1) = 0). Điều này hoàn toàn sai lệch về mặt kinh tế bởi giá trị doanh nghiệp vẫn thay đổi trong thời gian lễ. Ở góc độ chuỗi thời gian,</w:t>
      </w:r>
      <w:r>
        <w:t xml:space="preserve"> </w:t>
      </w:r>
      <w:r>
        <w:t xml:space="preserve">“không có dữ liệu”</w:t>
      </w:r>
      <w:r>
        <w:t xml:space="preserve"> </w:t>
      </w:r>
      <w:r>
        <w:t xml:space="preserve">không đồng nghĩa với</w:t>
      </w:r>
      <w:r>
        <w:t xml:space="preserve"> </w:t>
      </w:r>
      <w:r>
        <w:t xml:space="preserve">“giá không đổi”</w:t>
      </w:r>
      <w:r>
        <w:t xml:space="preserve">.</w:t>
      </w:r>
      <w:r>
        <w:t xml:space="preserve"> </w:t>
      </w:r>
      <w:r>
        <w:t xml:space="preserve">*</w:t>
      </w:r>
      <w:r>
        <w:t xml:space="preserve"> </w:t>
      </w:r>
      <w:r>
        <w:rPr>
          <w:b/>
          <w:bCs/>
        </w:rPr>
        <w:t xml:space="preserve">Giải pháp thực hiện:</w:t>
      </w:r>
      <w:r>
        <w:t xml:space="preserve"> </w:t>
      </w:r>
      <w:r>
        <w:t xml:space="preserve">Giữ nguyên các</w:t>
      </w:r>
      <w:r>
        <w:t xml:space="preserve"> </w:t>
      </w:r>
      <w:r>
        <w:t xml:space="preserve">“Gap”</w:t>
      </w:r>
      <w:r>
        <w:t xml:space="preserve"> </w:t>
      </w:r>
      <w:r>
        <w:t xml:space="preserve">về thời gian. Các phép tính sinh lời</w:t>
      </w:r>
      <w:r>
        <w:t xml:space="preserve"> </w:t>
      </w:r>
      <w:r>
        <w:rPr>
          <w:rStyle w:val="VerbatimChar"/>
        </w:rPr>
        <w:t xml:space="preserve">log_return</w:t>
      </w:r>
      <w:r>
        <w:t xml:space="preserve"> </w:t>
      </w:r>
      <w:r>
        <w:t xml:space="preserve">được tính toán dựa trên mức giá của ngày giao dịch thực tế hiện hành so với ngày giao dịch thực tế gần nhất trước đó (Gap-aware calculation).</w:t>
      </w:r>
    </w:p>
    <w:bookmarkEnd w:id="14"/>
    <w:bookmarkStart w:id="15" w:name="xử-lý-giá-trị-ngoại-lai-outliers"/>
    <w:p>
      <w:pPr>
        <w:pStyle w:val="Heading3"/>
      </w:pPr>
      <w:r>
        <w:t xml:space="preserve">3.2.3. Xử Lý Giá Trị Ngoại Lai (Outliers)</w:t>
      </w:r>
    </w:p>
    <w:p>
      <w:pPr>
        <w:pStyle w:val="FirstParagraph"/>
      </w:pPr>
      <w:r>
        <w:t xml:space="preserve">Dữ liệu tài chính thường chứa các điểm đột biến (Outliers) sinh ra từ các biến cố chính trị, dịch bệnh (COVID-19) hay các thông tin bất ngờ của doanh nghiệp. Qua phương pháp z-score (ngưỡng &gt; 3), nghiên cứu phát hiện tỷ lệ Outliers của</w:t>
      </w:r>
      <w:r>
        <w:t xml:space="preserve"> </w:t>
      </w:r>
      <w:r>
        <w:rPr>
          <w:rStyle w:val="VerbatimChar"/>
        </w:rPr>
        <w:t xml:space="preserve">log_return</w:t>
      </w:r>
      <w:r>
        <w:t xml:space="preserve"> </w:t>
      </w:r>
      <w:r>
        <w:t xml:space="preserve">rơi vào khoảng</w:t>
      </w:r>
      <w:r>
        <w:t xml:space="preserve"> </w:t>
      </w:r>
      <w:r>
        <w:rPr>
          <w:b/>
          <w:bCs/>
        </w:rPr>
        <w:t xml:space="preserve">3% - 5%</w:t>
      </w:r>
      <w:r>
        <w:t xml:space="preserve">.</w:t>
      </w:r>
    </w:p>
    <w:p>
      <w:pPr>
        <w:pStyle w:val="BodyText"/>
      </w:pPr>
      <w:r>
        <w:t xml:space="preserve">Theo quy luật phân phối chuẩn, tỷ lệ Outlier lớn hơn 3 độ lệch chuẩn chỉ nên dừng ở mức 0.27% (chỉ 1 ngày trong 1 năm). Tuy nhiên tỷ lệ 3-5% minh chứng cho hiện tượng</w:t>
      </w:r>
      <w:r>
        <w:t xml:space="preserve"> </w:t>
      </w:r>
      <w:r>
        <w:rPr>
          <w:b/>
          <w:bCs/>
        </w:rPr>
        <w:t xml:space="preserve">đuôi mập (fat tails)</w:t>
      </w:r>
      <w:r>
        <w:t xml:space="preserve"> </w:t>
      </w:r>
      <w:r>
        <w:t xml:space="preserve">đặc thù của thị trường chứng khoán. Do đó, nghiên cứu</w:t>
      </w:r>
      <w:r>
        <w:t xml:space="preserve"> </w:t>
      </w:r>
      <w:r>
        <w:rPr>
          <w:b/>
          <w:bCs/>
        </w:rPr>
        <w:t xml:space="preserve">quyết định giữ lại 100% Outliers</w:t>
      </w:r>
      <w:r>
        <w:t xml:space="preserve"> </w:t>
      </w:r>
      <w:r>
        <w:t xml:space="preserve">vì chúng cung cấp tín hiệu thực tế kinh tế quan trọng để các mô hình dựa trên Cây Quyết Định (XGBoost) hoặc GARCH có thể học và nhận diện các cú sốc (shocks) thị trường.</w:t>
      </w:r>
    </w:p>
    <w:p>
      <w:r>
        <w:pict>
          <v:rect style="width:0;height:1.5pt" o:hralign="center" o:hrstd="t" o:hr="t"/>
        </w:pict>
      </w:r>
    </w:p>
    <w:bookmarkEnd w:id="15"/>
    <w:bookmarkEnd w:id="16"/>
    <w:bookmarkStart w:id="19" w:name="X4810b706e2af73480227900b861950177b06877"/>
    <w:p>
      <w:pPr>
        <w:pStyle w:val="Heading2"/>
      </w:pPr>
      <w:r>
        <w:t xml:space="preserve">3.3. Xây Dựng Và Giải Thích Chi Tiết Các Biến Số Đầu Vào</w:t>
      </w:r>
    </w:p>
    <w:p>
      <w:pPr>
        <w:pStyle w:val="FirstParagraph"/>
      </w:pPr>
      <w:r>
        <w:t xml:space="preserve">Dựa trên bộ dữ liệu gốc, nghiên cứu đã tiến hành thiết kế hệ thống</w:t>
      </w:r>
      <w:r>
        <w:t xml:space="preserve"> </w:t>
      </w:r>
      <w:r>
        <w:rPr>
          <w:b/>
          <w:bCs/>
        </w:rPr>
        <w:t xml:space="preserve">25 biến đầu vào</w:t>
      </w:r>
      <w:r>
        <w:t xml:space="preserve"> </w:t>
      </w:r>
      <w:r>
        <w:t xml:space="preserve">(Features Engineering) bao gồm nhóm Phân tích kỹ thuật (Technical) và nhóm Kinh tế Vĩ mô (Macro). Việc kết hợp cả hai góc nhìn vi mô và vĩ mô giúp cải thiện đáng kể khả năng bắt kịp biến động của mô hình hồi quy tỷ suất sinh lời.</w:t>
      </w:r>
    </w:p>
    <w:bookmarkStart w:id="17" w:name="X5e81baf5cbf84b1ed41d61ecdd8d35f88911e1c"/>
    <w:p>
      <w:pPr>
        <w:pStyle w:val="Heading3"/>
      </w:pPr>
      <w:r>
        <w:t xml:space="preserve">3.3.1. Nhóm Biến Phân Tích Kỹ Thuật (Technical Indicators - 16 biến)</w:t>
      </w:r>
    </w:p>
    <w:p>
      <w:pPr>
        <w:pStyle w:val="FirstParagraph"/>
      </w:pPr>
      <w:r>
        <w:t xml:space="preserve">Các biến Technical phản ánh</w:t>
      </w:r>
      <w:r>
        <w:t xml:space="preserve"> </w:t>
      </w:r>
      <w:r>
        <w:t xml:space="preserve">“hành vi nội tại của giá”</w:t>
      </w:r>
      <w:r>
        <w:t xml:space="preserve"> </w:t>
      </w:r>
      <w:r>
        <w:t xml:space="preserve">– bao gồm sự kỳ vọng, lòng tham và nỗi sợ hãi của nhà đầu tư đang được phản ánh vào ngay chính cổ phiếu đó.</w:t>
      </w:r>
    </w:p>
    <w:p>
      <w:pPr>
        <w:pStyle w:val="BodyText"/>
      </w:pPr>
      <w:r>
        <w:rPr>
          <w:b/>
          <w:bCs/>
        </w:rPr>
        <w:t xml:space="preserve">1. Các mức Giá OHLCV (Raw data):</w:t>
      </w:r>
      <w:r>
        <w:t xml:space="preserve"> </w:t>
      </w:r>
      <w:r>
        <w:t xml:space="preserve">Gồm</w:t>
      </w:r>
      <w:r>
        <w:t xml:space="preserve"> </w:t>
      </w:r>
      <w:r>
        <w:rPr>
          <w:rStyle w:val="VerbatimChar"/>
        </w:rPr>
        <w:t xml:space="preserve">open</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close</w:t>
      </w:r>
      <w:r>
        <w:t xml:space="preserve"> </w:t>
      </w:r>
      <w:r>
        <w:t xml:space="preserve">và</w:t>
      </w:r>
      <w:r>
        <w:t xml:space="preserve"> </w:t>
      </w:r>
      <w:r>
        <w:rPr>
          <w:rStyle w:val="VerbatimChar"/>
        </w:rPr>
        <w:t xml:space="preserve">volume</w:t>
      </w:r>
      <w:r>
        <w:t xml:space="preserve">. Đây là nền tảng để vẽ biểu đồ nến Nhật. Sự biến thiên của 4 mức giá trong ngày phản ánh lực mua và bán diễn ra như thế nào. Khối lượng (Volume) làm nhiệm vụ xác nhận xu hướng: một sự phá vỡ giá (breakout) kèm theo Volume lớn có độ tin cậy vượt trội so với Volume nhỏ.</w:t>
      </w:r>
    </w:p>
    <w:p>
      <w:pPr>
        <w:pStyle w:val="BodyText"/>
      </w:pPr>
      <w:r>
        <w:rPr>
          <w:b/>
          <w:bCs/>
        </w:rPr>
        <w:t xml:space="preserve">2. Lợi suất sinh lời Logarit (</w:t>
      </w:r>
      <w:r>
        <w:rPr>
          <w:rStyle w:val="VerbatimChar"/>
          <w:b/>
          <w:bCs/>
        </w:rPr>
        <w:t xml:space="preserve">log_return</w:t>
      </w:r>
      <w:r>
        <w:rPr>
          <w:b/>
          <w:bCs/>
        </w:rPr>
        <w:t xml:space="preserve">):</w:t>
      </w:r>
      <w:r>
        <w:t xml:space="preserve"> </w:t>
      </w:r>
      <w:r>
        <w:t xml:space="preserve">Thay vì đo lường bằng lợi suất đơn giản</w:t>
      </w:r>
      <w:r>
        <w:t xml:space="preserve"> </w:t>
      </w:r>
      <m:oMath>
        <m:r>
          <m:rPr>
            <m:sty m:val="p"/>
          </m:rPr>
          <m:t>(</m:t>
        </m:r>
        <m:sSub>
          <m:e>
            <m:r>
              <m:t>P</m:t>
            </m:r>
          </m:e>
          <m:sub>
            <m:r>
              <m:t>t</m:t>
            </m:r>
          </m:sub>
        </m:sSub>
        <m:r>
          <m:rPr>
            <m:sty m:val="p"/>
          </m:rPr>
          <m:t>−</m:t>
        </m:r>
        <m:sSub>
          <m:e>
            <m:r>
              <m:t>P</m:t>
            </m:r>
          </m:e>
          <m:sub>
            <m:r>
              <m:t>t</m:t>
            </m:r>
            <m:r>
              <m:rPr>
                <m:sty m:val="p"/>
              </m:rPr>
              <m:t>−</m:t>
            </m:r>
            <m:r>
              <m:t>1</m:t>
            </m:r>
          </m:sub>
        </m:sSub>
        <m:r>
          <m:rPr>
            <m:sty m:val="p"/>
          </m:rPr>
          <m:t>)</m:t>
        </m:r>
        <m:r>
          <m:rPr>
            <m:sty m:val="p"/>
          </m:rPr>
          <m:t>/</m:t>
        </m:r>
        <m:sSub>
          <m:e>
            <m:r>
              <m:t>P</m:t>
            </m:r>
          </m:e>
          <m:sub>
            <m:r>
              <m:t>t</m:t>
            </m:r>
            <m:r>
              <m:rPr>
                <m:sty m:val="p"/>
              </m:rPr>
              <m:t>−</m:t>
            </m:r>
            <m:r>
              <m:t>1</m:t>
            </m:r>
          </m:sub>
        </m:sSub>
      </m:oMath>
      <w:r>
        <w:t xml:space="preserve">, nghiên cứu sử dụng logarit tự nhiên của lợi suất:</w:t>
      </w:r>
    </w:p>
    <w:p>
      <w:pPr>
        <w:pStyle w:val="BodyText"/>
      </w:pPr>
      <m:oMathPara>
        <m:oMathParaPr>
          <m:jc m:val="center"/>
        </m:oMathParaPr>
        <m:oMath>
          <m:r>
            <m:t>l</m:t>
          </m:r>
          <m:r>
            <m:t>o</m:t>
          </m:r>
          <m:r>
            <m:t>g</m:t>
          </m:r>
          <m:r>
            <m:rPr>
              <m:sty m:val="p"/>
            </m:rPr>
            <m:t>_</m:t>
          </m:r>
          <m:r>
            <m:t>r</m:t>
          </m:r>
          <m:r>
            <m:t>e</m:t>
          </m:r>
          <m:r>
            <m:t>t</m:t>
          </m:r>
          <m:r>
            <m:t>u</m:t>
          </m:r>
          <m:r>
            <m:t>r</m:t>
          </m:r>
          <m:sSub>
            <m:e>
              <m:r>
                <m:t>n</m:t>
              </m:r>
            </m:e>
            <m:sub>
              <m:r>
                <m:t>t</m:t>
              </m:r>
            </m:sub>
          </m:sSub>
          <m:r>
            <m:rPr>
              <m:sty m:val="p"/>
            </m:rPr>
            <m:t>=</m:t>
          </m:r>
          <m:r>
            <m:rPr>
              <m:sty m:val="p"/>
            </m:rPr>
            <m:t>ln</m:t>
          </m:r>
          <m:d>
            <m:dPr>
              <m:begChr m:val="("/>
              <m:sepChr m:val=""/>
              <m:endChr m:val=")"/>
              <m:grow/>
            </m:dPr>
            <m:e>
              <m:f>
                <m:fPr>
                  <m:type m:val="bar"/>
                </m:fPr>
                <m:num>
                  <m:r>
                    <m:t>c</m:t>
                  </m:r>
                  <m:r>
                    <m:t>l</m:t>
                  </m:r>
                  <m:r>
                    <m:t>o</m:t>
                  </m:r>
                  <m:r>
                    <m:t>s</m:t>
                  </m:r>
                  <m:sSub>
                    <m:e>
                      <m:r>
                        <m:t>e</m:t>
                      </m:r>
                    </m:e>
                    <m:sub>
                      <m:r>
                        <m:t>t</m:t>
                      </m:r>
                    </m:sub>
                  </m:sSub>
                </m:num>
                <m:den>
                  <m:r>
                    <m:t>c</m:t>
                  </m:r>
                  <m:r>
                    <m:t>l</m:t>
                  </m:r>
                  <m:r>
                    <m:t>o</m:t>
                  </m:r>
                  <m:r>
                    <m:t>s</m:t>
                  </m:r>
                  <m:sSub>
                    <m:e>
                      <m:r>
                        <m:t>e</m:t>
                      </m:r>
                    </m:e>
                    <m:sub>
                      <m:r>
                        <m:t>t</m:t>
                      </m:r>
                      <m:r>
                        <m:rPr>
                          <m:sty m:val="p"/>
                        </m:rPr>
                        <m:t>−</m:t>
                      </m:r>
                      <m:r>
                        <m:t>1</m:t>
                      </m:r>
                    </m:sub>
                  </m:sSub>
                </m:den>
              </m:f>
            </m:e>
          </m:d>
        </m:oMath>
      </m:oMathPara>
    </w:p>
    <w:p>
      <w:pPr>
        <w:pStyle w:val="FirstParagraph"/>
      </w:pPr>
      <w:r>
        <w:rPr>
          <w:i/>
          <w:iCs/>
        </w:rPr>
        <w:t xml:space="preserve">Ý nghĩa:</w:t>
      </w:r>
      <w:r>
        <w:t xml:space="preserve"> </w:t>
      </w:r>
      <w:r>
        <w:t xml:space="preserve">Log-return có tính chất cộng dồn (additivity), giúp cho việc tính toán tổng sinh lời qua nhiều ngày đơn giản chỉ bằng phép cộng. Đồng thời, biến đổi logarit giúp làm giảm các hiệu ứng tăng giảm luỹ kế quá nóng, giúp biến số ổn định (đạt tính dừng) — điều kiện tiên quyết cho các mô hình Time-series.</w:t>
      </w:r>
    </w:p>
    <w:p>
      <w:pPr>
        <w:pStyle w:val="BodyText"/>
      </w:pPr>
      <w:r>
        <w:rPr>
          <w:b/>
          <w:bCs/>
        </w:rPr>
        <w:t xml:space="preserve">3. Khẩu độ Biến động 20 ngày (</w:t>
      </w:r>
      <w:r>
        <w:rPr>
          <w:rStyle w:val="VerbatimChar"/>
          <w:b/>
          <w:bCs/>
        </w:rPr>
        <w:t xml:space="preserve">volatility_20d</w:t>
      </w:r>
      <w:r>
        <w:rPr>
          <w:b/>
          <w:bCs/>
        </w:rPr>
        <w:t xml:space="preserve">):</w:t>
      </w:r>
      <w:r>
        <w:t xml:space="preserve"> </w:t>
      </w:r>
      <w:r>
        <w:t xml:space="preserve">Được tính bằng độ lệch chuẩn (Standard Deviation) của chuỗi</w:t>
      </w:r>
      <w:r>
        <w:t xml:space="preserve"> </w:t>
      </w:r>
      <w:r>
        <w:rPr>
          <w:rStyle w:val="VerbatimChar"/>
        </w:rPr>
        <w:t xml:space="preserve">log_return</w:t>
      </w:r>
      <w:r>
        <w:t xml:space="preserve"> </w:t>
      </w:r>
      <w:r>
        <w:t xml:space="preserve">trong cửa sổ 20 ngày giao dịch (tương đương 1 tháng làm việc).</w:t>
      </w:r>
    </w:p>
    <w:p>
      <w:pPr>
        <w:pStyle w:val="BodyText"/>
      </w:pPr>
      <m:oMathPara>
        <m:oMathParaPr>
          <m:jc m:val="center"/>
        </m:oMathParaPr>
        <m:oMath>
          <m:r>
            <m:t>v</m:t>
          </m:r>
          <m:r>
            <m:t>o</m:t>
          </m:r>
          <m:r>
            <m:t>l</m:t>
          </m:r>
          <m:r>
            <m:t>a</m:t>
          </m:r>
          <m:r>
            <m:t>t</m:t>
          </m:r>
          <m:r>
            <m:t>i</m:t>
          </m:r>
          <m:r>
            <m:t>l</m:t>
          </m:r>
          <m:r>
            <m:t>i</m:t>
          </m:r>
          <m:r>
            <m:t>t</m:t>
          </m:r>
          <m:r>
            <m:t>y</m:t>
          </m:r>
          <m:r>
            <m:rPr>
              <m:sty m:val="p"/>
            </m:rPr>
            <m:t>_</m:t>
          </m:r>
          <m:r>
            <m:t>20</m:t>
          </m:r>
          <m:sSub>
            <m:e>
              <m:r>
                <m:t>d</m:t>
              </m:r>
            </m:e>
            <m:sub>
              <m:r>
                <m:t>t</m:t>
              </m:r>
            </m:sub>
          </m:sSub>
          <m:r>
            <m:rPr>
              <m:sty m:val="p"/>
            </m:rPr>
            <m:t>=</m:t>
          </m:r>
          <m:r>
            <m:t>s</m:t>
          </m:r>
          <m:r>
            <m:t>t</m:t>
          </m:r>
          <m:r>
            <m:t>d</m:t>
          </m:r>
          <m:r>
            <m:rPr>
              <m:sty m:val="p"/>
            </m:rPr>
            <m:t>(</m:t>
          </m:r>
          <m:r>
            <m:t>l</m:t>
          </m:r>
          <m:r>
            <m:t>o</m:t>
          </m:r>
          <m:r>
            <m:t>g</m:t>
          </m:r>
          <m:r>
            <m:rPr>
              <m:sty m:val="p"/>
            </m:rPr>
            <m:t>_</m:t>
          </m:r>
          <m:r>
            <m:t>r</m:t>
          </m:r>
          <m:r>
            <m:t>e</m:t>
          </m:r>
          <m:r>
            <m:t>t</m:t>
          </m:r>
          <m:r>
            <m:t>u</m:t>
          </m:r>
          <m:r>
            <m:t>r</m:t>
          </m:r>
          <m:sSub>
            <m:e>
              <m:r>
                <m:t>n</m:t>
              </m:r>
            </m:e>
            <m:sub>
              <m:r>
                <m:t>t</m:t>
              </m:r>
              <m:r>
                <m:rPr>
                  <m:sty m:val="p"/>
                </m:rPr>
                <m:t>−</m:t>
              </m:r>
              <m:r>
                <m:t>19</m:t>
              </m:r>
              <m:r>
                <m:rPr>
                  <m:sty m:val="p"/>
                </m:rPr>
                <m:t>:</m:t>
              </m:r>
              <m:r>
                <m:t>t</m:t>
              </m:r>
            </m:sub>
          </m:sSub>
          <m:r>
            <m:rPr>
              <m:sty m:val="p"/>
            </m:rPr>
            <m:t>)</m:t>
          </m:r>
        </m:oMath>
      </m:oMathPara>
    </w:p>
    <w:p>
      <w:pPr>
        <w:pStyle w:val="FirstParagraph"/>
      </w:pPr>
      <w:r>
        <w:rPr>
          <w:i/>
          <w:iCs/>
        </w:rPr>
        <w:t xml:space="preserve">Ý nghĩa:</w:t>
      </w:r>
      <w:r>
        <w:t xml:space="preserve"> </w:t>
      </w:r>
      <w:r>
        <w:t xml:space="preserve">Đây là thước đo chuẩn mực nhất để đại diện cho Rủi ro (Risk) của cổ phiếu. Giá trị này cực kỳ quan trọng và được sử dụng làm biến mục tiêu (Target) cho bài toán dự báo biến động chuỗi thời gian.</w:t>
      </w:r>
    </w:p>
    <w:p>
      <w:pPr>
        <w:pStyle w:val="BodyText"/>
      </w:pPr>
      <w:r>
        <w:rPr>
          <w:b/>
          <w:bCs/>
        </w:rPr>
        <w:t xml:space="preserve">4. Đường Trung bình Động (</w:t>
      </w:r>
      <w:r>
        <w:rPr>
          <w:rStyle w:val="VerbatimChar"/>
          <w:b/>
          <w:bCs/>
        </w:rPr>
        <w:t xml:space="preserve">ma20</w:t>
      </w:r>
      <w:r>
        <w:rPr>
          <w:b/>
          <w:bCs/>
        </w:rPr>
        <w:t xml:space="preserve"> </w:t>
      </w:r>
      <w:r>
        <w:rPr>
          <w:b/>
          <w:bCs/>
        </w:rPr>
        <w:t xml:space="preserve">và</w:t>
      </w:r>
      <w:r>
        <w:rPr>
          <w:b/>
          <w:bCs/>
        </w:rPr>
        <w:t xml:space="preserve"> </w:t>
      </w:r>
      <w:r>
        <w:rPr>
          <w:rStyle w:val="VerbatimChar"/>
          <w:b/>
          <w:bCs/>
        </w:rPr>
        <w:t xml:space="preserve">ma50</w:t>
      </w:r>
      <w:r>
        <w:rPr>
          <w:b/>
          <w:bCs/>
        </w:rPr>
        <w:t xml:space="preserve">):</w:t>
      </w:r>
      <w:r>
        <w:t xml:space="preserve"> </w:t>
      </w:r>
      <w:r>
        <w:t xml:space="preserve">Tính bằng trung bình cộng giá đóng cửa của 20 phiên và 50 phiên gần nhất.</w:t>
      </w:r>
      <w:r>
        <w:t xml:space="preserve"> </w:t>
      </w:r>
      <w:r>
        <w:rPr>
          <w:i/>
          <w:iCs/>
        </w:rPr>
        <w:t xml:space="preserve">Ý nghĩa:</w:t>
      </w:r>
      <w:r>
        <w:t xml:space="preserve"> </w:t>
      </w:r>
      <w:r>
        <w:rPr>
          <w:rStyle w:val="VerbatimChar"/>
        </w:rPr>
        <w:t xml:space="preserve">ma20</w:t>
      </w:r>
      <w:r>
        <w:t xml:space="preserve"> </w:t>
      </w:r>
      <w:r>
        <w:t xml:space="preserve">là đại diện cho xu hướng ngắn hạn,</w:t>
      </w:r>
      <w:r>
        <w:t xml:space="preserve"> </w:t>
      </w:r>
      <w:r>
        <w:rPr>
          <w:rStyle w:val="VerbatimChar"/>
        </w:rPr>
        <w:t xml:space="preserve">ma50</w:t>
      </w:r>
      <w:r>
        <w:t xml:space="preserve"> </w:t>
      </w:r>
      <w:r>
        <w:t xml:space="preserve">đại diện cho xu hướng trung hạn. Sự giao cắt của giá so với MA (hoặc tỷ lệ</w:t>
      </w:r>
      <w:r>
        <w:t xml:space="preserve"> </w:t>
      </w:r>
      <w:r>
        <w:rPr>
          <w:rStyle w:val="VerbatimChar"/>
        </w:rPr>
        <w:t xml:space="preserve">close/ma20</w:t>
      </w:r>
      <w:r>
        <w:t xml:space="preserve">) áp dụng quy luật mean-reversion (hồi quy về mức trung bình). Khi tỷ lệ này quá lớn, giá có xu hướng bị kéo ngược lại đường MA trung tâm.</w:t>
      </w:r>
    </w:p>
    <w:p>
      <w:pPr>
        <w:pStyle w:val="BodyText"/>
      </w:pPr>
      <w:r>
        <w:rPr>
          <w:b/>
          <w:bCs/>
        </w:rPr>
        <w:t xml:space="preserve">5. Chỉ báo Sức mạnh Tương đối (</w:t>
      </w:r>
      <w:r>
        <w:rPr>
          <w:rStyle w:val="VerbatimChar"/>
          <w:b/>
          <w:bCs/>
        </w:rPr>
        <w:t xml:space="preserve">rsi</w:t>
      </w:r>
      <w:r>
        <w:rPr>
          <w:b/>
          <w:bCs/>
        </w:rPr>
        <w:t xml:space="preserve"> </w:t>
      </w:r>
      <w:r>
        <w:rPr>
          <w:b/>
          <w:bCs/>
        </w:rPr>
        <w:t xml:space="preserve">- Relative Strength Index):</w:t>
      </w:r>
      <w:r>
        <w:t xml:space="preserve"> </w:t>
      </w:r>
      <w:r>
        <w:t xml:space="preserve">Được tính toán qua chu kỳ 14 ngày giao dịch để so sánh tổng mức tăng giá so với tổng mức giảm giá:</w:t>
      </w:r>
    </w:p>
    <w:p>
      <w:pPr>
        <w:pStyle w:val="BodyText"/>
      </w:pPr>
      <m:oMathPara>
        <m:oMathParaPr>
          <m:jc m:val="center"/>
        </m:oMathParaPr>
        <m:oMath>
          <m:r>
            <m:t>R</m:t>
          </m:r>
          <m:r>
            <m:t>S</m:t>
          </m:r>
          <m:r>
            <m:t>I</m:t>
          </m:r>
          <m:r>
            <m:rPr>
              <m:sty m:val="p"/>
            </m:rPr>
            <m:t>=</m:t>
          </m:r>
          <m:r>
            <m:t>100</m:t>
          </m:r>
          <m:r>
            <m:rPr>
              <m:sty m:val="p"/>
            </m:rPr>
            <m:t>−</m:t>
          </m:r>
          <m:f>
            <m:fPr>
              <m:type m:val="bar"/>
            </m:fPr>
            <m:num>
              <m:r>
                <m:t>100</m:t>
              </m:r>
            </m:num>
            <m:den>
              <m:r>
                <m:t>1</m:t>
              </m:r>
              <m:r>
                <m:rPr>
                  <m:sty m:val="p"/>
                </m:rPr>
                <m:t>+</m:t>
              </m:r>
              <m:r>
                <m:t>R</m:t>
              </m:r>
              <m:r>
                <m:t>S</m:t>
              </m:r>
            </m:den>
          </m:f>
          <m:r>
            <m:rPr>
              <m:sty m:val="p"/>
            </m:rPr>
            <m:t>,</m:t>
          </m:r>
          <m:r>
            <m:t> </m:t>
          </m:r>
          <m:r>
            <m:t>R</m:t>
          </m:r>
          <m:r>
            <m:t>S</m:t>
          </m:r>
          <m:r>
            <m:rPr>
              <m:sty m:val="p"/>
            </m:rPr>
            <m:t>=</m:t>
          </m:r>
          <m:f>
            <m:fPr>
              <m:type m:val="bar"/>
            </m:fPr>
            <m:num>
              <m:r>
                <m:t>A</m:t>
              </m:r>
              <m:r>
                <m:t>v</m:t>
              </m:r>
              <m:r>
                <m:t>e</m:t>
              </m:r>
              <m:r>
                <m:t>r</m:t>
              </m:r>
              <m:r>
                <m:t>a</m:t>
              </m:r>
              <m:r>
                <m:t>g</m:t>
              </m:r>
              <m:r>
                <m:t>e</m:t>
              </m:r>
              <m:r>
                <m:t> </m:t>
              </m:r>
              <m:r>
                <m:t>G</m:t>
              </m:r>
              <m:r>
                <m:t>a</m:t>
              </m:r>
              <m:r>
                <m:t>i</m:t>
              </m:r>
              <m:r>
                <m:t>n</m:t>
              </m:r>
            </m:num>
            <m:den>
              <m:r>
                <m:t>A</m:t>
              </m:r>
              <m:r>
                <m:t>v</m:t>
              </m:r>
              <m:r>
                <m:t>e</m:t>
              </m:r>
              <m:r>
                <m:t>r</m:t>
              </m:r>
              <m:r>
                <m:t>a</m:t>
              </m:r>
              <m:r>
                <m:t>g</m:t>
              </m:r>
              <m:r>
                <m:t>e</m:t>
              </m:r>
              <m:r>
                <m:t> </m:t>
              </m:r>
              <m:r>
                <m:t>L</m:t>
              </m:r>
              <m:r>
                <m:t>o</m:t>
              </m:r>
              <m:r>
                <m:t>s</m:t>
              </m:r>
              <m:r>
                <m:t>s</m:t>
              </m:r>
            </m:den>
          </m:f>
        </m:oMath>
      </m:oMathPara>
    </w:p>
    <w:p>
      <w:pPr>
        <w:pStyle w:val="FirstParagraph"/>
      </w:pPr>
      <w:r>
        <w:rPr>
          <w:i/>
          <w:iCs/>
        </w:rPr>
        <w:t xml:space="preserve">Ý nghĩa:</w:t>
      </w:r>
      <w:r>
        <w:t xml:space="preserve"> </w:t>
      </w:r>
      <w:r>
        <w:t xml:space="preserve">RSI dao động từ 0 đến 100. RSI &gt; 70 cảnh báo cổ phiếu có thể đang rơi vào vùng Mua quá mức (Overbought - khối lượng cầu quá nóng sắp đảo chiều giảm). RSI &lt; 30 cảnh báo vùng Bán quá mức (Oversold - cổ phiếu bị bán tháo quá đà sắp phục hồi).</w:t>
      </w:r>
    </w:p>
    <w:p>
      <w:pPr>
        <w:pStyle w:val="BodyText"/>
      </w:pPr>
      <w:r>
        <w:rPr>
          <w:b/>
          <w:bCs/>
        </w:rPr>
        <w:t xml:space="preserve">6. Các biến Độ trễ Kỹ thuật (Lagged Variables):</w:t>
      </w:r>
      <w:r>
        <w:t xml:space="preserve"> </w:t>
      </w:r>
      <w:r>
        <w:t xml:space="preserve">Nhằm chuẩn bị dữ liệu đầu vào cho mô hình, hàng loạt các biến độ trễ đã được tạo ra bằng cách tịnh tiến giá trị từ quá khứ (dịch chuyển dòng thời gian):</w:t>
      </w:r>
      <w:r>
        <w:t xml:space="preserve"> </w:t>
      </w:r>
      <w:r>
        <w:rPr>
          <w:rStyle w:val="VerbatimChar"/>
        </w:rPr>
        <w:t xml:space="preserve">return_lag1</w:t>
      </w:r>
      <w:r>
        <w:t xml:space="preserve">,</w:t>
      </w:r>
      <w:r>
        <w:t xml:space="preserve"> </w:t>
      </w:r>
      <w:r>
        <w:rPr>
          <w:rStyle w:val="VerbatimChar"/>
        </w:rPr>
        <w:t xml:space="preserve">return_lag2</w:t>
      </w:r>
      <w:r>
        <w:t xml:space="preserve">,</w:t>
      </w:r>
      <w:r>
        <w:t xml:space="preserve"> </w:t>
      </w:r>
      <w:r>
        <w:rPr>
          <w:rStyle w:val="VerbatimChar"/>
        </w:rPr>
        <w:t xml:space="preserve">return_lag3</w:t>
      </w:r>
      <w:r>
        <w:t xml:space="preserve">,</w:t>
      </w:r>
      <w:r>
        <w:t xml:space="preserve"> </w:t>
      </w:r>
      <w:r>
        <w:rPr>
          <w:rStyle w:val="VerbatimChar"/>
        </w:rPr>
        <w:t xml:space="preserve">volatility_lag1</w:t>
      </w:r>
      <w:r>
        <w:t xml:space="preserve">,</w:t>
      </w:r>
      <w:r>
        <w:t xml:space="preserve"> </w:t>
      </w:r>
      <w:r>
        <w:rPr>
          <w:rStyle w:val="VerbatimChar"/>
        </w:rPr>
        <w:t xml:space="preserve">rsi_lag1</w:t>
      </w:r>
      <w:r>
        <w:t xml:space="preserve"> </w:t>
      </w:r>
      <w:r>
        <w:t xml:space="preserve">v.v. Nguyên tắc cơ bản là: khi dự đoán tương lai (ngày t+1), hệ thống chỉ được cung cấp dữ liệu có thật tại thời điểm hiện tại trở về trước, nhằm ngăn chặn việc mô hình học lỏm (look-ahead) thông tin từ tương lai.</w:t>
      </w:r>
    </w:p>
    <w:bookmarkEnd w:id="17"/>
    <w:bookmarkStart w:id="18" w:name="X2177e969c22d241b5c2e7d20e355ba8c2d4effd"/>
    <w:p>
      <w:pPr>
        <w:pStyle w:val="Heading3"/>
      </w:pPr>
      <w:r>
        <w:t xml:space="preserve">3.3.2. Nhóm Biến Kinh Tế Vĩ Mô (Macro Indicators - 9 biến)</w:t>
      </w:r>
    </w:p>
    <w:p>
      <w:pPr>
        <w:pStyle w:val="FirstParagraph"/>
      </w:pPr>
      <w:r>
        <w:t xml:space="preserve">Cổ phiếu ngân hàng được đánh giá là nhóm ngành mang tính biểu phong biểu vũ của nền kinh tế. Biến động vi mô của từng cổ phiếu ngân hàng phụ thuộc cực kỳ lớn vào chính sách điều tiết vĩ mô toàn cục.</w:t>
      </w:r>
    </w:p>
    <w:p>
      <w:pPr>
        <w:pStyle w:val="BodyText"/>
      </w:pPr>
      <w:r>
        <w:rPr>
          <w:b/>
          <w:bCs/>
        </w:rPr>
        <w:t xml:space="preserve">1. Chỉ số thị trường -</w:t>
      </w:r>
      <w:r>
        <w:rPr>
          <w:b/>
          <w:bCs/>
        </w:rPr>
        <w:t xml:space="preserve"> </w:t>
      </w:r>
      <w:r>
        <w:rPr>
          <w:rStyle w:val="VerbatimChar"/>
          <w:b/>
          <w:bCs/>
        </w:rPr>
        <w:t xml:space="preserve">vnindex_close</w:t>
      </w:r>
      <w:r>
        <w:rPr>
          <w:b/>
          <w:bCs/>
        </w:rPr>
        <w:t xml:space="preserve"> </w:t>
      </w:r>
      <w:r>
        <w:rPr>
          <w:b/>
          <w:bCs/>
        </w:rPr>
        <w:t xml:space="preserve">và</w:t>
      </w:r>
      <w:r>
        <w:rPr>
          <w:b/>
          <w:bCs/>
        </w:rPr>
        <w:t xml:space="preserve"> </w:t>
      </w:r>
      <w:r>
        <w:rPr>
          <w:rStyle w:val="VerbatimChar"/>
          <w:b/>
          <w:bCs/>
        </w:rPr>
        <w:t xml:space="preserve">vn30_close</w:t>
      </w:r>
      <w:r>
        <w:rPr>
          <w:b/>
          <w:bCs/>
        </w:rPr>
        <w:t xml:space="preserve">:</w:t>
      </w:r>
      <w:r>
        <w:t xml:space="preserve"> </w:t>
      </w:r>
      <w:r>
        <w:t xml:space="preserve">VNIndex đại diện cho toàn bộ sức khỏe của hàng trăm doanh nghiệp trên sàn HOSE, trong khi VN30 là rổ 30 doanh nghiệp dẫn dắt thị trường (nơi tập trung phần lớn dòng vốn ngoại và quỹ đầu tư lớn).</w:t>
      </w:r>
      <w:r>
        <w:t xml:space="preserve"> </w:t>
      </w:r>
      <w:r>
        <w:rPr>
          <w:i/>
          <w:iCs/>
        </w:rPr>
        <w:t xml:space="preserve">Ý nghĩa:</w:t>
      </w:r>
      <w:r>
        <w:t xml:space="preserve"> </w:t>
      </w:r>
      <w:r>
        <w:t xml:space="preserve">Theo mô hình định giá vốn tài sản (CAPM), lợi suất của một cổ phiếu phụ thuộc vào lợi suất phi rủi ro cộng với phần bù rủi ro của thị trường. Chuyển động của VNIndex chính là trọng lực ảnh hưởng lên tất cả mã cổ phiếu ngân hàng, do đó đưa VNIndex và VN30 vào giúp thiết lập tọa độ xu hướng chung cho tổng tập dữ liệu.</w:t>
      </w:r>
    </w:p>
    <w:p>
      <w:pPr>
        <w:pStyle w:val="BodyText"/>
      </w:pPr>
      <w:r>
        <w:rPr>
          <w:b/>
          <w:bCs/>
        </w:rPr>
        <w:t xml:space="preserve">2. Tỷ giá</w:t>
      </w:r>
      <w:r>
        <w:rPr>
          <w:b/>
          <w:bCs/>
        </w:rPr>
        <w:t xml:space="preserve"> </w:t>
      </w:r>
      <w:r>
        <w:rPr>
          <w:rStyle w:val="VerbatimChar"/>
          <w:b/>
          <w:bCs/>
        </w:rPr>
        <w:t xml:space="preserve">usd_vnd</w:t>
      </w:r>
      <w:r>
        <w:rPr>
          <w:b/>
          <w:bCs/>
        </w:rPr>
        <w:t xml:space="preserve"> </w:t>
      </w:r>
      <w:r>
        <w:rPr>
          <w:b/>
          <w:bCs/>
        </w:rPr>
        <w:t xml:space="preserve">(USD/VND Exchange Rate):</w:t>
      </w:r>
      <w:r>
        <w:t xml:space="preserve"> </w:t>
      </w:r>
      <w:r>
        <w:t xml:space="preserve">Tỷ giá đo lường sức mạnh đồng nội tệ so với đồng thanh toán quốc tế USD.</w:t>
      </w:r>
      <w:r>
        <w:t xml:space="preserve"> </w:t>
      </w:r>
      <w:r>
        <w:rPr>
          <w:i/>
          <w:iCs/>
        </w:rPr>
        <w:t xml:space="preserve">Ý nghĩa:</w:t>
      </w:r>
      <w:r>
        <w:t xml:space="preserve"> </w:t>
      </w:r>
      <w:r>
        <w:t xml:space="preserve">Việt Nam là nền kinh tế định hướng xuất khẩu, tỷ giá ảnh hưởng trực tiếp đến dòng vốn FDI, FII. Đặc biệt đối với các ngân hàng lớn như VCB, BID hay CTG - những tổ chức nắm giữ tài sản ngoại hối khổng lồ và vai trò tài trợ thương mại quốc tế rộng lớn, sự biến động tỷ giá sẽ tác động ngay lập tức đến biên lợi nhuận thuần (NIM) cũng như dòng vốn lưu động của họ.</w:t>
      </w:r>
    </w:p>
    <w:p>
      <w:pPr>
        <w:pStyle w:val="BodyText"/>
      </w:pPr>
      <w:r>
        <w:rPr>
          <w:b/>
          <w:bCs/>
        </w:rPr>
        <w:t xml:space="preserve">3. Lãi suất liên ngân hàng (</w:t>
      </w:r>
      <w:r>
        <w:rPr>
          <w:rStyle w:val="VerbatimChar"/>
          <w:b/>
          <w:bCs/>
        </w:rPr>
        <w:t xml:space="preserve">interest_rate</w:t>
      </w:r>
      <w:r>
        <w:rPr>
          <w:b/>
          <w:bCs/>
        </w:rPr>
        <w:t xml:space="preserve">):</w:t>
      </w:r>
      <w:r>
        <w:t xml:space="preserve"> </w:t>
      </w:r>
      <w:r>
        <w:t xml:space="preserve">Lãi suất phản ánh chi phí vay mượn ngắn hạn trên hệ thống.</w:t>
      </w:r>
      <w:r>
        <w:t xml:space="preserve"> </w:t>
      </w:r>
      <w:r>
        <w:rPr>
          <w:i/>
          <w:iCs/>
        </w:rPr>
        <w:t xml:space="preserve">Ý nghĩa:</w:t>
      </w:r>
      <w:r>
        <w:t xml:space="preserve"> </w:t>
      </w:r>
      <w:r>
        <w:t xml:space="preserve">Đây là biến trọng yếu đại diện cho Thanh khoản của hệ thống. Khi trung ương thắt chặt chính sách tiền tệ, lãi suất huy động tăng vọt, điều này làm sụt giảm biên lãi suất thuần và nợ xấu gia tăng, đánh sập lợi nhuận và kéo sập giá trị sổ sách cũng như giá cổ phiếu trên thị trường chứng khoán.</w:t>
      </w:r>
    </w:p>
    <w:p>
      <w:r>
        <w:pict>
          <v:rect style="width:0;height:1.5pt" o:hralign="center" o:hrstd="t" o:hr="t"/>
        </w:pict>
      </w:r>
    </w:p>
    <w:bookmarkEnd w:id="18"/>
    <w:bookmarkEnd w:id="19"/>
    <w:bookmarkStart w:id="21" w:name="kiểm-định-tính-dừng-stationarity-test"/>
    <w:p>
      <w:pPr>
        <w:pStyle w:val="Heading2"/>
      </w:pPr>
      <w:r>
        <w:t xml:space="preserve">3.4. Kiểm Định Tính Dừng (Stationarity Test)</w:t>
      </w:r>
    </w:p>
    <w:p>
      <w:pPr>
        <w:pStyle w:val="FirstParagraph"/>
      </w:pPr>
      <w:r>
        <w:t xml:space="preserve">Trong phân tích chuỗi thời gian, bất kỳ một hệ thống dự báo nào như GARCH hay ARIMA đều yêu cầu dữ liệu phải có tính</w:t>
      </w:r>
      <w:r>
        <w:t xml:space="preserve"> </w:t>
      </w:r>
      <w:r>
        <w:t xml:space="preserve">“Hồi quy dừng”</w:t>
      </w:r>
      <w:r>
        <w:t xml:space="preserve"> </w:t>
      </w:r>
      <w:r>
        <w:t xml:space="preserve">(Stationary). Tính dừng yêu cầu trung bình (mean), phương sai (variance) không biến thiên và không tạo xu hướng dịch chuyển đột biến. Để kiểm chứng khoa học, nghiên cứu áp dụng</w:t>
      </w:r>
      <w:r>
        <w:t xml:space="preserve"> </w:t>
      </w:r>
      <w:r>
        <w:rPr>
          <w:b/>
          <w:bCs/>
        </w:rPr>
        <w:t xml:space="preserve">Augmented Dickey-Fuller (ADF) Test</w:t>
      </w:r>
      <w:r>
        <w:t xml:space="preserve">.</w:t>
      </w:r>
      <w:r>
        <w:t xml:space="preserve"> </w:t>
      </w:r>
      <w:r>
        <w:t xml:space="preserve">*</w:t>
      </w:r>
      <w:r>
        <w:t xml:space="preserve"> </w:t>
      </w:r>
      <m:oMath>
        <m:sSub>
          <m:e>
            <m:r>
              <m:t>H</m:t>
            </m:r>
          </m:e>
          <m:sub>
            <m:r>
              <m:t>0</m:t>
            </m:r>
          </m:sub>
        </m:sSub>
      </m:oMath>
      <w:r>
        <w:rPr>
          <w:b/>
          <w:bCs/>
        </w:rPr>
        <w:t xml:space="preserve">:</w:t>
      </w:r>
      <w:r>
        <w:t xml:space="preserve"> </w:t>
      </w:r>
      <w:r>
        <w:t xml:space="preserve">Chuỗi tồn tại nghiệm đơn vị (Unit root)</w:t>
      </w:r>
      <w:r>
        <w:t xml:space="preserve"> </w:t>
      </w:r>
      <m:oMath>
        <m:r>
          <m:rPr>
            <m:sty m:val="p"/>
          </m:rPr>
          <m:t>⟹</m:t>
        </m:r>
      </m:oMath>
      <w:r>
        <w:t xml:space="preserve"> </w:t>
      </w:r>
      <w:r>
        <w:t xml:space="preserve">Chuỗi không dừng.</w:t>
      </w:r>
      <w:r>
        <w:t xml:space="preserve"> </w:t>
      </w:r>
      <w:r>
        <w:t xml:space="preserve">*</w:t>
      </w:r>
      <w:r>
        <w:t xml:space="preserve"> </w:t>
      </w:r>
      <m:oMath>
        <m:sSub>
          <m:e>
            <m:r>
              <m:t>H</m:t>
            </m:r>
          </m:e>
          <m:sub>
            <m:r>
              <m:t>1</m:t>
            </m:r>
          </m:sub>
        </m:sSub>
      </m:oMath>
      <w:r>
        <w:rPr>
          <w:b/>
          <w:bCs/>
        </w:rPr>
        <w:t xml:space="preserve">:</w:t>
      </w:r>
      <w:r>
        <w:t xml:space="preserve"> </w:t>
      </w:r>
      <w:r>
        <w:t xml:space="preserve">Chuỗi không có nghiệm đơn vị</w:t>
      </w:r>
      <w:r>
        <w:t xml:space="preserve"> </w:t>
      </w:r>
      <m:oMath>
        <m:r>
          <m:rPr>
            <m:sty m:val="p"/>
          </m:rPr>
          <m:t>⟹</m:t>
        </m:r>
      </m:oMath>
      <w:r>
        <w:t xml:space="preserve"> </w:t>
      </w:r>
      <w:r>
        <w:t xml:space="preserve">Chuỗi Dừng (Với mức ý nghĩa p-value &lt; 0.05).</w:t>
      </w:r>
    </w:p>
    <w:bookmarkStart w:id="20" w:name="kết-quả-kiểm-định-adf-so-sánh-3-bộ-data"/>
    <w:p>
      <w:pPr>
        <w:pStyle w:val="Heading3"/>
      </w:pPr>
      <w:r>
        <w:t xml:space="preserve">Kết Quả Kiểm Định ADF (So Sánh 3 Bộ Data)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Biến Kiểm Định</w:t>
            </w:r>
          </w:p>
        </w:tc>
        <w:tc>
          <w:tcPr/>
          <w:p>
            <w:pPr>
              <w:pStyle w:val="Compact"/>
              <w:jc w:val="left"/>
            </w:pPr>
            <w:r>
              <w:t xml:space="preserve">BID (p-value)</w:t>
            </w:r>
          </w:p>
        </w:tc>
        <w:tc>
          <w:tcPr/>
          <w:p>
            <w:pPr>
              <w:pStyle w:val="Compact"/>
              <w:jc w:val="left"/>
            </w:pPr>
            <w:r>
              <w:t xml:space="preserve">CTG (p-value)</w:t>
            </w:r>
          </w:p>
        </w:tc>
        <w:tc>
          <w:tcPr/>
          <w:p>
            <w:pPr>
              <w:pStyle w:val="Compact"/>
              <w:jc w:val="left"/>
            </w:pPr>
            <w:r>
              <w:t xml:space="preserve">VCB (p-value)</w:t>
            </w:r>
          </w:p>
        </w:tc>
        <w:tc>
          <w:tcPr/>
          <w:p>
            <w:pPr>
              <w:pStyle w:val="Compact"/>
              <w:jc w:val="left"/>
            </w:pPr>
            <w:r>
              <w:t xml:space="preserve">Kết Luận</w:t>
            </w:r>
          </w:p>
        </w:tc>
        <w:tc>
          <w:tcPr/>
          <w:p>
            <w:pPr>
              <w:pStyle w:val="Compact"/>
              <w:jc w:val="left"/>
            </w:pPr>
            <w:r>
              <w:t xml:space="preserve">Ý Nghĩa Chuyên Sâu</w:t>
            </w:r>
          </w:p>
        </w:tc>
      </w:tr>
      <w:tr>
        <w:tc>
          <w:tcPr/>
          <w:p>
            <w:pPr>
              <w:pStyle w:val="Compact"/>
              <w:jc w:val="left"/>
            </w:pPr>
            <w:r>
              <w:rPr>
                <w:b/>
                <w:bCs/>
              </w:rPr>
              <w:t xml:space="preserve">Giá đóng cửa (</w:t>
            </w:r>
            <w:r>
              <w:rPr>
                <w:rStyle w:val="VerbatimChar"/>
                <w:b/>
                <w:bCs/>
              </w:rPr>
              <w:t xml:space="preserve">close</w:t>
            </w:r>
            <w:r>
              <w:rPr>
                <w:b/>
                <w:bCs/>
              </w:rPr>
              <w:t xml:space="preserve">)</w:t>
            </w:r>
          </w:p>
        </w:tc>
        <w:tc>
          <w:tcPr/>
          <w:p>
            <w:pPr>
              <w:pStyle w:val="Compact"/>
              <w:jc w:val="left"/>
            </w:pPr>
            <w:r>
              <w:t xml:space="preserve">0.7978</w:t>
            </w:r>
          </w:p>
        </w:tc>
        <w:tc>
          <w:tcPr/>
          <w:p>
            <w:pPr>
              <w:pStyle w:val="Compact"/>
              <w:jc w:val="left"/>
            </w:pPr>
            <w:r>
              <w:t xml:space="preserve">0.9781</w:t>
            </w:r>
          </w:p>
        </w:tc>
        <w:tc>
          <w:tcPr/>
          <w:p>
            <w:pPr>
              <w:pStyle w:val="Compact"/>
              <w:jc w:val="left"/>
            </w:pPr>
            <w:r>
              <w:t xml:space="preserve">0.6949</w:t>
            </w:r>
          </w:p>
        </w:tc>
        <w:tc>
          <w:tcPr/>
          <w:p>
            <w:pPr>
              <w:pStyle w:val="Compact"/>
              <w:jc w:val="left"/>
            </w:pPr>
            <w:r>
              <w:rPr>
                <w:b/>
                <w:bCs/>
              </w:rPr>
              <w:t xml:space="preserve">Không Dừng</w:t>
            </w:r>
          </w:p>
        </w:tc>
        <w:tc>
          <w:tcPr/>
          <w:p>
            <w:pPr>
              <w:pStyle w:val="Compact"/>
              <w:jc w:val="left"/>
            </w:pPr>
            <w:r>
              <w:t xml:space="preserve">Mức giá thô của ngân hàng mang xu hướng tích luỹ dài hạn (Martingale process). Việc trực tiếp đưa</w:t>
            </w:r>
            <w:r>
              <w:t xml:space="preserve"> </w:t>
            </w:r>
            <w:r>
              <w:rPr>
                <w:rStyle w:val="VerbatimChar"/>
              </w:rPr>
              <w:t xml:space="preserve">close</w:t>
            </w:r>
            <w:r>
              <w:t xml:space="preserve"> </w:t>
            </w:r>
            <w:r>
              <w:t xml:space="preserve">vào GARCH/ARIMA sẽ tạo ra lỗi hồi quy giả mạo (Spurious correlation).</w:t>
            </w:r>
          </w:p>
        </w:tc>
      </w:tr>
      <w:tr>
        <w:tc>
          <w:tcPr/>
          <w:p>
            <w:pPr>
              <w:pStyle w:val="Compact"/>
              <w:jc w:val="left"/>
            </w:pPr>
            <w:r>
              <w:rPr>
                <w:b/>
                <w:bCs/>
              </w:rPr>
              <w:t xml:space="preserve">Lợi suất Log (</w:t>
            </w:r>
            <w:r>
              <w:rPr>
                <w:rStyle w:val="VerbatimChar"/>
                <w:b/>
                <w:bCs/>
              </w:rPr>
              <w:t xml:space="preserve">log_return</w:t>
            </w:r>
            <w:r>
              <w:rPr>
                <w:b/>
                <w:bCs/>
              </w:rPr>
              <w:t xml:space="preserve">)</w:t>
            </w:r>
          </w:p>
        </w:tc>
        <w:tc>
          <w:tcPr/>
          <w:p>
            <w:pPr>
              <w:pStyle w:val="Compact"/>
              <w:jc w:val="left"/>
            </w:pPr>
            <w:r>
              <w:rPr>
                <w:b/>
                <w:bCs/>
              </w:rPr>
              <w:t xml:space="preserve">0.0000</w:t>
            </w:r>
          </w:p>
        </w:tc>
        <w:tc>
          <w:tcPr/>
          <w:p>
            <w:pPr>
              <w:pStyle w:val="Compact"/>
              <w:jc w:val="left"/>
            </w:pPr>
            <w:r>
              <w:rPr>
                <w:b/>
                <w:bCs/>
              </w:rPr>
              <w:t xml:space="preserve">0.0000</w:t>
            </w:r>
          </w:p>
        </w:tc>
        <w:tc>
          <w:tcPr/>
          <w:p>
            <w:pPr>
              <w:pStyle w:val="Compact"/>
              <w:jc w:val="left"/>
            </w:pPr>
            <w:r>
              <w:rPr>
                <w:b/>
                <w:bCs/>
              </w:rPr>
              <w:t xml:space="preserve">0.0000</w:t>
            </w:r>
          </w:p>
        </w:tc>
        <w:tc>
          <w:tcPr/>
          <w:p>
            <w:pPr>
              <w:pStyle w:val="Compact"/>
              <w:jc w:val="left"/>
            </w:pPr>
            <w:r>
              <w:rPr>
                <w:b/>
                <w:bCs/>
              </w:rPr>
              <w:t xml:space="preserve">Rất Dừng (Stationary)</w:t>
            </w:r>
          </w:p>
        </w:tc>
        <w:tc>
          <w:tcPr/>
          <w:p>
            <w:pPr>
              <w:pStyle w:val="Compact"/>
              <w:jc w:val="left"/>
            </w:pPr>
            <w:r>
              <w:t xml:space="preserve">Sự thay đổi gia tốc giá theo tỷ lệ phần trăm được xóa bỏ xu thế dài hạn. Điều kiện vàng để mô hình học máy nhận dạng các điểm đảo chiều.</w:t>
            </w:r>
          </w:p>
        </w:tc>
      </w:tr>
      <w:tr>
        <w:tc>
          <w:tcPr/>
          <w:p>
            <w:pPr>
              <w:pStyle w:val="Compact"/>
              <w:jc w:val="left"/>
            </w:pPr>
            <w:r>
              <w:rPr>
                <w:b/>
                <w:bCs/>
              </w:rPr>
              <w:t xml:space="preserve">Biến động (</w:t>
            </w:r>
            <w:r>
              <w:rPr>
                <w:rStyle w:val="VerbatimChar"/>
                <w:b/>
                <w:bCs/>
              </w:rPr>
              <w:t xml:space="preserve">volatility_20d</w:t>
            </w:r>
            <w:r>
              <w:rPr>
                <w:b/>
                <w:bCs/>
              </w:rPr>
              <w:t xml:space="preserve">)</w:t>
            </w:r>
          </w:p>
        </w:tc>
        <w:tc>
          <w:tcPr/>
          <w:p>
            <w:pPr>
              <w:pStyle w:val="Compact"/>
              <w:jc w:val="left"/>
            </w:pPr>
            <w:r>
              <w:rPr>
                <w:b/>
                <w:bCs/>
              </w:rPr>
              <w:t xml:space="preserve">0.0005</w:t>
            </w:r>
          </w:p>
        </w:tc>
        <w:tc>
          <w:tcPr/>
          <w:p>
            <w:pPr>
              <w:pStyle w:val="Compact"/>
              <w:jc w:val="left"/>
            </w:pPr>
            <w:r>
              <w:rPr>
                <w:b/>
                <w:bCs/>
              </w:rPr>
              <w:t xml:space="preserve">0.0001</w:t>
            </w:r>
          </w:p>
        </w:tc>
        <w:tc>
          <w:tcPr/>
          <w:p>
            <w:pPr>
              <w:pStyle w:val="Compact"/>
              <w:jc w:val="left"/>
            </w:pPr>
            <w:r>
              <w:rPr>
                <w:b/>
                <w:bCs/>
              </w:rPr>
              <w:t xml:space="preserve">0.0001</w:t>
            </w:r>
          </w:p>
        </w:tc>
        <w:tc>
          <w:tcPr/>
          <w:p>
            <w:pPr>
              <w:pStyle w:val="Compact"/>
              <w:jc w:val="left"/>
            </w:pPr>
            <w:r>
              <w:rPr>
                <w:b/>
                <w:bCs/>
              </w:rPr>
              <w:t xml:space="preserve">Dừng (Stationary)</w:t>
            </w:r>
          </w:p>
        </w:tc>
        <w:tc>
          <w:tcPr/>
          <w:p>
            <w:pPr>
              <w:pStyle w:val="Compact"/>
              <w:jc w:val="left"/>
            </w:pPr>
            <w:r>
              <w:t xml:space="preserve">Rủi ro có tính chất quay về mức trung bình (mean-reversion), nó không vỡ tung mà tuân luật lực kéo trung tâm nên phù hợp làm biến Target dự báo.</w:t>
            </w:r>
          </w:p>
        </w:tc>
      </w:tr>
    </w:tbl>
    <w:p>
      <w:pPr>
        <w:pStyle w:val="BodyText"/>
      </w:pPr>
      <w:r>
        <w:rPr>
          <w:i/>
          <w:iCs/>
        </w:rPr>
        <w:t xml:space="preserve">Hệ quả triển khai mô hình:</w:t>
      </w:r>
      <w:r>
        <w:t xml:space="preserve"> </w:t>
      </w:r>
      <w:r>
        <w:t xml:space="preserve">Thay vì dự đoán vào mức giá tuyệt đối</w:t>
      </w:r>
      <w:r>
        <w:t xml:space="preserve"> </w:t>
      </w:r>
      <w:r>
        <w:rPr>
          <w:rStyle w:val="VerbatimChar"/>
        </w:rPr>
        <w:t xml:space="preserve">close</w:t>
      </w:r>
      <w:r>
        <w:t xml:space="preserve"> </w:t>
      </w:r>
      <w:r>
        <w:t xml:space="preserve">tĩnh, thuật toán sẽ dự án hàm</w:t>
      </w:r>
      <w:r>
        <w:t xml:space="preserve"> </w:t>
      </w:r>
      <w:r>
        <w:rPr>
          <w:rStyle w:val="VerbatimChar"/>
        </w:rPr>
        <w:t xml:space="preserve">log_return</w:t>
      </w:r>
      <w:r>
        <w:t xml:space="preserve"> </w:t>
      </w:r>
      <w:r>
        <w:t xml:space="preserve">và</w:t>
      </w:r>
      <w:r>
        <w:t xml:space="preserve"> </w:t>
      </w:r>
      <w:r>
        <w:rPr>
          <w:rStyle w:val="VerbatimChar"/>
        </w:rPr>
        <w:t xml:space="preserve">volatility_20d</w:t>
      </w:r>
      <w:r>
        <w:t xml:space="preserve">. Sau khi có kết quả sinh lời ngày mai, thuật toán sẽ đảo phương trình để tính nghịch đảo giá ngày mai.</w:t>
      </w:r>
    </w:p>
    <w:p>
      <w:r>
        <w:pict>
          <v:rect style="width:0;height:1.5pt" o:hralign="center" o:hrstd="t" o:hr="t"/>
        </w:pict>
      </w:r>
    </w:p>
    <w:bookmarkEnd w:id="20"/>
    <w:bookmarkEnd w:id="21"/>
    <w:bookmarkStart w:id="24" w:name="Xb6327de7be5672bd0db46016f59ceeb02a4c3df"/>
    <w:p>
      <w:pPr>
        <w:pStyle w:val="Heading2"/>
      </w:pPr>
      <w:r>
        <w:t xml:space="preserve">3.5. Phân Tích Thống Kê Mô Tả Nâng Cao (Advanced EDA)</w:t>
      </w:r>
    </w:p>
    <w:p>
      <w:pPr>
        <w:pStyle w:val="FirstParagraph"/>
      </w:pPr>
      <w:r>
        <w:t xml:space="preserve">Việc hiểu sâu hình dạng phân phối (Distribution shape) của bộ dữ liệu là vô cùng quan trọng đối với quản trị rủi ro tài chính. Nghiên cứu thực hiện đánh giá hai chỉ số nâng cao:</w:t>
      </w:r>
      <w:r>
        <w:t xml:space="preserve"> </w:t>
      </w:r>
      <w:r>
        <w:rPr>
          <w:b/>
          <w:bCs/>
        </w:rPr>
        <w:t xml:space="preserve">Độ lệch (Skewness)</w:t>
      </w:r>
      <w:r>
        <w:t xml:space="preserve"> </w:t>
      </w:r>
      <w:r>
        <w:t xml:space="preserve">và</w:t>
      </w:r>
      <w:r>
        <w:t xml:space="preserve"> </w:t>
      </w:r>
      <w:r>
        <w:rPr>
          <w:b/>
          <w:bCs/>
        </w:rPr>
        <w:t xml:space="preserve">Độ nhọn (Kurtosis)</w:t>
      </w:r>
      <w:r>
        <w:t xml:space="preserve"> </w:t>
      </w:r>
      <w:r>
        <w:t xml:space="preserve">trên chuỗi rủi ro và tỷ suất sinh lời của ngân hàng.</w:t>
      </w:r>
    </w:p>
    <w:p>
      <w:pPr>
        <w:pStyle w:val="Compact"/>
        <w:numPr>
          <w:ilvl w:val="0"/>
          <w:numId w:val="1002"/>
        </w:numPr>
      </w:pPr>
      <w:r>
        <w:rPr>
          <w:b/>
          <w:bCs/>
        </w:rPr>
        <w:t xml:space="preserve">Tài chính Lý thuyết:</w:t>
      </w:r>
      <w:r>
        <w:t xml:space="preserve"> </w:t>
      </w:r>
      <w:r>
        <w:t xml:space="preserve">Phân phối lợi suất đạt phân phối chuẩn khi Skewness = 0 và Excess Kurtosis = 0.</w:t>
      </w:r>
    </w:p>
    <w:p>
      <w:pPr>
        <w:pStyle w:val="Compact"/>
        <w:numPr>
          <w:ilvl w:val="0"/>
          <w:numId w:val="1002"/>
        </w:numPr>
      </w:pPr>
      <w:r>
        <w:rPr>
          <w:b/>
          <w:bCs/>
        </w:rPr>
        <w:t xml:space="preserve">Thực tế thị trường:</w:t>
      </w:r>
      <w:r>
        <w:t xml:space="preserve"> </w:t>
      </w:r>
      <w:r>
        <w:t xml:space="preserve">Mức sinh lợi cổ phiếu luôn vi phạm phân phối chuẩn, tạo ra hiện tượng</w:t>
      </w:r>
      <w:r>
        <w:t xml:space="preserve"> </w:t>
      </w:r>
      <w:r>
        <w:rPr>
          <w:b/>
          <w:bCs/>
        </w:rPr>
        <w:t xml:space="preserve">Fat tails</w:t>
      </w:r>
      <w:r>
        <w:t xml:space="preserve"> </w:t>
      </w:r>
      <w:r>
        <w:t xml:space="preserve">(đuôi mập) - tức những thảm họa sập gãy chuỗi giá trị và ngày giảm sàn liên miên xuất hiện với tần suất cực kỳ cao so với lý thuyết đồ thị Bell curve phác họa.</w:t>
      </w:r>
    </w:p>
    <w:bookmarkStart w:id="22" w:name="X4ce79d8a543f47eb9a279daebbc507e0d4dc59b"/>
    <w:p>
      <w:pPr>
        <w:pStyle w:val="Heading3"/>
      </w:pPr>
      <w:r>
        <w:t xml:space="preserve">3.5.1. Kết Quả Thống Kê Skewness Và Kurtosis Từ 3 Bộ Dataset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Đặc trưng rủi ro</w:t>
            </w:r>
          </w:p>
        </w:tc>
        <w:tc>
          <w:tcPr/>
          <w:p>
            <w:pPr>
              <w:pStyle w:val="Compact"/>
              <w:jc w:val="left"/>
            </w:pPr>
            <w:r>
              <w:t xml:space="preserve">BID</w:t>
            </w:r>
          </w:p>
        </w:tc>
        <w:tc>
          <w:tcPr/>
          <w:p>
            <w:pPr>
              <w:pStyle w:val="Compact"/>
              <w:jc w:val="left"/>
            </w:pPr>
            <w:r>
              <w:t xml:space="preserve">CTG</w:t>
            </w:r>
          </w:p>
        </w:tc>
        <w:tc>
          <w:tcPr/>
          <w:p>
            <w:pPr>
              <w:pStyle w:val="Compact"/>
              <w:jc w:val="left"/>
            </w:pPr>
            <w:r>
              <w:t xml:space="preserve">VCB</w:t>
            </w:r>
          </w:p>
        </w:tc>
        <w:tc>
          <w:tcPr/>
          <w:p>
            <w:pPr>
              <w:pStyle w:val="Compact"/>
              <w:jc w:val="left"/>
            </w:pPr>
            <w:r>
              <w:t xml:space="preserve">Giải thích ý nghĩa</w:t>
            </w:r>
          </w:p>
        </w:tc>
      </w:tr>
      <w:tr>
        <w:tc>
          <w:tcPr/>
          <w:p>
            <w:pPr>
              <w:pStyle w:val="Compact"/>
              <w:jc w:val="left"/>
            </w:pPr>
            <w:r>
              <w:rPr>
                <w:b/>
                <w:bCs/>
              </w:rPr>
              <w:t xml:space="preserve">Skewness</w:t>
            </w:r>
            <w:r>
              <w:t xml:space="preserve"> </w:t>
            </w:r>
            <w:r>
              <w:t xml:space="preserve">(Độ lệch của return)</w:t>
            </w:r>
          </w:p>
        </w:tc>
        <w:tc>
          <w:tcPr/>
          <w:p>
            <w:pPr>
              <w:pStyle w:val="Compact"/>
              <w:jc w:val="left"/>
            </w:pPr>
            <w:r>
              <w:t xml:space="preserve">-0.121</w:t>
            </w:r>
          </w:p>
        </w:tc>
        <w:tc>
          <w:tcPr/>
          <w:p>
            <w:pPr>
              <w:pStyle w:val="Compact"/>
              <w:jc w:val="left"/>
            </w:pPr>
            <w:r>
              <w:t xml:space="preserve">-0.147</w:t>
            </w:r>
          </w:p>
        </w:tc>
        <w:tc>
          <w:tcPr/>
          <w:p>
            <w:pPr>
              <w:pStyle w:val="Compact"/>
              <w:jc w:val="left"/>
            </w:pPr>
            <w:r>
              <w:t xml:space="preserve">-0.008</w:t>
            </w:r>
          </w:p>
        </w:tc>
        <w:tc>
          <w:tcPr/>
          <w:p>
            <w:pPr>
              <w:pStyle w:val="Compact"/>
              <w:jc w:val="left"/>
            </w:pPr>
            <w:r>
              <w:t xml:space="preserve">Skewness mang trị số âm báo hiệu</w:t>
            </w:r>
            <w:r>
              <w:t xml:space="preserve"> </w:t>
            </w:r>
            <w:r>
              <w:t xml:space="preserve">“đuôi trái dài hơn đuôi phải”</w:t>
            </w:r>
            <w:r>
              <w:t xml:space="preserve">. Pha thủng đáy tàn khốc rơi nhanh và gắt hơn tiến trình tăng giá từ từ.</w:t>
            </w:r>
          </w:p>
        </w:tc>
      </w:tr>
      <w:tr>
        <w:tc>
          <w:tcPr/>
          <w:p>
            <w:pPr>
              <w:pStyle w:val="Compact"/>
              <w:jc w:val="left"/>
            </w:pPr>
            <w:r>
              <w:rPr>
                <w:b/>
                <w:bCs/>
              </w:rPr>
              <w:t xml:space="preserve">Kurtosis</w:t>
            </w:r>
            <w:r>
              <w:t xml:space="preserve"> </w:t>
            </w:r>
            <w:r>
              <w:t xml:space="preserve">(Độ nhọn đuôi return)</w:t>
            </w:r>
          </w:p>
        </w:tc>
        <w:tc>
          <w:tcPr/>
          <w:p>
            <w:pPr>
              <w:pStyle w:val="Compact"/>
              <w:jc w:val="left"/>
            </w:pPr>
            <w:r>
              <w:t xml:space="preserve">2.208</w:t>
            </w:r>
          </w:p>
        </w:tc>
        <w:tc>
          <w:tcPr/>
          <w:p>
            <w:pPr>
              <w:pStyle w:val="Compact"/>
              <w:jc w:val="left"/>
            </w:pPr>
            <w:r>
              <w:t xml:space="preserve">2.297</w:t>
            </w:r>
          </w:p>
        </w:tc>
        <w:tc>
          <w:tcPr/>
          <w:p>
            <w:pPr>
              <w:pStyle w:val="Compact"/>
              <w:jc w:val="left"/>
            </w:pPr>
            <w:r>
              <w:rPr>
                <w:b/>
                <w:bCs/>
              </w:rPr>
              <w:t xml:space="preserve">3.090</w:t>
            </w:r>
          </w:p>
        </w:tc>
        <w:tc>
          <w:tcPr/>
          <w:p>
            <w:pPr>
              <w:pStyle w:val="Compact"/>
              <w:jc w:val="left"/>
            </w:pPr>
            <w:r>
              <w:t xml:space="preserve">Kurtosis &gt; 0 chỉ điểm cho hiện tượng Đuôi mập (Leptokurtic). VCB có đuôi mập nhọn nhất (tận 3.090), các pha biến động cực đoan của nó kịch tính nhất.</w:t>
            </w:r>
          </w:p>
        </w:tc>
      </w:tr>
      <w:tr>
        <w:tc>
          <w:tcPr/>
          <w:p>
            <w:pPr>
              <w:pStyle w:val="Compact"/>
              <w:jc w:val="left"/>
            </w:pPr>
            <w:r>
              <w:rPr>
                <w:b/>
                <w:bCs/>
              </w:rPr>
              <w:t xml:space="preserve">Kurtosis của Volume</w:t>
            </w:r>
          </w:p>
        </w:tc>
        <w:tc>
          <w:tcPr/>
          <w:p>
            <w:pPr>
              <w:pStyle w:val="Compact"/>
              <w:jc w:val="left"/>
            </w:pPr>
            <w:r>
              <w:t xml:space="preserve">29.257</w:t>
            </w:r>
          </w:p>
        </w:tc>
        <w:tc>
          <w:tcPr/>
          <w:p>
            <w:pPr>
              <w:pStyle w:val="Compact"/>
              <w:jc w:val="left"/>
            </w:pPr>
            <w:r>
              <w:t xml:space="preserve">4.435</w:t>
            </w:r>
          </w:p>
        </w:tc>
        <w:tc>
          <w:tcPr/>
          <w:p>
            <w:pPr>
              <w:pStyle w:val="Compact"/>
              <w:jc w:val="left"/>
            </w:pPr>
            <w:r>
              <w:rPr>
                <w:b/>
                <w:bCs/>
              </w:rPr>
              <w:t xml:space="preserve">48.158</w:t>
            </w:r>
          </w:p>
        </w:tc>
        <w:tc>
          <w:tcPr/>
          <w:p>
            <w:pPr>
              <w:pStyle w:val="Compact"/>
              <w:jc w:val="left"/>
            </w:pPr>
            <w:r>
              <w:t xml:space="preserve">Đột biến cực điểm về Volume. VCB và BID thể hiện cường độ bùng nổ thanh khoản khi nhà đầu tư tháo chạy hoặc bắt đáy quy mô lớn.</w:t>
            </w:r>
          </w:p>
        </w:tc>
      </w:tr>
    </w:tbl>
    <w:bookmarkEnd w:id="22"/>
    <w:bookmarkStart w:id="23" w:name="Xc9c422a076f03ed0d14d9039bdfe760d918cfd7"/>
    <w:p>
      <w:pPr>
        <w:pStyle w:val="Heading3"/>
      </w:pPr>
      <w:r>
        <w:t xml:space="preserve">3.5.2. Diện Mạo Rủi Ro (Risk DNA) Và Đặc Trưng Cổ Phiếu Ngành</w:t>
      </w:r>
    </w:p>
    <w:p>
      <w:pPr>
        <w:pStyle w:val="FirstParagraph"/>
      </w:pPr>
      <w:r>
        <w:t xml:space="preserve">Khi đối chiếu song song các thuộc tính Skewness, Kurtosis và kết quả ADF, nghiên cứu phác thảo thành công chân dung rủi ro dị biệt của 3 tổ chức từ các bộ dữ liệu tương quan.</w:t>
      </w:r>
    </w:p>
    <w:p>
      <w:pPr>
        <w:pStyle w:val="Compact"/>
        <w:numPr>
          <w:ilvl w:val="0"/>
          <w:numId w:val="1003"/>
        </w:numPr>
      </w:pPr>
      <w:r>
        <w:rPr>
          <w:b/>
          <w:bCs/>
        </w:rPr>
        <w:t xml:space="preserve">Hồ sơ BID – Ngân hàng</w:t>
      </w:r>
      <w:r>
        <w:rPr>
          <w:b/>
          <w:bCs/>
        </w:rPr>
        <w:t xml:space="preserve"> </w:t>
      </w:r>
      <w:r>
        <w:rPr>
          <w:b/>
          <w:bCs/>
        </w:rPr>
        <w:t xml:space="preserve">“Momentum Bán lẻ”</w:t>
      </w:r>
      <w:r>
        <w:rPr>
          <w:b/>
          <w:bCs/>
        </w:rPr>
        <w:t xml:space="preserve">:</w:t>
      </w:r>
      <w:r>
        <w:t xml:space="preserve"> </w:t>
      </w:r>
      <w:r>
        <w:t xml:space="preserve">Cổ phiếu BID ít phát sinh ngoại lai ở mức độ giá, thế nhưng số lượng cú đảo Volume thanh khoản dồn ép rất khủng khiếp (Kurtosis = 29.2). Hình thể dữ liệu phát sinh bởi hiệu ứng Fomo chạy theo thông tin của bộ phận nhà đầu tư cá nhân nhưng không đạt đủ biên độ lớn bẻ khóa thị trường chung.</w:t>
      </w:r>
    </w:p>
    <w:p>
      <w:pPr>
        <w:pStyle w:val="Compact"/>
        <w:numPr>
          <w:ilvl w:val="0"/>
          <w:numId w:val="1003"/>
        </w:numPr>
      </w:pPr>
      <w:r>
        <w:rPr>
          <w:b/>
          <w:bCs/>
        </w:rPr>
        <w:t xml:space="preserve">Hồ sơ CTG – Ngân hàng</w:t>
      </w:r>
      <w:r>
        <w:rPr>
          <w:b/>
          <w:bCs/>
        </w:rPr>
        <w:t xml:space="preserve"> </w:t>
      </w:r>
      <w:r>
        <w:rPr>
          <w:b/>
          <w:bCs/>
        </w:rPr>
        <w:t xml:space="preserve">“Nhạy cảm Vĩ mô cực độ”</w:t>
      </w:r>
      <w:r>
        <w:rPr>
          <w:b/>
          <w:bCs/>
        </w:rPr>
        <w:t xml:space="preserve">:</w:t>
      </w:r>
      <w:r>
        <w:t xml:space="preserve"> </w:t>
      </w:r>
      <w:r>
        <w:t xml:space="preserve">Mã có chỉ số Skewness lệch âm chí mạng (-0.147). Trong khi khối lượng vận hành êm ả, mức rớt giá của CTG cực kỳ tàn khốc mỗi khi phát sinh nhiễu loạn của tỷ giá, lạm phát và lãi suất liên ngân hàng tăng vắng. Quán tính rơi tự do biến nó trở thành lựa chọn mang tỷ suất rủi ro sụt giảm cao nhất ở chu kỳ gấu (Bear market).</w:t>
      </w:r>
    </w:p>
    <w:p>
      <w:pPr>
        <w:pStyle w:val="Compact"/>
        <w:numPr>
          <w:ilvl w:val="0"/>
          <w:numId w:val="1003"/>
        </w:numPr>
      </w:pPr>
      <w:r>
        <w:rPr>
          <w:b/>
          <w:bCs/>
        </w:rPr>
        <w:t xml:space="preserve">Hồ sơ VCB – Ngân hàng biểu tượng</w:t>
      </w:r>
      <w:r>
        <w:rPr>
          <w:b/>
          <w:bCs/>
        </w:rPr>
        <w:t xml:space="preserve"> </w:t>
      </w:r>
      <w:r>
        <w:rPr>
          <w:b/>
          <w:bCs/>
        </w:rPr>
        <w:t xml:space="preserve">“Blue-chip Dẫn dắt”</w:t>
      </w:r>
      <w:r>
        <w:rPr>
          <w:b/>
          <w:bCs/>
        </w:rPr>
        <w:t xml:space="preserve">:</w:t>
      </w:r>
      <w:r>
        <w:t xml:space="preserve"> </w:t>
      </w:r>
      <w:r>
        <w:t xml:space="preserve">Vì có cơ chế bám biên sát VNIndex, xác suất tăng hoặc rớt giá khá cân xứng hoàn hảo (Skew -0.008). Tuy nhiên, nó mang mã gen rủi ro</w:t>
      </w:r>
      <w:r>
        <w:t xml:space="preserve"> </w:t>
      </w:r>
      <w:r>
        <w:rPr>
          <w:b/>
          <w:bCs/>
        </w:rPr>
        <w:t xml:space="preserve">đuôi mập nhất</w:t>
      </w:r>
      <w:r>
        <w:t xml:space="preserve"> </w:t>
      </w:r>
      <w:r>
        <w:t xml:space="preserve">nhóm ngân hàng (Kurtosis return = 3.09 và Volume = 48). Khi VCB biến động, đó là biến động kiến tạo thị trường - sức mạnh tổng lực của nhà tạo lập phối hợp quỹ khối ngoại tái định vị thanh khoản với những chuỗi Volume khổng lồ không cách nào chối cãi.</w:t>
      </w:r>
    </w:p>
    <w:bookmarkEnd w:id="23"/>
    <w:bookmarkEnd w:id="24"/>
    <w:bookmarkStart w:id="25" w:name="tóm-tắt-chương-3"/>
    <w:p>
      <w:pPr>
        <w:pStyle w:val="Heading2"/>
      </w:pPr>
      <w:r>
        <w:t xml:space="preserve">TÓM TẮT CHƯƠNG 3</w:t>
      </w:r>
    </w:p>
    <w:p>
      <w:pPr>
        <w:pStyle w:val="FirstParagraph"/>
      </w:pPr>
      <w:r>
        <w:t xml:space="preserve">Bao trùm toàn bộ cấu trúc và sự tương đương với khối lượng 3 chương trong một báo cáo thông thường, Chương 3 đã tái thiết lập một bộ dữ liệu hoàn chỉnh thông qua việc: Lập trình hệ chuẩn xác định vi mô và vĩ mô vào 3 tập Dataset độc lập (BID, CTG, VCB lưu trữ dạng CSV 17 trường); Xóa bỏ nhiễu loạn Missing Values và chứng minh lập trường với dữ liệu Lễ Tết/Outliers; Khẳng định đanh thép tính dừng tĩnh mịch (Stationarity) của lợi suất logarit; Và Phân tích EDA sâu chạm đáy định dạng phân phối Skewness/Kurtosis.</w:t>
      </w:r>
      <w:r>
        <w:t xml:space="preserve"> </w:t>
      </w:r>
      <w:r>
        <w:t xml:space="preserve">Đó là xương sống, là vật liệu thượng hạng với chứng thực rõ ràng giúp XGBoost, NeuralProphet, TFT và GARCH hoạt động chính xác với độ cản nhiễu tốt nhất ở Chương 4 phía sau.</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2026-04-18T02:09:37Z</dcterms:created>
  <dcterms:modified xsi:type="dcterms:W3CDTF">2026-04-18T02:09:37Z</dcterms:modified>
</cp:coreProperties>
</file>

<file path=docProps/custom.xml><?xml version="1.0" encoding="utf-8"?>
<Properties xmlns="http://schemas.openxmlformats.org/officeDocument/2006/custom-properties" xmlns:vt="http://schemas.openxmlformats.org/officeDocument/2006/docPropsVTypes"/>
</file>