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20320</wp:posOffset>
                </wp:positionV>
                <wp:extent cx="1652270" cy="381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352425</wp:posOffset>
                </wp:positionH>
                <wp:positionV relativeFrom="paragraph">
                  <wp:posOffset>29845</wp:posOffset>
                </wp:positionV>
                <wp:extent cx="625475" cy="381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080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${decisionNumber}               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${type} nhân sự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7185" cy="1905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68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tờ trình của Hiệu trưởng điều hành về việc đề xuất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text3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đột xuất nhân sự đã được Giám đốc Điều hành phê duyệt ngày 26/09/2019.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${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text3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${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text1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}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 đồng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${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text2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}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1</Pages>
  <Words>324</Words>
  <Characters>1281</Characters>
  <CharactersWithSpaces>1674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2021-12-24T08:46:13Z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1066-9.1.0.4975</vt:lpwstr>
  </property>
</Properties>
</file>