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20320</wp:posOffset>
                </wp:positionV>
                <wp:extent cx="1650365" cy="190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352425</wp:posOffset>
                </wp:positionH>
                <wp:positionV relativeFrom="paragraph">
                  <wp:posOffset>29845</wp:posOffset>
                </wp:positionV>
                <wp:extent cx="623570" cy="19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080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${decisionNumber}               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V/v: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${type}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 nhân sự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5280" cy="1714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2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42/QĐ - CT ngày 30 tháng 11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của Hiệu trưởng điều hành về việc đề xuất khen thưởng đột xuất nhân sự đã được Giám đốc Điều hành phê duyệt ngày 26/09/2019.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khen thưởng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– chức danh: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, hiện đang công tác tại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Hệ thống Trường mầm non Cỏ Ba Lá – Công ty TNHH Dịch vụ Chấn Thanh.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Lý do: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${reason}.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được thưởng mức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hiện kim ${money}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(${moneyWord} đồng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được chi vào kỳ lương tháng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${timeApply}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Phòng Hành chính – nhân sự có trách nhiệm lưu hồ sơ và là cơ sở để đánh giá thi đua cuối năm.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. Quyết định này có hiệu lực kể từ ký.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có trách nhiệm thực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080" w:footer="0" w:bottom="11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1+LIu84jEsx7C4oS1wQZb+s/NA==">AMUW2mWbsA1X1wb/ynfiQG5ido5H3IT96nB33OGFfSMTJ23jQw+ctJl+mBQ6/TnDuWt34B1fr9Gv13rjLmGpDg54UAe+o/Z/tendy2Dil34Mo6seDNe7Xwk=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328</Words>
  <Characters>1286</Characters>
  <CharactersWithSpaces>1683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2021-03-11T07:24:00Z</dcterms:created>
  <dc:creator>an.nth</dc:creator>
  <dc:description/>
  <dc:language>en-US</dc:language>
  <cp:lastModifiedBy/>
  <dcterms:modified xsi:type="dcterms:W3CDTF">2021-12-22T13:12:37Z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KSOProductBuildVer">
    <vt:lpwstr>1066-9.1.0.4975</vt:lpwstr>
  </property>
</Properties>
</file>