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6555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76pt;margin-top:0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19760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30pt;margin-top:0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Số: ${decisionNumber}/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2019/QĐ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Normal1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V/v: điều động nhân sự </w:t>
      </w:r>
    </w:p>
    <w:p>
      <w:pPr>
        <w:pStyle w:val="Normal1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56pt;margin-top:0pt;width:126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05/QĐ - DA ngày 02 tháng 03 năm 2018 về việc ban hành sơ đồ tổ chức công ty;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${decisionNumber}/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2019/QĐ – CT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ký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ngày ${date} tháng ${month} năm ${year}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giữa Công ty TNHH Dịch vụ Chấn Thanh và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vertAlign w:val="baseline"/>
        </w:rPr>
        <w:t>GIÁM ĐỐC CÔNG TY TNHH DỊCH VỤ CHẤN THANH</w:t>
      </w:r>
    </w:p>
    <w:p>
      <w:pPr>
        <w:pStyle w:val="Normal1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vertAlign w:val="baseline"/>
        </w:rPr>
        <w:t>QUYẾT ĐỊNH: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điều động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đến công tác tại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Công ty TNHH Dịch vụ Chấn Thanh.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Trách nhiệm, quyền hạn, nghĩa vụ của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sẽ do Giám đốc Điều hành phân công và ủy quyền cụ thể theo quy định, quy chế của Công ty.</w:t>
      </w:r>
    </w:p>
    <w:p>
      <w:pPr>
        <w:pStyle w:val="Normal1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Trưởng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/Trưởng phòng Hành chính Hội sở có trách nhiệm báo cáo định kỳ/đột xuất (nếu có) cho Giám đốc Điều hành trong quá trình vận hành.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Quyết định này có hiệu lực kể từ ngày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tự động hết hiệu lực khi có quyết định khác thay thế. </w:t>
      </w:r>
    </w:p>
    <w:p>
      <w:pPr>
        <w:pStyle w:val="Normal1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Normal1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Normal1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Normal1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Normal1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Normal1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Normal1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Normal1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gvw0tBxNqr30PasiM8xOceWelQ==">AMUW2mXP49E7lDWs0iglmSHEeG871PCoQMt1djbTsCTiajNLEIZECzwd3KQPhmUXqphZzodhJYpDIZVBgQafbNZkyjJsaGHD2cJLvINqpDJ4TAb2QoInGR8=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LibreOffice/7.1.2.2$Linux_X86_64 LibreOffice_project/10$Build-2</Application>
  <AppVersion>15.0000</AppVersion>
  <Pages>1</Pages>
  <Words>343</Words>
  <Characters>1370</Characters>
  <CharactersWithSpaces>1750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2021-03-11T07:25:00Z</dcterms:created>
  <dc:creator>an.nth</dc:creator>
  <dc:description/>
  <dc:language>en-US</dc:language>
  <cp:lastModifiedBy/>
  <dcterms:modified xsi:type="dcterms:W3CDTF">2021-05-14T16:01:36Z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