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120"/>
        <w:jc w:val="center"/>
      </w:pPr>
      <w:r>
        <w:rPr>
          <w:rFonts w:ascii="Times New Roman" w:hAnsi="Times New Roman" w:eastAsia="Times New Roman"/>
          <w:b/>
          <w:i w:val="0"/>
          <w:color w:val="000000"/>
          <w:sz w:val="32"/>
        </w:rPr>
        <w:t>CartScan A Location Aware Cross Platform Grocery Price Comparison System</w:t>
      </w:r>
    </w:p>
    <w:p>
      <w:pPr>
        <w:spacing w:after="20"/>
        <w:jc w:val="center"/>
      </w:pPr>
      <w:r>
        <w:rPr>
          <w:rFonts w:ascii="Times New Roman" w:hAnsi="Times New Roman" w:eastAsia="Times New Roman"/>
          <w:b w:val="0"/>
          <w:i/>
          <w:color w:val="000000"/>
          <w:sz w:val="20"/>
        </w:rPr>
        <w:t>Mayank Sen, Kartavya Lohawe, Luv Katre</w:t>
      </w:r>
    </w:p>
    <w:p>
      <w:pPr>
        <w:spacing w:after="20"/>
        <w:jc w:val="center"/>
      </w:pPr>
      <w:r>
        <w:rPr>
          <w:rFonts w:ascii="Times New Roman" w:hAnsi="Times New Roman" w:eastAsia="Times New Roman"/>
          <w:b w:val="0"/>
          <w:i/>
          <w:color w:val="000000"/>
          <w:sz w:val="18"/>
        </w:rPr>
        <w:t>Department of Computer Science and Engineering</w:t>
      </w:r>
    </w:p>
    <w:p>
      <w:pPr>
        <w:spacing w:after="20"/>
        <w:jc w:val="center"/>
      </w:pPr>
      <w:r>
        <w:rPr>
          <w:rFonts w:ascii="Times New Roman" w:hAnsi="Times New Roman" w:eastAsia="Times New Roman"/>
          <w:b w:val="0"/>
          <w:i/>
          <w:color w:val="000000"/>
          <w:sz w:val="18"/>
        </w:rPr>
        <w:t>G H Raisoni College of Engineering and Management, Nagpur, India</w:t>
      </w:r>
    </w:p>
    <w:p>
      <w:pPr>
        <w:spacing w:after="180"/>
        <w:jc w:val="center"/>
      </w:pPr>
      <w:r>
        <w:rPr>
          <w:rFonts w:ascii="Times New Roman" w:hAnsi="Times New Roman" w:eastAsia="Times New Roman"/>
          <w:b w:val="0"/>
          <w:i/>
          <w:color w:val="000000"/>
          <w:sz w:val="18"/>
        </w:rPr>
        <w:t>Project Guide: Ms. Ranjana Shende</w:t>
      </w:r>
    </w:p>
    <w:p>
      <w:pPr>
        <w:keepNext/>
        <w:spacing w:before="200" w:after="80"/>
        <w:jc w:val="left"/>
      </w:pPr>
      <w:r>
        <w:rPr>
          <w:rFonts w:ascii="Times New Roman" w:hAnsi="Times New Roman" w:eastAsia="Times New Roman"/>
          <w:b/>
          <w:i w:val="0"/>
          <w:color w:val="000000"/>
          <w:sz w:val="22"/>
        </w:rPr>
        <w:t>ABSTRACT</w:t>
      </w:r>
    </w:p>
    <w:p>
      <w:pPr>
        <w:spacing w:before="0" w:after="100" w:line="240" w:lineRule="auto"/>
        <w:ind w:firstLine="0"/>
        <w:jc w:val="both"/>
      </w:pPr>
      <w:r>
        <w:rPr>
          <w:rFonts w:ascii="Times New Roman" w:hAnsi="Times New Roman" w:eastAsia="Times New Roman"/>
          <w:b w:val="0"/>
          <w:i w:val="0"/>
          <w:color w:val="000000"/>
          <w:sz w:val="21"/>
        </w:rPr>
        <w:t>Quick-commerce grocery platforms expose separate, location-dependent product catalogues, prices, and stock conditions. Consequently, comparing the displayed price of two products across platforms can be misleading when their pack sizes, variants, or availability differ. This paper presents CartScan, a prototype system for location-aware grocery comparison across Blinkit, Zepto, and Swiggy Instamart. A Flutter client accepts a product query and, with user permission, captures device coordinates. A FastAPI backend initiates provider-specific, location-bound browser sessions concurrently, establishes the relevant local-store context, retrieves available search listings, and maps them to a common product representation. A guarded matching stage permits comparisons only when product title or category, brand, package form, and quantity dimension are compatible. The system then calculates transparent unit prices in Indian rupees per 100 g, per 100 ml, or per item, including total-quantity calculation for multipacks. Progressive result delivery allows the client to show available results while slower provider retrieval continues. The work contributes an engineering architecture focused on location fidelity, conservative product matching, and fair unit-price comparison. The paper reports a functional prototype and qualitative validation approach; it does not claim unsupported accuracy, latency, price-savings, coverage, or sustainability metrics.</w:t>
      </w:r>
    </w:p>
    <w:p>
      <w:pPr>
        <w:spacing w:before="0" w:after="160" w:line="240" w:lineRule="auto"/>
        <w:ind w:firstLine="0"/>
        <w:jc w:val="both"/>
      </w:pPr>
      <w:r>
        <w:rPr>
          <w:rFonts w:ascii="Times New Roman" w:hAnsi="Times New Roman" w:eastAsia="Times New Roman"/>
          <w:b/>
          <w:i w:val="0"/>
          <w:color w:val="000000"/>
          <w:sz w:val="20"/>
        </w:rPr>
        <w:t>Keywords—</w:t>
      </w:r>
      <w:r>
        <w:rPr>
          <w:rFonts w:ascii="Times New Roman" w:hAnsi="Times New Roman" w:eastAsia="Times New Roman"/>
          <w:b w:val="0"/>
          <w:i w:val="0"/>
          <w:color w:val="000000"/>
          <w:sz w:val="20"/>
        </w:rPr>
        <w:t xml:space="preserve"> quick commerce, grocery price comparison, entity matching, unit-price normalisation, geolocation, Flutter, FastAPI.</w:t>
      </w:r>
    </w:p>
    <w:p>
      <w:pPr>
        <w:keepNext/>
        <w:spacing w:before="200" w:after="80"/>
        <w:jc w:val="left"/>
      </w:pPr>
      <w:r>
        <w:rPr>
          <w:rFonts w:ascii="Times New Roman" w:hAnsi="Times New Roman" w:eastAsia="Times New Roman"/>
          <w:b/>
          <w:i w:val="0"/>
          <w:color w:val="000000"/>
          <w:sz w:val="22"/>
        </w:rPr>
        <w:t>I. INTRODUCTION</w:t>
      </w:r>
    </w:p>
    <w:p>
      <w:pPr>
        <w:spacing w:before="0" w:after="80" w:line="240" w:lineRule="auto"/>
        <w:ind w:firstLine="288"/>
        <w:jc w:val="both"/>
      </w:pPr>
      <w:r>
        <w:rPr>
          <w:rFonts w:ascii="Times New Roman" w:hAnsi="Times New Roman" w:eastAsia="Times New Roman"/>
          <w:b w:val="0"/>
          <w:i w:val="0"/>
          <w:color w:val="000000"/>
          <w:sz w:val="21"/>
        </w:rPr>
        <w:t>Rapid grocery-delivery platforms allow consumers to order daily-use items within short delivery windows. A shopper who wishes to compare a product across platforms, however, must normally switch among separate applications, set a delivery location repeatedly, search each catalogue, and decide whether the resulting pack sizes and variants are genuinely comparable. Online-grocery studies show that prices can vary across sellers and local markets, which makes manual comparison both useful and time-consuming [1], [2].</w:t>
      </w:r>
    </w:p>
    <w:p>
      <w:pPr>
        <w:spacing w:before="0" w:after="80" w:line="240" w:lineRule="auto"/>
        <w:ind w:firstLine="288"/>
        <w:jc w:val="both"/>
      </w:pPr>
      <w:r>
        <w:rPr>
          <w:rFonts w:ascii="Times New Roman" w:hAnsi="Times New Roman" w:eastAsia="Times New Roman"/>
          <w:b w:val="0"/>
          <w:i w:val="0"/>
          <w:color w:val="000000"/>
          <w:sz w:val="21"/>
        </w:rPr>
        <w:t>The task is more difficult than a direct price lookup. A platform can expose different inventory, serviceability, product cards, and displayed prices after a different delivery location is selected. Further, two records with similar titles may describe different flavours, formulations, weights, pack counts, or product categories. A lower displayed price is therefore not automatically a better deal. Unit-price information provides a clearer basis for comparing different compatible quantities, especially when consumers are making decisions under time pressure [3].</w:t>
      </w:r>
    </w:p>
    <w:p>
      <w:pPr>
        <w:spacing w:before="0" w:after="80" w:line="240" w:lineRule="auto"/>
        <w:ind w:firstLine="288"/>
        <w:jc w:val="both"/>
      </w:pPr>
      <w:r>
        <w:rPr>
          <w:rFonts w:ascii="Times New Roman" w:hAnsi="Times New Roman" w:eastAsia="Times New Roman"/>
          <w:b w:val="0"/>
          <w:i w:val="0"/>
          <w:color w:val="000000"/>
          <w:sz w:val="21"/>
        </w:rPr>
        <w:t>CartScan addresses this problem through a location-aware, cross-platform grocery-comparison prototype for Blinkit, Zepto, and Swiggy Instamart. The system receives a user query and consented coordinates, retrieves location-bound listings through concurrent provider browser flows, standardises product records, applies compatibility checks before matching products, and compares valid records using unit-price normalisation. Results are point-in-time observations for the selected location, rather than a permanent price claim or a final-cart-price guarantee.</w:t>
      </w:r>
    </w:p>
    <w:p>
      <w:pPr>
        <w:spacing w:before="0" w:after="80" w:line="240" w:lineRule="auto"/>
        <w:ind w:firstLine="288"/>
        <w:jc w:val="both"/>
      </w:pPr>
      <w:r>
        <w:rPr>
          <w:rFonts w:ascii="Times New Roman" w:hAnsi="Times New Roman" w:eastAsia="Times New Roman"/>
          <w:b w:val="0"/>
          <w:i w:val="0"/>
          <w:color w:val="000000"/>
          <w:sz w:val="21"/>
        </w:rPr>
        <w:t>The work is guided by the following questions: how can a single request coordinate location-dependent retrieval across multiple quick-commerce providers; how can incompatible variants be excluded from comparison; how can quantity and multipack information support fair unit-price calculation; and how can early results be shown while slower provider flows continue?</w:t>
      </w:r>
    </w:p>
    <w:p>
      <w:pPr>
        <w:spacing w:before="0" w:after="40" w:line="240" w:lineRule="auto"/>
        <w:ind w:firstLine="0"/>
        <w:jc w:val="both"/>
      </w:pPr>
      <w:r>
        <w:rPr>
          <w:rFonts w:ascii="Times New Roman" w:hAnsi="Times New Roman" w:eastAsia="Times New Roman"/>
          <w:b w:val="0"/>
          <w:i w:val="0"/>
          <w:color w:val="000000"/>
          <w:sz w:val="21"/>
        </w:rPr>
        <w:t>The principal contributions are listed below.</w:t>
      </w:r>
    </w:p>
    <w:p>
      <w:pPr>
        <w:spacing w:after="40" w:line="240" w:lineRule="auto"/>
        <w:ind w:left="403" w:hanging="259"/>
        <w:jc w:val="both"/>
      </w:pPr>
      <w:r>
        <w:rPr>
          <w:rFonts w:ascii="Times New Roman" w:hAnsi="Times New Roman" w:eastAsia="Times New Roman"/>
          <w:b w:val="0"/>
          <w:i w:val="0"/>
          <w:color w:val="000000"/>
          <w:sz w:val="20"/>
        </w:rPr>
        <w:t>1) A location-bound, multi-provider retrieval architecture for the three supported platforms.</w:t>
      </w:r>
    </w:p>
    <w:p>
      <w:pPr>
        <w:spacing w:after="40" w:line="240" w:lineRule="auto"/>
        <w:ind w:left="403" w:hanging="259"/>
        <w:jc w:val="both"/>
      </w:pPr>
      <w:r>
        <w:rPr>
          <w:rFonts w:ascii="Times New Roman" w:hAnsi="Times New Roman" w:eastAsia="Times New Roman"/>
          <w:b w:val="0"/>
          <w:i w:val="0"/>
          <w:color w:val="000000"/>
          <w:sz w:val="20"/>
        </w:rPr>
        <w:t>2) A provider-neutral representation for heterogeneous grocery listing data.</w:t>
      </w:r>
    </w:p>
    <w:p>
      <w:pPr>
        <w:spacing w:after="40" w:line="240" w:lineRule="auto"/>
        <w:ind w:left="403" w:hanging="259"/>
        <w:jc w:val="both"/>
      </w:pPr>
      <w:r>
        <w:rPr>
          <w:rFonts w:ascii="Times New Roman" w:hAnsi="Times New Roman" w:eastAsia="Times New Roman"/>
          <w:b w:val="0"/>
          <w:i w:val="0"/>
          <w:color w:val="000000"/>
          <w:sz w:val="20"/>
        </w:rPr>
        <w:t>3) Guarded product-matching checks that reduce misleading cross-variant comparisons.</w:t>
      </w:r>
    </w:p>
    <w:p>
      <w:pPr>
        <w:spacing w:after="40" w:line="240" w:lineRule="auto"/>
        <w:ind w:left="403" w:hanging="259"/>
        <w:jc w:val="both"/>
      </w:pPr>
      <w:r>
        <w:rPr>
          <w:rFonts w:ascii="Times New Roman" w:hAnsi="Times New Roman" w:eastAsia="Times New Roman"/>
          <w:b w:val="0"/>
          <w:i w:val="0"/>
          <w:color w:val="000000"/>
          <w:sz w:val="20"/>
        </w:rPr>
        <w:t>4) Multipack-aware unit-price normalisation for compatible weight, volume, and count items.</w:t>
      </w:r>
    </w:p>
    <w:p>
      <w:pPr>
        <w:spacing w:after="40" w:line="240" w:lineRule="auto"/>
        <w:ind w:left="403" w:hanging="259"/>
        <w:jc w:val="both"/>
      </w:pPr>
      <w:r>
        <w:rPr>
          <w:rFonts w:ascii="Times New Roman" w:hAnsi="Times New Roman" w:eastAsia="Times New Roman"/>
          <w:b w:val="0"/>
          <w:i w:val="0"/>
          <w:color w:val="000000"/>
          <w:sz w:val="20"/>
        </w:rPr>
        <w:t>5) Progressive result delivery so available results can be surfaced before all provider tasks finish.</w:t>
      </w:r>
    </w:p>
    <w:p>
      <w:pPr>
        <w:keepNext/>
        <w:spacing w:before="200" w:after="80"/>
        <w:jc w:val="left"/>
      </w:pPr>
      <w:r>
        <w:rPr>
          <w:rFonts w:ascii="Times New Roman" w:hAnsi="Times New Roman" w:eastAsia="Times New Roman"/>
          <w:b/>
          <w:i w:val="0"/>
          <w:color w:val="000000"/>
          <w:sz w:val="22"/>
        </w:rPr>
        <w:t>II. LITERATURE SURVEY AND RESEARCH GAP</w:t>
      </w:r>
    </w:p>
    <w:p>
      <w:pPr>
        <w:keepNext/>
        <w:spacing w:before="140" w:after="40"/>
        <w:jc w:val="left"/>
      </w:pPr>
      <w:r>
        <w:rPr>
          <w:rFonts w:ascii="Times New Roman" w:hAnsi="Times New Roman" w:eastAsia="Times New Roman"/>
          <w:b/>
          <w:i w:val="0"/>
          <w:color w:val="000000"/>
          <w:sz w:val="21"/>
        </w:rPr>
        <w:t>A. Online Grocery Price Comparison</w:t>
      </w:r>
    </w:p>
    <w:p>
      <w:pPr>
        <w:spacing w:before="0" w:after="80" w:line="240" w:lineRule="auto"/>
        <w:ind w:firstLine="288"/>
        <w:jc w:val="both"/>
      </w:pPr>
      <w:r>
        <w:rPr>
          <w:rFonts w:ascii="Times New Roman" w:hAnsi="Times New Roman" w:eastAsia="Times New Roman"/>
          <w:b w:val="0"/>
          <w:i w:val="0"/>
          <w:color w:val="000000"/>
          <w:sz w:val="21"/>
        </w:rPr>
        <w:t>Research on online grocery markets has identified price dispersion and retailer heterogeneity as important characteristics of digital grocery retail [1], [2]. These findings motivate tools that reduce the effort required to inspect comparable offers. They do not, however, imply that a displayed product price is universally valid: quick-commerce listings remain dependent on location, store context, stock state, and retrieval time.</w:t>
      </w:r>
    </w:p>
    <w:p>
      <w:pPr>
        <w:keepNext/>
        <w:spacing w:before="140" w:after="40"/>
        <w:jc w:val="left"/>
      </w:pPr>
      <w:r>
        <w:rPr>
          <w:rFonts w:ascii="Times New Roman" w:hAnsi="Times New Roman" w:eastAsia="Times New Roman"/>
          <w:b/>
          <w:i w:val="0"/>
          <w:color w:val="000000"/>
          <w:sz w:val="21"/>
        </w:rPr>
        <w:t>B. Unit Prices and Product Compatibility</w:t>
      </w:r>
    </w:p>
    <w:p>
      <w:pPr>
        <w:spacing w:before="0" w:after="80" w:line="240" w:lineRule="auto"/>
        <w:ind w:firstLine="288"/>
        <w:jc w:val="both"/>
      </w:pPr>
      <w:r>
        <w:rPr>
          <w:rFonts w:ascii="Times New Roman" w:hAnsi="Times New Roman" w:eastAsia="Times New Roman"/>
          <w:b w:val="0"/>
          <w:i w:val="0"/>
          <w:color w:val="000000"/>
          <w:sz w:val="21"/>
        </w:rPr>
        <w:t>Unit pricing is useful when the same compatible product is sold in different weights, volumes, or counts. The consumer value of unit-price information has been established in retail decision research [3]. Product labels and net-quantity information are also material for Indian packaged goods [4]. In CartScan, unit-price calculation is deliberately performed only after compatibility checks. This prevents a mathematically correct price-per-unit value from being presented for two semantically different products.</w:t>
      </w:r>
    </w:p>
    <w:p>
      <w:pPr>
        <w:keepNext/>
        <w:spacing w:before="140" w:after="40"/>
        <w:jc w:val="left"/>
      </w:pPr>
      <w:r>
        <w:rPr>
          <w:rFonts w:ascii="Times New Roman" w:hAnsi="Times New Roman" w:eastAsia="Times New Roman"/>
          <w:b/>
          <w:i w:val="0"/>
          <w:color w:val="000000"/>
          <w:sz w:val="21"/>
        </w:rPr>
        <w:t>C. Product Matching Across Heterogeneous Catalogues</w:t>
      </w:r>
    </w:p>
    <w:p>
      <w:pPr>
        <w:spacing w:before="0" w:after="80" w:line="240" w:lineRule="auto"/>
        <w:ind w:firstLine="288"/>
        <w:jc w:val="both"/>
      </w:pPr>
      <w:r>
        <w:rPr>
          <w:rFonts w:ascii="Times New Roman" w:hAnsi="Times New Roman" w:eastAsia="Times New Roman"/>
          <w:b w:val="0"/>
          <w:i w:val="0"/>
          <w:color w:val="000000"/>
          <w:sz w:val="21"/>
        </w:rPr>
        <w:t>Entity resolution studies describe the difficulty of determining whether records from separate sources refer to the same real-world item [5]. Product-matching work further shows that e-commerce titles can differ in wording, token order, and completeness [6]. These studies motivate using multiple attributes rather than title similarity alone. CartScan follows a conservative engineering approach: title and brand signals are examined together with product form, category, and quantity-dimension safeguards.</w:t>
      </w:r>
    </w:p>
    <w:p>
      <w:pPr>
        <w:keepNext/>
        <w:spacing w:before="140" w:after="40"/>
        <w:jc w:val="left"/>
      </w:pPr>
      <w:r>
        <w:rPr>
          <w:rFonts w:ascii="Times New Roman" w:hAnsi="Times New Roman" w:eastAsia="Times New Roman"/>
          <w:b/>
          <w:i w:val="0"/>
          <w:color w:val="000000"/>
          <w:sz w:val="21"/>
        </w:rPr>
        <w:t>D. Research Gap</w:t>
      </w:r>
    </w:p>
    <w:p>
      <w:pPr>
        <w:spacing w:before="0" w:after="80" w:line="240" w:lineRule="auto"/>
        <w:ind w:firstLine="288"/>
        <w:jc w:val="both"/>
      </w:pPr>
      <w:r>
        <w:rPr>
          <w:rFonts w:ascii="Times New Roman" w:hAnsi="Times New Roman" w:eastAsia="Times New Roman"/>
          <w:b w:val="0"/>
          <w:i w:val="0"/>
          <w:color w:val="000000"/>
          <w:sz w:val="21"/>
        </w:rPr>
        <w:t>Existing research provides foundations for online price analysis, unit-price reasoning, and entity matching. The implementation gap addressed here is an end-to-end, user-facing workflow that simultaneously preserves local-store context, accommodates provider-specific search journeys, normalises grocery listing data, and refuses comparisons that fail basic product compatibility checks. CartScan is designed as a functional prototype for this gap rather than as a claim of exhaustive catalogue coverage or a universal price-optimisation service.</w:t>
      </w:r>
    </w:p>
    <w:p>
      <w:pPr>
        <w:keepNext/>
        <w:spacing w:before="200" w:after="80"/>
        <w:jc w:val="left"/>
      </w:pPr>
      <w:r>
        <w:rPr>
          <w:rFonts w:ascii="Times New Roman" w:hAnsi="Times New Roman" w:eastAsia="Times New Roman"/>
          <w:b/>
          <w:i w:val="0"/>
          <w:color w:val="000000"/>
          <w:sz w:val="22"/>
        </w:rPr>
        <w:t>III. RESEARCH DESCRIPTION AND METHODOLOGY</w:t>
      </w:r>
    </w:p>
    <w:p>
      <w:pPr>
        <w:keepNext/>
        <w:spacing w:before="140" w:after="40"/>
        <w:jc w:val="left"/>
      </w:pPr>
      <w:r>
        <w:rPr>
          <w:rFonts w:ascii="Times New Roman" w:hAnsi="Times New Roman" w:eastAsia="Times New Roman"/>
          <w:b/>
          <w:i w:val="0"/>
          <w:color w:val="000000"/>
          <w:sz w:val="21"/>
        </w:rPr>
        <w:t>A. System Overview</w:t>
      </w:r>
    </w:p>
    <w:p>
      <w:pPr>
        <w:spacing w:before="0" w:after="80" w:line="240" w:lineRule="auto"/>
        <w:ind w:firstLine="288"/>
        <w:jc w:val="both"/>
      </w:pPr>
      <w:r>
        <w:rPr>
          <w:rFonts w:ascii="Times New Roman" w:hAnsi="Times New Roman" w:eastAsia="Times New Roman"/>
          <w:b w:val="0"/>
          <w:i w:val="0"/>
          <w:color w:val="000000"/>
          <w:sz w:val="21"/>
        </w:rPr>
        <w:t>CartScan is organised as a mobile client, a comparison backend, and provider-specific retrieval adapters. The client obtains a grocery query and the user's location permission. The backend launches independent provider tasks, receives available listings, transforms them into a common representation, removes duplicates where possible, applies guarded matching, and produces comparable unit-price cards. The design treats location as an input to store selection and serviceability, not merely as a label displayed to the user.</w:t>
      </w:r>
    </w:p>
    <w:p>
      <w:pPr>
        <w:spacing w:before="80" w:after="40"/>
        <w:jc w:val="center"/>
      </w:pPr>
      <w:r>
        <w:rPr>
          <w:rFonts w:ascii="Times New Roman" w:hAnsi="Times New Roman" w:eastAsia="Times New Roman"/>
          <w:b/>
          <w:i w:val="0"/>
          <w:color w:val="000000"/>
          <w:sz w:val="18"/>
        </w:rPr>
        <w:t>TABLE I</w:t>
      </w:r>
      <w:r>
        <w:rPr>
          <w:rFonts w:ascii="Times New Roman" w:hAnsi="Times New Roman" w:eastAsia="Times New Roman"/>
          <w:b/>
          <w:i w:val="0"/>
          <w:color w:val="000000"/>
          <w:sz w:val="18"/>
        </w:rPr>
        <w:br/>
        <w:t>CARTSCAN PROCESSING STAGES</w:t>
      </w:r>
    </w:p>
    <w:tbl>
      <w:tblPr>
        <w:tblStyle w:val="TableGrid"/>
        <w:tblW w:type="auto" w:w="0"/>
        <w:tblLayout w:type="autofit"/>
        <w:tblLook w:firstColumn="1" w:firstRow="1" w:lastColumn="0" w:lastRow="0" w:noHBand="0" w:noVBand="1" w:val="04A0"/>
      </w:tblPr>
      <w:tblGrid>
        <w:gridCol w:w="3389"/>
        <w:gridCol w:w="3389"/>
        <w:gridCol w:w="3389"/>
      </w:tblGrid>
      <w:tr>
        <w:trPr/>
        <w:tc>
          <w:tcPr>
            <w:tcW w:type="dxa" w:w="1512"/>
            <w:shd w:fill="1F4E79"/>
            <w:tcBorders>
              <w:top w:val="single" w:sz="6" w:space="0" w:color="1F4E79"/>
              <w:left w:val="single" w:sz="6" w:space="0" w:color="1F4E79"/>
              <w:bottom w:val="single" w:sz="6" w:space="0" w:color="1F4E79"/>
              <w:right w:val="single" w:sz="6" w:space="0" w:color="1F4E79"/>
              <w:insideH w:val="single" w:sz="6" w:space="0" w:color="1F4E79"/>
              <w:insideV w:val="single" w:sz="6" w:space="0" w:color="1F4E79"/>
            </w:tcBorders>
            <w:vAlign w:val="center"/>
          </w:tcPr>
          <w:p>
            <w:pPr>
              <w:spacing w:before="0" w:after="0" w:line="240" w:lineRule="auto"/>
              <w:jc w:val="center"/>
            </w:pPr>
            <w:r/>
            <w:r>
              <w:rPr>
                <w:rFonts w:ascii="Times New Roman" w:hAnsi="Times New Roman" w:eastAsia="Times New Roman"/>
                <w:b/>
                <w:i w:val="0"/>
                <w:color w:val="FFFFFF"/>
                <w:sz w:val="17"/>
              </w:rPr>
              <w:t>Stage</w:t>
            </w:r>
          </w:p>
        </w:tc>
        <w:tc>
          <w:tcPr>
            <w:tcW w:type="dxa" w:w="5544"/>
            <w:shd w:fill="1F4E79"/>
            <w:tcBorders>
              <w:top w:val="single" w:sz="6" w:space="0" w:color="1F4E79"/>
              <w:left w:val="single" w:sz="6" w:space="0" w:color="1F4E79"/>
              <w:bottom w:val="single" w:sz="6" w:space="0" w:color="1F4E79"/>
              <w:right w:val="single" w:sz="6" w:space="0" w:color="1F4E79"/>
              <w:insideH w:val="single" w:sz="6" w:space="0" w:color="1F4E79"/>
              <w:insideV w:val="single" w:sz="6" w:space="0" w:color="1F4E79"/>
            </w:tcBorders>
            <w:vAlign w:val="center"/>
          </w:tcPr>
          <w:p>
            <w:pPr>
              <w:spacing w:before="0" w:after="0" w:line="240" w:lineRule="auto"/>
              <w:jc w:val="center"/>
            </w:pPr>
            <w:r/>
            <w:r>
              <w:rPr>
                <w:rFonts w:ascii="Times New Roman" w:hAnsi="Times New Roman" w:eastAsia="Times New Roman"/>
                <w:b/>
                <w:i w:val="0"/>
                <w:color w:val="FFFFFF"/>
                <w:sz w:val="17"/>
              </w:rPr>
              <w:t>Main operation</w:t>
            </w:r>
          </w:p>
        </w:tc>
        <w:tc>
          <w:tcPr>
            <w:tcW w:type="dxa" w:w="2376"/>
            <w:shd w:fill="1F4E79"/>
            <w:tcBorders>
              <w:top w:val="single" w:sz="6" w:space="0" w:color="1F4E79"/>
              <w:left w:val="single" w:sz="6" w:space="0" w:color="1F4E79"/>
              <w:bottom w:val="single" w:sz="6" w:space="0" w:color="1F4E79"/>
              <w:right w:val="single" w:sz="6" w:space="0" w:color="1F4E79"/>
              <w:insideH w:val="single" w:sz="6" w:space="0" w:color="1F4E79"/>
              <w:insideV w:val="single" w:sz="6" w:space="0" w:color="1F4E79"/>
            </w:tcBorders>
            <w:vAlign w:val="center"/>
          </w:tcPr>
          <w:p>
            <w:pPr>
              <w:spacing w:before="0" w:after="0" w:line="240" w:lineRule="auto"/>
              <w:jc w:val="center"/>
            </w:pPr>
            <w:r/>
            <w:r>
              <w:rPr>
                <w:rFonts w:ascii="Times New Roman" w:hAnsi="Times New Roman" w:eastAsia="Times New Roman"/>
                <w:b/>
                <w:i w:val="0"/>
                <w:color w:val="FFFFFF"/>
                <w:sz w:val="17"/>
              </w:rPr>
              <w:t>Output</w:t>
            </w:r>
          </w:p>
        </w:tc>
      </w:tr>
      <w:tr>
        <w:trPr/>
        <w:tc>
          <w:tcPr>
            <w:tcW w:type="dxa" w:w="151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1. Request</w:t>
            </w:r>
          </w:p>
        </w:tc>
        <w:tc>
          <w:tcPr>
            <w:tcW w:type="dxa" w:w="554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Collect a product query and user-consented coordinates.</w:t>
            </w:r>
          </w:p>
        </w:tc>
        <w:tc>
          <w:tcPr>
            <w:tcW w:type="dxa" w:w="237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Location-aware comparison request</w:t>
            </w:r>
          </w:p>
        </w:tc>
      </w:tr>
      <w:tr>
        <w:trPr/>
        <w:tc>
          <w:tcPr>
            <w:tcW w:type="dxa" w:w="151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2. Provider retrieval</w:t>
            </w:r>
          </w:p>
        </w:tc>
        <w:tc>
          <w:tcPr>
            <w:tcW w:type="dxa" w:w="554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Set provider location or local-store context and search independently.</w:t>
            </w:r>
          </w:p>
        </w:tc>
        <w:tc>
          <w:tcPr>
            <w:tcW w:type="dxa" w:w="237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Provider-labelled listing batches</w:t>
            </w:r>
          </w:p>
        </w:tc>
      </w:tr>
      <w:tr>
        <w:trPr/>
        <w:tc>
          <w:tcPr>
            <w:tcW w:type="dxa" w:w="151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3. Normalisation</w:t>
            </w:r>
          </w:p>
        </w:tc>
        <w:tc>
          <w:tcPr>
            <w:tcW w:type="dxa" w:w="554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Map page-specific records into a common product schema.</w:t>
            </w:r>
          </w:p>
        </w:tc>
        <w:tc>
          <w:tcPr>
            <w:tcW w:type="dxa" w:w="237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Comparable structured records</w:t>
            </w:r>
          </w:p>
        </w:tc>
      </w:tr>
      <w:tr>
        <w:trPr/>
        <w:tc>
          <w:tcPr>
            <w:tcW w:type="dxa" w:w="151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4. Matching</w:t>
            </w:r>
          </w:p>
        </w:tc>
        <w:tc>
          <w:tcPr>
            <w:tcW w:type="dxa" w:w="554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Apply title, brand, form, category, and quantity guards.</w:t>
            </w:r>
          </w:p>
        </w:tc>
        <w:tc>
          <w:tcPr>
            <w:tcW w:type="dxa" w:w="237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Compatible candidate pairs</w:t>
            </w:r>
          </w:p>
        </w:tc>
      </w:tr>
      <w:tr>
        <w:trPr/>
        <w:tc>
          <w:tcPr>
            <w:tcW w:type="dxa" w:w="151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5. Unit pricing</w:t>
            </w:r>
          </w:p>
        </w:tc>
        <w:tc>
          <w:tcPr>
            <w:tcW w:type="dxa" w:w="554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Convert pack sizes and account for multipacks.</w:t>
            </w:r>
          </w:p>
        </w:tc>
        <w:tc>
          <w:tcPr>
            <w:tcW w:type="dxa" w:w="237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₹/100 g, ₹/100 ml, or ₹/item</w:t>
            </w:r>
          </w:p>
        </w:tc>
      </w:tr>
      <w:tr>
        <w:trPr/>
        <w:tc>
          <w:tcPr>
            <w:tcW w:type="dxa" w:w="151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6. Presentation</w:t>
            </w:r>
          </w:p>
        </w:tc>
        <w:tc>
          <w:tcPr>
            <w:tcW w:type="dxa" w:w="554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Stream available cards while remaining retrieval continues.</w:t>
            </w:r>
          </w:p>
        </w:tc>
        <w:tc>
          <w:tcPr>
            <w:tcW w:type="dxa" w:w="237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Progressive comparison view</w:t>
            </w:r>
          </w:p>
        </w:tc>
      </w:tr>
    </w:tbl>
    <w:p>
      <w:pPr>
        <w:spacing w:after="0"/>
      </w:pPr>
    </w:p>
    <w:p>
      <w:pPr>
        <w:keepNext/>
        <w:spacing w:before="140" w:after="40"/>
        <w:jc w:val="left"/>
      </w:pPr>
      <w:r>
        <w:rPr>
          <w:rFonts w:ascii="Times New Roman" w:hAnsi="Times New Roman" w:eastAsia="Times New Roman"/>
          <w:b/>
          <w:i w:val="0"/>
          <w:color w:val="000000"/>
          <w:sz w:val="21"/>
        </w:rPr>
        <w:t>B. Query and Location Acquisition</w:t>
      </w:r>
    </w:p>
    <w:p>
      <w:pPr>
        <w:spacing w:before="0" w:after="80" w:line="240" w:lineRule="auto"/>
        <w:ind w:firstLine="288"/>
        <w:jc w:val="both"/>
      </w:pPr>
      <w:r>
        <w:rPr>
          <w:rFonts w:ascii="Times New Roman" w:hAnsi="Times New Roman" w:eastAsia="Times New Roman"/>
          <w:b w:val="0"/>
          <w:i w:val="0"/>
          <w:color w:val="000000"/>
          <w:sz w:val="21"/>
        </w:rPr>
        <w:t>The Flutter application accepts a grocery search query and asks the user for location permission before collecting high-accuracy latitude and longitude coordinates. The coordinates are submitted with the query to the comparison service. This consent-first treatment is consistent with geolocation design principles that emphasise permission and appropriate handling of location information [7].</w:t>
      </w:r>
    </w:p>
    <w:p>
      <w:pPr>
        <w:spacing w:before="0" w:after="80" w:line="240" w:lineRule="auto"/>
        <w:ind w:firstLine="288"/>
        <w:jc w:val="both"/>
      </w:pPr>
      <w:r>
        <w:rPr>
          <w:rFonts w:ascii="Times New Roman" w:hAnsi="Times New Roman" w:eastAsia="Times New Roman"/>
          <w:b w:val="0"/>
          <w:i w:val="0"/>
          <w:color w:val="000000"/>
          <w:sz w:val="21"/>
        </w:rPr>
        <w:t>The selected location is used to establish the relevant delivery or local-store context before a platform search is interpreted. Consequently, an unavailable or non-serviceable provider is represented as such rather than being treated as evidence that the product does not exist generally. The application should retain only the minimum location precision and duration necessary for the comparison request.</w:t>
      </w:r>
    </w:p>
    <w:p>
      <w:pPr>
        <w:keepNext/>
        <w:spacing w:before="140" w:after="40"/>
        <w:jc w:val="left"/>
      </w:pPr>
      <w:r>
        <w:rPr>
          <w:rFonts w:ascii="Times New Roman" w:hAnsi="Times New Roman" w:eastAsia="Times New Roman"/>
          <w:b/>
          <w:i w:val="0"/>
          <w:color w:val="000000"/>
          <w:sz w:val="21"/>
        </w:rPr>
        <w:t>C. Concurrent Location Bound Provider Retrieval</w:t>
      </w:r>
    </w:p>
    <w:p>
      <w:pPr>
        <w:spacing w:before="0" w:after="80" w:line="240" w:lineRule="auto"/>
        <w:ind w:firstLine="288"/>
        <w:jc w:val="both"/>
      </w:pPr>
      <w:r>
        <w:rPr>
          <w:rFonts w:ascii="Times New Roman" w:hAnsi="Times New Roman" w:eastAsia="Times New Roman"/>
          <w:b w:val="0"/>
          <w:i w:val="0"/>
          <w:color w:val="000000"/>
          <w:sz w:val="21"/>
        </w:rPr>
        <w:t>The FastAPI backend starts independent retrieval tasks for Blinkit, Zepto, and Swiggy Instamart. Each provider adapter follows the platform's browser-based location-selection and product-search journey. The adapters run concurrently, so a slow or unavailable provider does not unnecessarily delay every available result. Web information extraction literature supports the value of source-specific, maintainable extraction components when web sources expose heterogeneous structures [8].</w:t>
      </w:r>
    </w:p>
    <w:p>
      <w:pPr>
        <w:spacing w:before="0" w:after="80" w:line="240" w:lineRule="auto"/>
        <w:ind w:firstLine="288"/>
        <w:jc w:val="both"/>
      </w:pPr>
      <w:r>
        <w:rPr>
          <w:rFonts w:ascii="Times New Roman" w:hAnsi="Times New Roman" w:eastAsia="Times New Roman"/>
          <w:b w:val="0"/>
          <w:i w:val="0"/>
          <w:color w:val="000000"/>
          <w:sz w:val="21"/>
        </w:rPr>
        <w:t>For each provider, the workflow attempts to establish the requested location, validate the local store or serviceability context, execute the user query, obtain visible listing information, and continue to retrieve additional lazily loaded result batches when available. The system uses browser-based provider flows; it is not presented as an official provider API integration, nor does it guarantee a complete catalogue.</w:t>
      </w:r>
    </w:p>
    <w:p>
      <w:pPr>
        <w:keepNext/>
        <w:spacing w:before="140" w:after="40"/>
        <w:jc w:val="left"/>
      </w:pPr>
      <w:r>
        <w:rPr>
          <w:rFonts w:ascii="Times New Roman" w:hAnsi="Times New Roman" w:eastAsia="Times New Roman"/>
          <w:b/>
          <w:i w:val="0"/>
          <w:color w:val="000000"/>
          <w:sz w:val="21"/>
        </w:rPr>
        <w:t>D. Product Data Normalisation</w:t>
      </w:r>
    </w:p>
    <w:p>
      <w:pPr>
        <w:spacing w:before="0" w:after="80" w:line="240" w:lineRule="auto"/>
        <w:ind w:firstLine="288"/>
        <w:jc w:val="both"/>
      </w:pPr>
      <w:r>
        <w:rPr>
          <w:rFonts w:ascii="Times New Roman" w:hAnsi="Times New Roman" w:eastAsia="Times New Roman"/>
          <w:b w:val="0"/>
          <w:i w:val="0"/>
          <w:color w:val="000000"/>
          <w:sz w:val="21"/>
        </w:rPr>
        <w:t>Provider-specific response structures are transformed into a common record so that downstream comparison logic does not depend on a single platform's page layout. The normalised fields are retained only when they are displayed or otherwise made available in the retrieved provider flow.</w:t>
      </w:r>
    </w:p>
    <w:p>
      <w:pPr>
        <w:spacing w:before="80" w:after="40"/>
        <w:jc w:val="center"/>
      </w:pPr>
      <w:r>
        <w:rPr>
          <w:rFonts w:ascii="Times New Roman" w:hAnsi="Times New Roman" w:eastAsia="Times New Roman"/>
          <w:b/>
          <w:i w:val="0"/>
          <w:color w:val="000000"/>
          <w:sz w:val="18"/>
        </w:rPr>
        <w:t>TABLE II</w:t>
      </w:r>
      <w:r>
        <w:rPr>
          <w:rFonts w:ascii="Times New Roman" w:hAnsi="Times New Roman" w:eastAsia="Times New Roman"/>
          <w:b/>
          <w:i w:val="0"/>
          <w:color w:val="000000"/>
          <w:sz w:val="18"/>
        </w:rPr>
        <w:br/>
        <w:t>NORMALISED PRODUCT RECORD</w:t>
      </w:r>
    </w:p>
    <w:tbl>
      <w:tblPr>
        <w:tblStyle w:val="TableGrid"/>
        <w:tblW w:type="auto" w:w="0"/>
        <w:tblLayout w:type="autofit"/>
        <w:tblLook w:firstColumn="1" w:firstRow="1" w:lastColumn="0" w:lastRow="0" w:noHBand="0" w:noVBand="1" w:val="04A0"/>
      </w:tblPr>
      <w:tblGrid>
        <w:gridCol w:w="3389"/>
        <w:gridCol w:w="3389"/>
        <w:gridCol w:w="3389"/>
      </w:tblGrid>
      <w:tr>
        <w:trPr/>
        <w:tc>
          <w:tcPr>
            <w:tcW w:type="dxa" w:w="1584"/>
            <w:shd w:fill="1F4E79"/>
            <w:tcBorders>
              <w:top w:val="single" w:sz="6" w:space="0" w:color="1F4E79"/>
              <w:left w:val="single" w:sz="6" w:space="0" w:color="1F4E79"/>
              <w:bottom w:val="single" w:sz="6" w:space="0" w:color="1F4E79"/>
              <w:right w:val="single" w:sz="6" w:space="0" w:color="1F4E79"/>
              <w:insideH w:val="single" w:sz="6" w:space="0" w:color="1F4E79"/>
              <w:insideV w:val="single" w:sz="6" w:space="0" w:color="1F4E79"/>
            </w:tcBorders>
            <w:vAlign w:val="center"/>
          </w:tcPr>
          <w:p>
            <w:pPr>
              <w:spacing w:before="0" w:after="0" w:line="240" w:lineRule="auto"/>
              <w:jc w:val="center"/>
            </w:pPr>
            <w:r/>
            <w:r>
              <w:rPr>
                <w:rFonts w:ascii="Times New Roman" w:hAnsi="Times New Roman" w:eastAsia="Times New Roman"/>
                <w:b/>
                <w:i w:val="0"/>
                <w:color w:val="FFFFFF"/>
                <w:sz w:val="17"/>
              </w:rPr>
              <w:t>Field group</w:t>
            </w:r>
          </w:p>
        </w:tc>
        <w:tc>
          <w:tcPr>
            <w:tcW w:type="dxa" w:w="4752"/>
            <w:shd w:fill="1F4E79"/>
            <w:tcBorders>
              <w:top w:val="single" w:sz="6" w:space="0" w:color="1F4E79"/>
              <w:left w:val="single" w:sz="6" w:space="0" w:color="1F4E79"/>
              <w:bottom w:val="single" w:sz="6" w:space="0" w:color="1F4E79"/>
              <w:right w:val="single" w:sz="6" w:space="0" w:color="1F4E79"/>
              <w:insideH w:val="single" w:sz="6" w:space="0" w:color="1F4E79"/>
              <w:insideV w:val="single" w:sz="6" w:space="0" w:color="1F4E79"/>
            </w:tcBorders>
            <w:vAlign w:val="center"/>
          </w:tcPr>
          <w:p>
            <w:pPr>
              <w:spacing w:before="0" w:after="0" w:line="240" w:lineRule="auto"/>
              <w:jc w:val="center"/>
            </w:pPr>
            <w:r/>
            <w:r>
              <w:rPr>
                <w:rFonts w:ascii="Times New Roman" w:hAnsi="Times New Roman" w:eastAsia="Times New Roman"/>
                <w:b/>
                <w:i w:val="0"/>
                <w:color w:val="FFFFFF"/>
                <w:sz w:val="17"/>
              </w:rPr>
              <w:t>Examples of normalised fields</w:t>
            </w:r>
          </w:p>
        </w:tc>
        <w:tc>
          <w:tcPr>
            <w:tcW w:type="dxa" w:w="3096"/>
            <w:shd w:fill="1F4E79"/>
            <w:tcBorders>
              <w:top w:val="single" w:sz="6" w:space="0" w:color="1F4E79"/>
              <w:left w:val="single" w:sz="6" w:space="0" w:color="1F4E79"/>
              <w:bottom w:val="single" w:sz="6" w:space="0" w:color="1F4E79"/>
              <w:right w:val="single" w:sz="6" w:space="0" w:color="1F4E79"/>
              <w:insideH w:val="single" w:sz="6" w:space="0" w:color="1F4E79"/>
              <w:insideV w:val="single" w:sz="6" w:space="0" w:color="1F4E79"/>
            </w:tcBorders>
            <w:vAlign w:val="center"/>
          </w:tcPr>
          <w:p>
            <w:pPr>
              <w:spacing w:before="0" w:after="0" w:line="240" w:lineRule="auto"/>
              <w:jc w:val="center"/>
            </w:pPr>
            <w:r/>
            <w:r>
              <w:rPr>
                <w:rFonts w:ascii="Times New Roman" w:hAnsi="Times New Roman" w:eastAsia="Times New Roman"/>
                <w:b/>
                <w:i w:val="0"/>
                <w:color w:val="FFFFFF"/>
                <w:sz w:val="17"/>
              </w:rPr>
              <w:t>Purpose</w:t>
            </w:r>
          </w:p>
        </w:tc>
      </w:tr>
      <w:tr>
        <w:trPr/>
        <w:tc>
          <w:tcPr>
            <w:tcW w:type="dxa" w:w="158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Identity</w:t>
            </w:r>
          </w:p>
        </w:tc>
        <w:tc>
          <w:tcPr>
            <w:tcW w:type="dxa" w:w="475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Platform, product identifier, title, brand, category or product type</w:t>
            </w:r>
          </w:p>
        </w:tc>
        <w:tc>
          <w:tcPr>
            <w:tcW w:type="dxa" w:w="309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Trace and compare provider listings</w:t>
            </w:r>
          </w:p>
        </w:tc>
      </w:tr>
      <w:tr>
        <w:trPr/>
        <w:tc>
          <w:tcPr>
            <w:tcW w:type="dxa" w:w="158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Price</w:t>
            </w:r>
          </w:p>
        </w:tc>
        <w:tc>
          <w:tcPr>
            <w:tcW w:type="dxa" w:w="475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Displayed selling price and MRP when shown</w:t>
            </w:r>
          </w:p>
        </w:tc>
        <w:tc>
          <w:tcPr>
            <w:tcW w:type="dxa" w:w="309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Present price context and calculate unit price</w:t>
            </w:r>
          </w:p>
        </w:tc>
      </w:tr>
      <w:tr>
        <w:trPr/>
        <w:tc>
          <w:tcPr>
            <w:tcW w:type="dxa" w:w="158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Pack</w:t>
            </w:r>
          </w:p>
        </w:tc>
        <w:tc>
          <w:tcPr>
            <w:tcW w:type="dxa" w:w="475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Raw pack text, quantity, unit, pack count</w:t>
            </w:r>
          </w:p>
        </w:tc>
        <w:tc>
          <w:tcPr>
            <w:tcW w:type="dxa" w:w="309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Check dimensions and handle multipacks</w:t>
            </w:r>
          </w:p>
        </w:tc>
      </w:tr>
      <w:tr>
        <w:trPr/>
        <w:tc>
          <w:tcPr>
            <w:tcW w:type="dxa" w:w="158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Availability</w:t>
            </w:r>
          </w:p>
        </w:tc>
        <w:tc>
          <w:tcPr>
            <w:tcW w:type="dxa" w:w="475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Availability or serviceability signal</w:t>
            </w:r>
          </w:p>
        </w:tc>
        <w:tc>
          <w:tcPr>
            <w:tcW w:type="dxa" w:w="309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Avoid ranking unavailable listings</w:t>
            </w:r>
          </w:p>
        </w:tc>
      </w:tr>
      <w:tr>
        <w:trPr/>
        <w:tc>
          <w:tcPr>
            <w:tcW w:type="dxa" w:w="158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Navigation</w:t>
            </w:r>
          </w:p>
        </w:tc>
        <w:tc>
          <w:tcPr>
            <w:tcW w:type="dxa" w:w="475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Image URL and product URL when available</w:t>
            </w:r>
          </w:p>
        </w:tc>
        <w:tc>
          <w:tcPr>
            <w:tcW w:type="dxa" w:w="309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Support transparent user inspection</w:t>
            </w:r>
          </w:p>
        </w:tc>
      </w:tr>
    </w:tbl>
    <w:p>
      <w:pPr>
        <w:spacing w:after="0"/>
      </w:pPr>
    </w:p>
    <w:p>
      <w:pPr>
        <w:keepNext/>
        <w:spacing w:before="140" w:after="40"/>
        <w:jc w:val="left"/>
      </w:pPr>
      <w:r>
        <w:rPr>
          <w:rFonts w:ascii="Times New Roman" w:hAnsi="Times New Roman" w:eastAsia="Times New Roman"/>
          <w:b/>
          <w:i w:val="0"/>
          <w:color w:val="000000"/>
          <w:sz w:val="21"/>
        </w:rPr>
        <w:t>E. Guarded Product Matching</w:t>
      </w:r>
    </w:p>
    <w:p>
      <w:pPr>
        <w:spacing w:before="0" w:after="80" w:line="240" w:lineRule="auto"/>
        <w:ind w:firstLine="288"/>
        <w:jc w:val="both"/>
      </w:pPr>
      <w:r>
        <w:rPr>
          <w:rFonts w:ascii="Times New Roman" w:hAnsi="Times New Roman" w:eastAsia="Times New Roman"/>
          <w:b w:val="0"/>
          <w:i w:val="0"/>
          <w:color w:val="000000"/>
          <w:sz w:val="21"/>
        </w:rPr>
        <w:t>A candidate pair is not accepted solely because two titles share words. CartScan checks whether the brand, product title or category, product form, and quantity dimension are sufficiently compatible. Clear conflicts, such as a different flavour, formulation, category, or pack form, cause the candidate to be excluded. Weight is compared only with weight, volume only with volume, and count only with count. A compatible 500 g and 1 kg pack can therefore be assessed through unit price, whereas a 500 g snack and a 500 g household-cleaning product cannot.</w:t>
      </w:r>
    </w:p>
    <w:p>
      <w:pPr>
        <w:spacing w:before="0" w:after="80" w:line="240" w:lineRule="auto"/>
        <w:ind w:firstLine="288"/>
        <w:jc w:val="both"/>
      </w:pPr>
      <w:r>
        <w:rPr>
          <w:rFonts w:ascii="Times New Roman" w:hAnsi="Times New Roman" w:eastAsia="Times New Roman"/>
          <w:b w:val="0"/>
          <w:i w:val="0"/>
          <w:color w:val="000000"/>
          <w:sz w:val="21"/>
        </w:rPr>
        <w:t>This conservative design intentionally favours precision in the user-facing comparison. It may exclude a listing that a more permissive model would regard as equivalent, but that trade-off is preferable to presenting a false 'best price' for a different product. The approach is aligned with the record-linkage principle that matching must consider more than one potentially noisy attribute [5], [6].</w:t>
      </w:r>
    </w:p>
    <w:p>
      <w:pPr>
        <w:spacing w:before="0" w:after="80" w:line="240" w:lineRule="auto"/>
        <w:ind w:firstLine="288"/>
        <w:jc w:val="both"/>
      </w:pPr>
      <w:r>
        <w:rPr>
          <w:rFonts w:ascii="Times New Roman" w:hAnsi="Times New Roman" w:eastAsia="Times New Roman"/>
          <w:b w:val="0"/>
          <w:i w:val="0"/>
          <w:color w:val="000000"/>
          <w:sz w:val="21"/>
        </w:rPr>
        <w:t>Classical data-matching methods provide a broader foundation for record linkage [9], while sentence-embedding approaches illustrate a possible future route for handling semantic title variation [10]. These techniques are cited as research context; the present prototype is described as a guarded matching pipeline, not as a newly trained machine-learning matcher.</w:t>
      </w:r>
    </w:p>
    <w:p>
      <w:pPr>
        <w:keepNext/>
        <w:spacing w:before="140" w:after="40"/>
        <w:jc w:val="left"/>
      </w:pPr>
      <w:r>
        <w:rPr>
          <w:rFonts w:ascii="Times New Roman" w:hAnsi="Times New Roman" w:eastAsia="Times New Roman"/>
          <w:b/>
          <w:i w:val="0"/>
          <w:color w:val="000000"/>
          <w:sz w:val="21"/>
        </w:rPr>
        <w:t>F. Multipack Aware Unit Price Normalisation</w:t>
      </w:r>
    </w:p>
    <w:p>
      <w:pPr>
        <w:spacing w:before="0" w:after="80" w:line="240" w:lineRule="auto"/>
        <w:ind w:firstLine="288"/>
        <w:jc w:val="both"/>
      </w:pPr>
      <w:r>
        <w:rPr>
          <w:rFonts w:ascii="Times New Roman" w:hAnsi="Times New Roman" w:eastAsia="Times New Roman"/>
          <w:b w:val="0"/>
          <w:i w:val="0"/>
          <w:color w:val="000000"/>
          <w:sz w:val="21"/>
        </w:rPr>
        <w:t>For a compatible listing, the total comparable quantity is calculated from the stated pack count multiplied by the quantity per pack. The displayed price is then divided by this total. Weight items are reported in rupees per 100 g, volume items in rupees per 100 ml, and count items in rupees per item. This representation makes the basis of comparison explicit and avoids treating a lower up-front price for a smaller pack as automatically cheaper.</w:t>
      </w:r>
    </w:p>
    <w:p>
      <w:pPr>
        <w:spacing w:before="0" w:after="80" w:line="240" w:lineRule="auto"/>
        <w:ind w:firstLine="0"/>
        <w:jc w:val="both"/>
      </w:pPr>
      <w:r>
        <w:rPr>
          <w:rFonts w:ascii="Times New Roman" w:hAnsi="Times New Roman" w:eastAsia="Times New Roman"/>
          <w:b/>
          <w:i w:val="0"/>
          <w:color w:val="000000"/>
          <w:sz w:val="20"/>
        </w:rPr>
        <w:t xml:space="preserve">Total comparable quantity = </w:t>
      </w:r>
      <w:r>
        <w:rPr>
          <w:rFonts w:ascii="Times New Roman" w:hAnsi="Times New Roman" w:eastAsia="Times New Roman"/>
          <w:b w:val="0"/>
          <w:i w:val="0"/>
          <w:color w:val="000000"/>
          <w:sz w:val="20"/>
        </w:rPr>
        <w:t xml:space="preserve">pack count × quantity per pack. </w:t>
      </w:r>
      <w:r>
        <w:rPr>
          <w:rFonts w:ascii="Times New Roman" w:hAnsi="Times New Roman" w:eastAsia="Times New Roman"/>
          <w:b/>
          <w:i w:val="0"/>
          <w:color w:val="000000"/>
          <w:sz w:val="20"/>
        </w:rPr>
        <w:t xml:space="preserve">For a weight item, unit price = </w:t>
      </w:r>
      <w:r>
        <w:rPr>
          <w:rFonts w:ascii="Times New Roman" w:hAnsi="Times New Roman" w:eastAsia="Times New Roman"/>
          <w:b w:val="0"/>
          <w:i w:val="0"/>
          <w:color w:val="000000"/>
          <w:sz w:val="20"/>
        </w:rPr>
        <w:t xml:space="preserve">100 × displayed price ÷ total grams. </w:t>
      </w:r>
      <w:r>
        <w:rPr>
          <w:rFonts w:ascii="Times New Roman" w:hAnsi="Times New Roman" w:eastAsia="Times New Roman"/>
          <w:b/>
          <w:i w:val="0"/>
          <w:color w:val="000000"/>
          <w:sz w:val="20"/>
        </w:rPr>
        <w:t>For a volume item, the corresponding calculation uses total millilitres.</w:t>
      </w:r>
    </w:p>
    <w:p>
      <w:pPr>
        <w:keepNext/>
        <w:spacing w:before="140" w:after="40"/>
        <w:jc w:val="left"/>
      </w:pPr>
      <w:r>
        <w:rPr>
          <w:rFonts w:ascii="Times New Roman" w:hAnsi="Times New Roman" w:eastAsia="Times New Roman"/>
          <w:b/>
          <w:i w:val="0"/>
          <w:color w:val="000000"/>
          <w:sz w:val="21"/>
        </w:rPr>
        <w:t>G. Progressive Result Delivery</w:t>
      </w:r>
    </w:p>
    <w:p>
      <w:pPr>
        <w:spacing w:before="0" w:after="80" w:line="240" w:lineRule="auto"/>
        <w:ind w:firstLine="288"/>
        <w:jc w:val="both"/>
      </w:pPr>
      <w:r>
        <w:rPr>
          <w:rFonts w:ascii="Times New Roman" w:hAnsi="Times New Roman" w:eastAsia="Times New Roman"/>
          <w:b w:val="0"/>
          <w:i w:val="0"/>
          <w:color w:val="000000"/>
          <w:sz w:val="21"/>
        </w:rPr>
        <w:t>Provider response depth and page behaviour differ. Rather than waiting for every source to finish, the backend can emit the first valid comparison batches as they become available and continue loading additional results in the background. The interface can therefore show partial but labelled outcomes, while clearly retaining provider state for results that are pending, unavailable, or non-serviceable.</w:t>
      </w:r>
    </w:p>
    <w:p>
      <w:pPr>
        <w:keepNext/>
        <w:spacing w:before="200" w:after="80"/>
        <w:jc w:val="left"/>
      </w:pPr>
      <w:r>
        <w:rPr>
          <w:rFonts w:ascii="Times New Roman" w:hAnsi="Times New Roman" w:eastAsia="Times New Roman"/>
          <w:b/>
          <w:i w:val="0"/>
          <w:color w:val="000000"/>
          <w:sz w:val="22"/>
        </w:rPr>
        <w:t>IV. SYSTEM WORKFLOW</w:t>
      </w:r>
    </w:p>
    <w:p>
      <w:pPr>
        <w:spacing w:before="0" w:after="80" w:line="240" w:lineRule="auto"/>
        <w:ind w:firstLine="288"/>
        <w:jc w:val="both"/>
      </w:pPr>
      <w:r>
        <w:rPr>
          <w:rFonts w:ascii="Times New Roman" w:hAnsi="Times New Roman" w:eastAsia="Times New Roman"/>
          <w:b w:val="0"/>
          <w:i w:val="0"/>
          <w:color w:val="000000"/>
          <w:sz w:val="21"/>
        </w:rPr>
        <w:t>The end-to-end workflow begins when the user enters a grocery product query in the mobile application. After location permission is granted, the client sends the query and coordinates to the backend. The backend begins the provider tasks in parallel, and each task binds itself to the selected local context before interpreting search listings. The normalisation layer converts returned records into the common schema, while a deduplication step prevents repeated cards from dominating the result set.</w:t>
      </w:r>
    </w:p>
    <w:p>
      <w:pPr>
        <w:spacing w:before="0" w:after="80" w:line="240" w:lineRule="auto"/>
        <w:ind w:firstLine="288"/>
        <w:jc w:val="both"/>
      </w:pPr>
      <w:r>
        <w:rPr>
          <w:rFonts w:ascii="Times New Roman" w:hAnsi="Times New Roman" w:eastAsia="Times New Roman"/>
          <w:b w:val="0"/>
          <w:i w:val="0"/>
          <w:color w:val="000000"/>
          <w:sz w:val="21"/>
        </w:rPr>
        <w:t>Next, the guarded matching layer evaluates candidate records. Only records that meet the compatibility conditions proceed to unit-price calculation and comparison. The presentation layer associates each result with its source platform, displayed price, pack detail, availability state, and unit-price basis. This enables a user to inspect why a listing was considered comparable instead of treating the final ranking as an opaque recommendation.</w:t>
      </w:r>
    </w:p>
    <w:p>
      <w:pPr>
        <w:spacing w:before="0" w:after="80" w:line="240" w:lineRule="auto"/>
        <w:ind w:firstLine="288"/>
        <w:jc w:val="both"/>
      </w:pPr>
      <w:r>
        <w:rPr>
          <w:rFonts w:ascii="Times New Roman" w:hAnsi="Times New Roman" w:eastAsia="Times New Roman"/>
          <w:b w:val="0"/>
          <w:i w:val="0"/>
          <w:color w:val="000000"/>
          <w:sz w:val="21"/>
        </w:rPr>
        <w:t>The process is intentionally request scoped. The displayed prices and availability represent the data retrieved for a particular query, provider context, and time. Subsequent changes in inventory, offers, serviceability, or platform rendering may yield a different result.</w:t>
      </w:r>
    </w:p>
    <w:p>
      <w:pPr>
        <w:keepNext/>
        <w:spacing w:before="200" w:after="80"/>
        <w:jc w:val="left"/>
      </w:pPr>
      <w:r>
        <w:rPr>
          <w:rFonts w:ascii="Times New Roman" w:hAnsi="Times New Roman" w:eastAsia="Times New Roman"/>
          <w:b/>
          <w:i w:val="0"/>
          <w:color w:val="000000"/>
          <w:sz w:val="22"/>
        </w:rPr>
        <w:t>V. IMPLEMENTATION</w:t>
      </w:r>
    </w:p>
    <w:p>
      <w:pPr>
        <w:keepNext/>
        <w:spacing w:before="140" w:after="40"/>
        <w:jc w:val="left"/>
      </w:pPr>
      <w:r>
        <w:rPr>
          <w:rFonts w:ascii="Times New Roman" w:hAnsi="Times New Roman" w:eastAsia="Times New Roman"/>
          <w:b/>
          <w:i w:val="0"/>
          <w:color w:val="000000"/>
          <w:sz w:val="21"/>
        </w:rPr>
        <w:t>A. Client and Backend</w:t>
      </w:r>
    </w:p>
    <w:p>
      <w:pPr>
        <w:spacing w:before="0" w:after="80" w:line="240" w:lineRule="auto"/>
        <w:ind w:firstLine="288"/>
        <w:jc w:val="both"/>
      </w:pPr>
      <w:r>
        <w:rPr>
          <w:rFonts w:ascii="Times New Roman" w:hAnsi="Times New Roman" w:eastAsia="Times New Roman"/>
          <w:b w:val="0"/>
          <w:i w:val="0"/>
          <w:color w:val="000000"/>
          <w:sz w:val="21"/>
        </w:rPr>
        <w:t>The mobile client is implemented in Flutter. It manages query entry, permission-aware location capture, request submission, and the comparison-card interface. Flutter documentation and the Geolocator package document the components used for client-side interface construction and location access [11], [14]. The comparison service is implemented with FastAPI, which coordinates the asynchronous provider tasks and returns structured comparison output [12].</w:t>
      </w:r>
    </w:p>
    <w:p>
      <w:pPr>
        <w:spacing w:before="0" w:after="80" w:line="240" w:lineRule="auto"/>
        <w:ind w:firstLine="288"/>
        <w:jc w:val="both"/>
      </w:pPr>
      <w:r>
        <w:rPr>
          <w:rFonts w:ascii="Times New Roman" w:hAnsi="Times New Roman" w:eastAsia="Times New Roman"/>
          <w:b w:val="0"/>
          <w:i w:val="0"/>
          <w:color w:val="000000"/>
          <w:sz w:val="21"/>
        </w:rPr>
        <w:t>The backend contains separate provider adapters so that a platform-specific location or search change can be isolated from the shared comparison logic. Browser-based retrieval is supported through Playwright-compatible automation facilities [13]. The implementation preserves the source platform label and raw pack text alongside derived quantities so that normalisation decisions can be reviewed.</w:t>
      </w:r>
    </w:p>
    <w:p>
      <w:pPr>
        <w:keepNext/>
        <w:spacing w:before="140" w:after="40"/>
        <w:jc w:val="left"/>
      </w:pPr>
      <w:r>
        <w:rPr>
          <w:rFonts w:ascii="Times New Roman" w:hAnsi="Times New Roman" w:eastAsia="Times New Roman"/>
          <w:b/>
          <w:i w:val="0"/>
          <w:color w:val="000000"/>
          <w:sz w:val="21"/>
        </w:rPr>
        <w:t>B. Comparison Services</w:t>
      </w:r>
    </w:p>
    <w:p>
      <w:pPr>
        <w:spacing w:before="0" w:after="80" w:line="240" w:lineRule="auto"/>
        <w:ind w:firstLine="288"/>
        <w:jc w:val="both"/>
      </w:pPr>
      <w:r>
        <w:rPr>
          <w:rFonts w:ascii="Times New Roman" w:hAnsi="Times New Roman" w:eastAsia="Times New Roman"/>
          <w:b w:val="0"/>
          <w:i w:val="0"/>
          <w:color w:val="000000"/>
          <w:sz w:val="21"/>
        </w:rPr>
        <w:t>The shared service layer is responsible for parsing quantity expressions, detecting multipacks, removing duplicated entries, applying compatibility guards, and selecting the lowest displayed unit price among eligible records. Fuzzy string comparison can support title similarity assessment, while it remains subordinate to hard guards for brand, form, and quantity dimension. The implementation can use RapidFuzz-compatible matching utilities for this supporting lexical step [15].</w:t>
      </w:r>
    </w:p>
    <w:p>
      <w:pPr>
        <w:spacing w:before="0" w:after="80" w:line="240" w:lineRule="auto"/>
        <w:ind w:firstLine="288"/>
        <w:jc w:val="both"/>
      </w:pPr>
      <w:r>
        <w:rPr>
          <w:rFonts w:ascii="Times New Roman" w:hAnsi="Times New Roman" w:eastAsia="Times New Roman"/>
          <w:b w:val="0"/>
          <w:i w:val="0"/>
          <w:color w:val="000000"/>
          <w:sz w:val="21"/>
        </w:rPr>
        <w:t>The result object is designed for transparent presentation rather than a single unexplained score. A comparison card therefore retains the product title, platform, displayed price, MRP when available, pack size, availability, calculated unit price, and product navigation link when supplied by the provider flow.</w:t>
      </w:r>
    </w:p>
    <w:p>
      <w:pPr>
        <w:keepNext/>
        <w:spacing w:before="200" w:after="80"/>
        <w:jc w:val="left"/>
      </w:pPr>
      <w:r>
        <w:rPr>
          <w:rFonts w:ascii="Times New Roman" w:hAnsi="Times New Roman" w:eastAsia="Times New Roman"/>
          <w:b/>
          <w:i w:val="0"/>
          <w:color w:val="000000"/>
          <w:sz w:val="22"/>
        </w:rPr>
        <w:t>VI. FUNCTIONAL PROTOTYPE DEMONSTRATION AND DISCUSSION</w:t>
      </w:r>
    </w:p>
    <w:p>
      <w:pPr>
        <w:spacing w:before="0" w:after="80" w:line="240" w:lineRule="auto"/>
        <w:ind w:firstLine="288"/>
        <w:jc w:val="both"/>
      </w:pPr>
      <w:r>
        <w:rPr>
          <w:rFonts w:ascii="Times New Roman" w:hAnsi="Times New Roman" w:eastAsia="Times New Roman"/>
          <w:b w:val="0"/>
          <w:i w:val="0"/>
          <w:color w:val="000000"/>
          <w:sz w:val="21"/>
        </w:rPr>
        <w:t>The current work demonstrates an end-to-end functional prototype rather than a benchmarked price-intelligence system. For a submitted query and a supported location, the application can present provider-labelled grocery listings, pack sizes, displayed prices, availability information, and comparable unit prices where the matching conditions are satisfied. The most important result is the preservation of comparison context: a user can see the platform, quantity, and basis of the lower displayed unit price.</w:t>
      </w:r>
    </w:p>
    <w:p>
      <w:pPr>
        <w:spacing w:before="80" w:after="40"/>
        <w:jc w:val="center"/>
      </w:pPr>
      <w:r>
        <w:rPr>
          <w:rFonts w:ascii="Times New Roman" w:hAnsi="Times New Roman" w:eastAsia="Times New Roman"/>
          <w:b/>
          <w:i w:val="0"/>
          <w:color w:val="000000"/>
          <w:sz w:val="18"/>
        </w:rPr>
        <w:t>TABLE III</w:t>
      </w:r>
      <w:r>
        <w:rPr>
          <w:rFonts w:ascii="Times New Roman" w:hAnsi="Times New Roman" w:eastAsia="Times New Roman"/>
          <w:b/>
          <w:i w:val="0"/>
          <w:color w:val="000000"/>
          <w:sz w:val="18"/>
        </w:rPr>
        <w:br/>
        <w:t>FUNCTIONAL VALIDATION SCENARIOS</w:t>
      </w:r>
    </w:p>
    <w:tbl>
      <w:tblPr>
        <w:tblStyle w:val="TableGrid"/>
        <w:tblW w:type="auto" w:w="0"/>
        <w:tblLayout w:type="autofit"/>
        <w:tblLook w:firstColumn="1" w:firstRow="1" w:lastColumn="0" w:lastRow="0" w:noHBand="0" w:noVBand="1" w:val="04A0"/>
      </w:tblPr>
      <w:tblGrid>
        <w:gridCol w:w="3389"/>
        <w:gridCol w:w="3389"/>
        <w:gridCol w:w="3389"/>
      </w:tblGrid>
      <w:tr>
        <w:trPr/>
        <w:tc>
          <w:tcPr>
            <w:tcW w:type="dxa" w:w="1944"/>
            <w:shd w:fill="1F4E79"/>
            <w:tcBorders>
              <w:top w:val="single" w:sz="6" w:space="0" w:color="1F4E79"/>
              <w:left w:val="single" w:sz="6" w:space="0" w:color="1F4E79"/>
              <w:bottom w:val="single" w:sz="6" w:space="0" w:color="1F4E79"/>
              <w:right w:val="single" w:sz="6" w:space="0" w:color="1F4E79"/>
              <w:insideH w:val="single" w:sz="6" w:space="0" w:color="1F4E79"/>
              <w:insideV w:val="single" w:sz="6" w:space="0" w:color="1F4E79"/>
            </w:tcBorders>
            <w:vAlign w:val="center"/>
          </w:tcPr>
          <w:p>
            <w:pPr>
              <w:spacing w:before="0" w:after="0" w:line="240" w:lineRule="auto"/>
              <w:jc w:val="center"/>
            </w:pPr>
            <w:r/>
            <w:r>
              <w:rPr>
                <w:rFonts w:ascii="Times New Roman" w:hAnsi="Times New Roman" w:eastAsia="Times New Roman"/>
                <w:b/>
                <w:i w:val="0"/>
                <w:color w:val="FFFFFF"/>
                <w:sz w:val="17"/>
              </w:rPr>
              <w:t>Scenario</w:t>
            </w:r>
          </w:p>
        </w:tc>
        <w:tc>
          <w:tcPr>
            <w:tcW w:type="dxa" w:w="5256"/>
            <w:shd w:fill="1F4E79"/>
            <w:tcBorders>
              <w:top w:val="single" w:sz="6" w:space="0" w:color="1F4E79"/>
              <w:left w:val="single" w:sz="6" w:space="0" w:color="1F4E79"/>
              <w:bottom w:val="single" w:sz="6" w:space="0" w:color="1F4E79"/>
              <w:right w:val="single" w:sz="6" w:space="0" w:color="1F4E79"/>
              <w:insideH w:val="single" w:sz="6" w:space="0" w:color="1F4E79"/>
              <w:insideV w:val="single" w:sz="6" w:space="0" w:color="1F4E79"/>
            </w:tcBorders>
            <w:vAlign w:val="center"/>
          </w:tcPr>
          <w:p>
            <w:pPr>
              <w:spacing w:before="0" w:after="0" w:line="240" w:lineRule="auto"/>
              <w:jc w:val="center"/>
            </w:pPr>
            <w:r/>
            <w:r>
              <w:rPr>
                <w:rFonts w:ascii="Times New Roman" w:hAnsi="Times New Roman" w:eastAsia="Times New Roman"/>
                <w:b/>
                <w:i w:val="0"/>
                <w:color w:val="FFFFFF"/>
                <w:sz w:val="17"/>
              </w:rPr>
              <w:t>Expected prototype behaviour</w:t>
            </w:r>
          </w:p>
        </w:tc>
        <w:tc>
          <w:tcPr>
            <w:tcW w:type="dxa" w:w="2232"/>
            <w:shd w:fill="1F4E79"/>
            <w:tcBorders>
              <w:top w:val="single" w:sz="6" w:space="0" w:color="1F4E79"/>
              <w:left w:val="single" w:sz="6" w:space="0" w:color="1F4E79"/>
              <w:bottom w:val="single" w:sz="6" w:space="0" w:color="1F4E79"/>
              <w:right w:val="single" w:sz="6" w:space="0" w:color="1F4E79"/>
              <w:insideH w:val="single" w:sz="6" w:space="0" w:color="1F4E79"/>
              <w:insideV w:val="single" w:sz="6" w:space="0" w:color="1F4E79"/>
            </w:tcBorders>
            <w:vAlign w:val="center"/>
          </w:tcPr>
          <w:p>
            <w:pPr>
              <w:spacing w:before="0" w:after="0" w:line="240" w:lineRule="auto"/>
              <w:jc w:val="center"/>
            </w:pPr>
            <w:r/>
            <w:r>
              <w:rPr>
                <w:rFonts w:ascii="Times New Roman" w:hAnsi="Times New Roman" w:eastAsia="Times New Roman"/>
                <w:b/>
                <w:i w:val="0"/>
                <w:color w:val="FFFFFF"/>
                <w:sz w:val="17"/>
              </w:rPr>
              <w:t>Interpretation</w:t>
            </w:r>
          </w:p>
        </w:tc>
      </w:tr>
      <w:tr>
        <w:trPr/>
        <w:tc>
          <w:tcPr>
            <w:tcW w:type="dxa" w:w="194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Location permission granted</w:t>
            </w:r>
          </w:p>
        </w:tc>
        <w:tc>
          <w:tcPr>
            <w:tcW w:type="dxa" w:w="525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The query is submitted with consented coordinates.</w:t>
            </w:r>
          </w:p>
        </w:tc>
        <w:tc>
          <w:tcPr>
            <w:tcW w:type="dxa" w:w="223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Supports location-specific provider context.</w:t>
            </w:r>
          </w:p>
        </w:tc>
      </w:tr>
      <w:tr>
        <w:trPr/>
        <w:tc>
          <w:tcPr>
            <w:tcW w:type="dxa" w:w="194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Provider not serviceable</w:t>
            </w:r>
          </w:p>
        </w:tc>
        <w:tc>
          <w:tcPr>
            <w:tcW w:type="dxa" w:w="525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The provider is reported as unavailable or without a usable result.</w:t>
            </w:r>
          </w:p>
        </w:tc>
        <w:tc>
          <w:tcPr>
            <w:tcW w:type="dxa" w:w="223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Avoids treating absence as a universal product claim.</w:t>
            </w:r>
          </w:p>
        </w:tc>
      </w:tr>
      <w:tr>
        <w:trPr/>
        <w:tc>
          <w:tcPr>
            <w:tcW w:type="dxa" w:w="194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Same product, different pack sizes</w:t>
            </w:r>
          </w:p>
        </w:tc>
        <w:tc>
          <w:tcPr>
            <w:tcW w:type="dxa" w:w="525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Compatible records receive comparable unit prices.</w:t>
            </w:r>
          </w:p>
        </w:tc>
        <w:tc>
          <w:tcPr>
            <w:tcW w:type="dxa" w:w="223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Supports quantity-fair comparison.</w:t>
            </w:r>
          </w:p>
        </w:tc>
      </w:tr>
      <w:tr>
        <w:trPr/>
        <w:tc>
          <w:tcPr>
            <w:tcW w:type="dxa" w:w="194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Different flavour, form, or category</w:t>
            </w:r>
          </w:p>
        </w:tc>
        <w:tc>
          <w:tcPr>
            <w:tcW w:type="dxa" w:w="525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The records are excluded from a direct comparison.</w:t>
            </w:r>
          </w:p>
        </w:tc>
        <w:tc>
          <w:tcPr>
            <w:tcW w:type="dxa" w:w="223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Reduces misleading matches.</w:t>
            </w:r>
          </w:p>
        </w:tc>
      </w:tr>
      <w:tr>
        <w:trPr/>
        <w:tc>
          <w:tcPr>
            <w:tcW w:type="dxa" w:w="194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Multipack listing</w:t>
            </w:r>
          </w:p>
        </w:tc>
        <w:tc>
          <w:tcPr>
            <w:tcW w:type="dxa" w:w="525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Total pack quantity is used before unit price is calculated.</w:t>
            </w:r>
          </w:p>
        </w:tc>
        <w:tc>
          <w:tcPr>
            <w:tcW w:type="dxa" w:w="223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Prevents a multipack from being treated as one item.</w:t>
            </w:r>
          </w:p>
        </w:tc>
      </w:tr>
      <w:tr>
        <w:trPr/>
        <w:tc>
          <w:tcPr>
            <w:tcW w:type="dxa" w:w="1944"/>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One slower provider</w:t>
            </w:r>
          </w:p>
        </w:tc>
        <w:tc>
          <w:tcPr>
            <w:tcW w:type="dxa" w:w="5256"/>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Available result batches can appear before all tasks complete.</w:t>
            </w:r>
          </w:p>
        </w:tc>
        <w:tc>
          <w:tcPr>
            <w:tcW w:type="dxa" w:w="2232"/>
            <w:tcBorders>
              <w:top w:val="single" w:sz="6" w:space="0" w:color="B7C9D6"/>
              <w:left w:val="single" w:sz="6" w:space="0" w:color="B7C9D6"/>
              <w:bottom w:val="single" w:sz="6" w:space="0" w:color="B7C9D6"/>
              <w:right w:val="single" w:sz="6" w:space="0" w:color="B7C9D6"/>
              <w:insideH w:val="single" w:sz="6" w:space="0" w:color="B7C9D6"/>
              <w:insideV w:val="single" w:sz="6" w:space="0" w:color="B7C9D6"/>
            </w:tcBorders>
            <w:vAlign w:val="center"/>
          </w:tcPr>
          <w:p>
            <w:pPr>
              <w:spacing w:before="0" w:after="0" w:line="240" w:lineRule="auto"/>
              <w:jc w:val="left"/>
            </w:pPr>
            <w:r/>
            <w:r>
              <w:rPr>
                <w:rFonts w:ascii="Times New Roman" w:hAnsi="Times New Roman" w:eastAsia="Times New Roman"/>
                <w:b w:val="0"/>
                <w:i w:val="0"/>
                <w:color w:val="000000"/>
                <w:sz w:val="17"/>
              </w:rPr>
              <w:t>Improves perceived responsiveness.</w:t>
            </w:r>
          </w:p>
        </w:tc>
      </w:tr>
    </w:tbl>
    <w:p>
      <w:pPr>
        <w:spacing w:after="0"/>
      </w:pPr>
    </w:p>
    <w:p>
      <w:pPr>
        <w:spacing w:before="0" w:after="80" w:line="240" w:lineRule="auto"/>
        <w:ind w:firstLine="288"/>
        <w:jc w:val="both"/>
      </w:pPr>
      <w:r>
        <w:rPr>
          <w:rFonts w:ascii="Times New Roman" w:hAnsi="Times New Roman" w:eastAsia="Times New Roman"/>
          <w:b w:val="0"/>
          <w:i w:val="0"/>
          <w:color w:val="000000"/>
          <w:sz w:val="21"/>
        </w:rPr>
        <w:t>The design favours conservative matching over maximal coverage. This is appropriate for a consumer-facing comparison system because a false positive may imply that a different product is cheaper. The cost of that choice is that some legitimately equivalent products can be omitted until their titles or pack descriptors are better resolved. Thus, CartScan should be understood as a decision-support tool that exposes comparable displayed listing prices, not as a guarantee of the lowest final checkout total.</w:t>
      </w:r>
    </w:p>
    <w:p>
      <w:pPr>
        <w:spacing w:before="0" w:after="80" w:line="240" w:lineRule="auto"/>
        <w:ind w:firstLine="288"/>
        <w:jc w:val="both"/>
      </w:pPr>
      <w:r>
        <w:rPr>
          <w:rFonts w:ascii="Times New Roman" w:hAnsi="Times New Roman" w:eastAsia="Times New Roman"/>
          <w:b w:val="0"/>
          <w:i w:val="0"/>
          <w:color w:val="000000"/>
          <w:sz w:val="21"/>
        </w:rPr>
        <w:t>No numerical claim is made here for matching accuracy, average response time, catalogue coverage, total savings, or environmental impact because such claims require retained test logs, a labelled evaluation set, and reproducible experimental conditions. These measurements are identified as future evaluation work rather than inferred from a single successful prototype demonstration.</w:t>
      </w:r>
    </w:p>
    <w:p>
      <w:pPr>
        <w:keepNext/>
        <w:spacing w:before="200" w:after="80"/>
        <w:jc w:val="left"/>
      </w:pPr>
      <w:r>
        <w:rPr>
          <w:rFonts w:ascii="Times New Roman" w:hAnsi="Times New Roman" w:eastAsia="Times New Roman"/>
          <w:b/>
          <w:i w:val="0"/>
          <w:color w:val="000000"/>
          <w:sz w:val="22"/>
        </w:rPr>
        <w:t>VII. LIMITATIONS AND ETHICAL CONSIDERATIONS</w:t>
      </w:r>
    </w:p>
    <w:p>
      <w:pPr>
        <w:spacing w:after="40" w:line="240" w:lineRule="auto"/>
        <w:ind w:left="403" w:hanging="259"/>
        <w:jc w:val="both"/>
      </w:pPr>
      <w:r>
        <w:rPr>
          <w:rFonts w:ascii="Times New Roman" w:hAnsi="Times New Roman" w:eastAsia="Times New Roman"/>
          <w:b w:val="0"/>
          <w:i w:val="0"/>
          <w:color w:val="000000"/>
          <w:sz w:val="20"/>
        </w:rPr>
        <w:t>• Displayed price, stock, and serviceability can change after a request is retrieved. The comparison is point-in-time and location-specific.</w:t>
      </w:r>
    </w:p>
    <w:p>
      <w:pPr>
        <w:spacing w:after="40" w:line="240" w:lineRule="auto"/>
        <w:ind w:left="403" w:hanging="259"/>
        <w:jc w:val="both"/>
      </w:pPr>
      <w:r>
        <w:rPr>
          <w:rFonts w:ascii="Times New Roman" w:hAnsi="Times New Roman" w:eastAsia="Times New Roman"/>
          <w:b w:val="0"/>
          <w:i w:val="0"/>
          <w:color w:val="000000"/>
          <w:sz w:val="20"/>
        </w:rPr>
        <w:t>• The final checkout amount can differ because of delivery fees, coupons, membership benefits, taxes, minimum-order conditions, or platform-specific promotions.</w:t>
      </w:r>
    </w:p>
    <w:p>
      <w:pPr>
        <w:spacing w:after="40" w:line="240" w:lineRule="auto"/>
        <w:ind w:left="403" w:hanging="259"/>
        <w:jc w:val="both"/>
      </w:pPr>
      <w:r>
        <w:rPr>
          <w:rFonts w:ascii="Times New Roman" w:hAnsi="Times New Roman" w:eastAsia="Times New Roman"/>
          <w:b w:val="0"/>
          <w:i w:val="0"/>
          <w:color w:val="000000"/>
          <w:sz w:val="20"/>
        </w:rPr>
        <w:t>• Browser-based provider flows can change, fail, rate-limit access, or be subject to provider terms and access restrictions. The implementation should be used only in ways permitted by the relevant platforms.</w:t>
      </w:r>
    </w:p>
    <w:p>
      <w:pPr>
        <w:spacing w:after="40" w:line="240" w:lineRule="auto"/>
        <w:ind w:left="403" w:hanging="259"/>
        <w:jc w:val="both"/>
      </w:pPr>
      <w:r>
        <w:rPr>
          <w:rFonts w:ascii="Times New Roman" w:hAnsi="Times New Roman" w:eastAsia="Times New Roman"/>
          <w:b w:val="0"/>
          <w:i w:val="0"/>
          <w:color w:val="000000"/>
          <w:sz w:val="20"/>
        </w:rPr>
        <w:t>• Search results may not represent every item in a provider catalogue, and rule-guided matching can produce false exclusions or require refinement for ambiguous titles.</w:t>
      </w:r>
    </w:p>
    <w:p>
      <w:pPr>
        <w:spacing w:after="40" w:line="240" w:lineRule="auto"/>
        <w:ind w:left="403" w:hanging="259"/>
        <w:jc w:val="both"/>
      </w:pPr>
      <w:r>
        <w:rPr>
          <w:rFonts w:ascii="Times New Roman" w:hAnsi="Times New Roman" w:eastAsia="Times New Roman"/>
          <w:b w:val="0"/>
          <w:i w:val="0"/>
          <w:color w:val="000000"/>
          <w:sz w:val="20"/>
        </w:rPr>
        <w:t>• Coordinates are sensitive data. The client should request explicit permission, communicate the purpose of access, minimise data retention, and protect location information in transit and at rest.</w:t>
      </w:r>
    </w:p>
    <w:p>
      <w:pPr>
        <w:keepNext/>
        <w:spacing w:before="200" w:after="80"/>
        <w:jc w:val="left"/>
      </w:pPr>
      <w:r>
        <w:rPr>
          <w:rFonts w:ascii="Times New Roman" w:hAnsi="Times New Roman" w:eastAsia="Times New Roman"/>
          <w:b/>
          <w:i w:val="0"/>
          <w:color w:val="000000"/>
          <w:sz w:val="22"/>
        </w:rPr>
        <w:t>VIII. SUSTAINABLE DEVELOPMENT RELEVANCE</w:t>
      </w:r>
    </w:p>
    <w:p>
      <w:pPr>
        <w:spacing w:before="0" w:after="80" w:line="240" w:lineRule="auto"/>
        <w:ind w:firstLine="288"/>
        <w:jc w:val="both"/>
      </w:pPr>
      <w:r>
        <w:rPr>
          <w:rFonts w:ascii="Times New Roman" w:hAnsi="Times New Roman" w:eastAsia="Times New Roman"/>
          <w:b w:val="0"/>
          <w:i w:val="0"/>
          <w:color w:val="000000"/>
          <w:sz w:val="21"/>
        </w:rPr>
        <w:t>CartScan is most directly relevant to Sustainable Development Goal 12, Responsible Consumption and Production. By presenting unit-price information beside pack size and availability, the system can help a shopper make a more transparent quantity-aware choice. It has potential relevance to Sustainable Development Goal 10, Reduced Inequalities, by improving price visibility for cost-sensitive users, and to Sustainable Development Goal 9, Industry, Innovation and Infrastructure, through a consumer-facing integration architecture.</w:t>
      </w:r>
    </w:p>
    <w:p>
      <w:pPr>
        <w:spacing w:before="0" w:after="80" w:line="240" w:lineRule="auto"/>
        <w:ind w:firstLine="288"/>
        <w:jc w:val="both"/>
      </w:pPr>
      <w:r>
        <w:rPr>
          <w:rFonts w:ascii="Times New Roman" w:hAnsi="Times New Roman" w:eastAsia="Times New Roman"/>
          <w:b w:val="0"/>
          <w:i w:val="0"/>
          <w:color w:val="000000"/>
          <w:sz w:val="21"/>
        </w:rPr>
        <w:t>These are decision-support and accessibility benefits, not measured impact claims. The current prototype does not demonstrate quantified reductions in household expenditure, packaging waste, travel, or carbon emissions. A future study could evaluate cart-level affordability, packaging information, delivery-distance effects, and user decision outcomes using a suitable ethics and data-governance process.</w:t>
      </w:r>
    </w:p>
    <w:p>
      <w:pPr>
        <w:keepNext/>
        <w:spacing w:before="200" w:after="80"/>
        <w:jc w:val="left"/>
      </w:pPr>
      <w:r>
        <w:rPr>
          <w:rFonts w:ascii="Times New Roman" w:hAnsi="Times New Roman" w:eastAsia="Times New Roman"/>
          <w:b/>
          <w:i w:val="0"/>
          <w:color w:val="000000"/>
          <w:sz w:val="22"/>
        </w:rPr>
        <w:t>IX. CONCLUSION AND FUTURE SCOPE</w:t>
      </w:r>
    </w:p>
    <w:p>
      <w:pPr>
        <w:spacing w:before="0" w:after="80" w:line="240" w:lineRule="auto"/>
        <w:ind w:firstLine="288"/>
        <w:jc w:val="both"/>
      </w:pPr>
      <w:r>
        <w:rPr>
          <w:rFonts w:ascii="Times New Roman" w:hAnsi="Times New Roman" w:eastAsia="Times New Roman"/>
          <w:b w:val="0"/>
          <w:i w:val="0"/>
          <w:color w:val="000000"/>
          <w:sz w:val="21"/>
        </w:rPr>
        <w:t>This paper presented CartScan, a location-aware quick-commerce grocery comparison prototype. The system combines consented GPS-informed local context, concurrent provider retrieval, normalised listing records, guarded product matching, multipack-aware unit-price calculation, and progressive result delivery. Its central contribution is a practical architecture for making cross-platform comparison more transparent without equating superficially similar but incompatible grocery variants.</w:t>
      </w:r>
    </w:p>
    <w:p>
      <w:pPr>
        <w:spacing w:before="0" w:after="80" w:line="240" w:lineRule="auto"/>
        <w:ind w:firstLine="288"/>
        <w:jc w:val="both"/>
      </w:pPr>
      <w:r>
        <w:rPr>
          <w:rFonts w:ascii="Times New Roman" w:hAnsi="Times New Roman" w:eastAsia="Times New Roman"/>
          <w:b w:val="0"/>
          <w:i w:val="0"/>
          <w:color w:val="000000"/>
          <w:sz w:val="21"/>
        </w:rPr>
        <w:t>Future work should include authorised provider integrations where available, barcode or GTIN assisted matching, a labelled benchmark dataset, price-history storage, cart-level comparison that includes delivery fees and eligible offers, stronger privacy controls, and empirical evaluation of matching quality, response time, coverage, and user usefulness. Such work would allow the system's promising prototype behaviour to be assessed through reproducible metrics rather than assumption.</w:t>
      </w:r>
    </w:p>
    <w:p>
      <w:pPr>
        <w:keepNext/>
        <w:spacing w:before="200" w:after="80"/>
        <w:jc w:val="left"/>
      </w:pPr>
      <w:r>
        <w:rPr>
          <w:rFonts w:ascii="Times New Roman" w:hAnsi="Times New Roman" w:eastAsia="Times New Roman"/>
          <w:b/>
          <w:i w:val="0"/>
          <w:color w:val="000000"/>
          <w:sz w:val="22"/>
        </w:rPr>
        <w:t>REFERENCES</w:t>
      </w:r>
    </w:p>
    <w:p>
      <w:pPr>
        <w:spacing w:after="40" w:line="240" w:lineRule="auto"/>
        <w:ind w:left="360" w:hanging="360"/>
        <w:jc w:val="both"/>
      </w:pPr>
      <w:r>
        <w:rPr>
          <w:rFonts w:ascii="Times New Roman" w:hAnsi="Times New Roman" w:eastAsia="Times New Roman"/>
          <w:b w:val="0"/>
          <w:i w:val="0"/>
          <w:color w:val="000000"/>
          <w:sz w:val="18"/>
        </w:rPr>
        <w:t>[1] D. Aparicio, Z. Metzman, and R. Rigobon, “The pricing strategies of online grocery retailers,” Quantitative Marketing and Economics, vol. 22, pp. 1–21, 2024, doi: 10.1007/s11129-023-09273-w.</w:t>
      </w:r>
    </w:p>
    <w:p>
      <w:pPr>
        <w:spacing w:after="40" w:line="240" w:lineRule="auto"/>
        <w:ind w:left="360" w:hanging="360"/>
        <w:jc w:val="both"/>
      </w:pPr>
      <w:r>
        <w:rPr>
          <w:rFonts w:ascii="Times New Roman" w:hAnsi="Times New Roman" w:eastAsia="Times New Roman"/>
          <w:b w:val="0"/>
          <w:i w:val="0"/>
          <w:color w:val="000000"/>
          <w:sz w:val="18"/>
        </w:rPr>
        <w:t>[2] X. González and D. Miles-Touya, “Price dispersion, chain heterogeneity, and search in online grocery markets,” SERIEs, vol. 9, pp. 115–139, 2018, doi: 10.1007/s13209-018-0172-6.</w:t>
      </w:r>
    </w:p>
    <w:p>
      <w:pPr>
        <w:spacing w:after="40" w:line="240" w:lineRule="auto"/>
        <w:ind w:left="360" w:hanging="360"/>
        <w:jc w:val="both"/>
      </w:pPr>
      <w:r>
        <w:rPr>
          <w:rFonts w:ascii="Times New Roman" w:hAnsi="Times New Roman" w:eastAsia="Times New Roman"/>
          <w:b w:val="0"/>
          <w:i w:val="0"/>
          <w:color w:val="000000"/>
          <w:sz w:val="18"/>
        </w:rPr>
        <w:t>[3] J. Yao and H. Oppewal, “Unit pricing matters more when consumers are under time pressure,” European Journal of Marketing, vol. 50, nos. 5–6, pp. 1094–1114, 2016, doi: 10.1108/EJM-03-2015-0122.</w:t>
      </w:r>
    </w:p>
    <w:p>
      <w:pPr>
        <w:spacing w:after="40" w:line="240" w:lineRule="auto"/>
        <w:ind w:left="360" w:hanging="360"/>
        <w:jc w:val="both"/>
      </w:pPr>
      <w:r>
        <w:rPr>
          <w:rFonts w:ascii="Times New Roman" w:hAnsi="Times New Roman" w:eastAsia="Times New Roman"/>
          <w:b w:val="0"/>
          <w:i w:val="0"/>
          <w:color w:val="000000"/>
          <w:sz w:val="18"/>
        </w:rPr>
        <w:t>[4] Ministry of Consumer Affairs, Food and Public Distribution, Government of India, “The Legal Metrology (Packaged Commodities) Amendment Rules, 2022,” Gazette of India, Extraordinary, G.S.R. 226(E), Mar. 28, 2022. [Online]. Available: https://consumeraffairs.nic.in/sites/default/files/uploads/legal-metrology-acts-rules/GSR226.pdf</w:t>
      </w:r>
    </w:p>
    <w:p>
      <w:pPr>
        <w:spacing w:after="40" w:line="240" w:lineRule="auto"/>
        <w:ind w:left="360" w:hanging="360"/>
        <w:jc w:val="both"/>
      </w:pPr>
      <w:r>
        <w:rPr>
          <w:rFonts w:ascii="Times New Roman" w:hAnsi="Times New Roman" w:eastAsia="Times New Roman"/>
          <w:b w:val="0"/>
          <w:i w:val="0"/>
          <w:color w:val="000000"/>
          <w:sz w:val="18"/>
        </w:rPr>
        <w:t>[5] S. Mudgal et al., “Deep Learning for Entity Matching: A Design Space Exploration,” in Proceedings of the ACM SIGMOD International Conference on Management of Data, 2018, pp. 19–34, doi: 10.1145/3183713.3196926.</w:t>
      </w:r>
    </w:p>
    <w:p>
      <w:pPr>
        <w:spacing w:after="40" w:line="240" w:lineRule="auto"/>
        <w:ind w:left="360" w:hanging="360"/>
        <w:jc w:val="both"/>
      </w:pPr>
      <w:r>
        <w:rPr>
          <w:rFonts w:ascii="Times New Roman" w:hAnsi="Times New Roman" w:eastAsia="Times New Roman"/>
          <w:b w:val="0"/>
          <w:i w:val="0"/>
          <w:color w:val="000000"/>
          <w:sz w:val="18"/>
        </w:rPr>
        <w:t>[6] J. Tracz, P. I. Wójcik, K. Jasińska-Kobus, R. Belluzzo, R. Mroczkowski, and I. Gawlik, “BERT-based similarity learning for product matching,” in Proceedings of the Workshop on NLP in E-Commerce, 2020, pp. 66–75. [Online]. Available: https://aclanthology.org/2020.ecomnlp-1.7/</w:t>
      </w:r>
    </w:p>
    <w:p>
      <w:pPr>
        <w:spacing w:after="40" w:line="240" w:lineRule="auto"/>
        <w:ind w:left="360" w:hanging="360"/>
        <w:jc w:val="both"/>
      </w:pPr>
      <w:r>
        <w:rPr>
          <w:rFonts w:ascii="Times New Roman" w:hAnsi="Times New Roman" w:eastAsia="Times New Roman"/>
          <w:b w:val="0"/>
          <w:i w:val="0"/>
          <w:color w:val="000000"/>
          <w:sz w:val="18"/>
        </w:rPr>
        <w:t>[7] World Wide Web Consortium, “Geolocation API,” W3C Recommendation, Jun. 13, 2024. [Online]. Available: https://www.w3.org/TR/2024/REC-geolocation-20240613/</w:t>
      </w:r>
    </w:p>
    <w:p>
      <w:pPr>
        <w:spacing w:after="40" w:line="240" w:lineRule="auto"/>
        <w:ind w:left="360" w:hanging="360"/>
        <w:jc w:val="both"/>
      </w:pPr>
      <w:r>
        <w:rPr>
          <w:rFonts w:ascii="Times New Roman" w:hAnsi="Times New Roman" w:eastAsia="Times New Roman"/>
          <w:b w:val="0"/>
          <w:i w:val="0"/>
          <w:color w:val="000000"/>
          <w:sz w:val="18"/>
        </w:rPr>
        <w:t>[8] C.-H. Chang, M. Kayed, M. R. Girgis, and K. F. Shaalan, “A survey of web information extraction systems,” IEEE Transactions on Knowledge and Data Engineering, vol. 18, no. 10, pp. 1411–1428, Oct. 2006, doi: 10.1109/TKDE.2006.152.</w:t>
      </w:r>
    </w:p>
    <w:p>
      <w:pPr>
        <w:spacing w:after="40" w:line="240" w:lineRule="auto"/>
        <w:ind w:left="360" w:hanging="360"/>
        <w:jc w:val="both"/>
      </w:pPr>
      <w:r>
        <w:rPr>
          <w:rFonts w:ascii="Times New Roman" w:hAnsi="Times New Roman" w:eastAsia="Times New Roman"/>
          <w:b w:val="0"/>
          <w:i w:val="0"/>
          <w:color w:val="000000"/>
          <w:sz w:val="18"/>
        </w:rPr>
        <w:t>[9] P. Christen, Data Matching: Concepts and Techniques for Record Linkage, Entity Resolution, and Duplicate Detection. Berlin, Germany: Springer, 2012, doi: 10.1007/978-3-642-31164-2.</w:t>
      </w:r>
    </w:p>
    <w:p>
      <w:pPr>
        <w:spacing w:after="40" w:line="240" w:lineRule="auto"/>
        <w:ind w:left="360" w:hanging="360"/>
        <w:jc w:val="both"/>
      </w:pPr>
      <w:r>
        <w:rPr>
          <w:rFonts w:ascii="Times New Roman" w:hAnsi="Times New Roman" w:eastAsia="Times New Roman"/>
          <w:b w:val="0"/>
          <w:i w:val="0"/>
          <w:color w:val="000000"/>
          <w:sz w:val="18"/>
        </w:rPr>
        <w:t>[10] N. Reimers and I. Gurevych, “Sentence-BERT: Sentence embeddings using Siamese BERT-networks,” in Proceedings of EMNLP-IJCNLP, 2019, pp. 3982–3992, doi: 10.18653/v1/D19-1410.</w:t>
      </w:r>
    </w:p>
    <w:p>
      <w:pPr>
        <w:spacing w:after="40" w:line="240" w:lineRule="auto"/>
        <w:ind w:left="360" w:hanging="360"/>
        <w:jc w:val="both"/>
      </w:pPr>
      <w:r>
        <w:rPr>
          <w:rFonts w:ascii="Times New Roman" w:hAnsi="Times New Roman" w:eastAsia="Times New Roman"/>
          <w:b w:val="0"/>
          <w:i w:val="0"/>
          <w:color w:val="000000"/>
          <w:sz w:val="18"/>
        </w:rPr>
        <w:t>[11] Flutter, “Flutter documentation.” [Online]. Available: https://docs.flutter.dev/</w:t>
      </w:r>
    </w:p>
    <w:p>
      <w:pPr>
        <w:spacing w:after="40" w:line="240" w:lineRule="auto"/>
        <w:ind w:left="360" w:hanging="360"/>
        <w:jc w:val="both"/>
      </w:pPr>
      <w:r>
        <w:rPr>
          <w:rFonts w:ascii="Times New Roman" w:hAnsi="Times New Roman" w:eastAsia="Times New Roman"/>
          <w:b w:val="0"/>
          <w:i w:val="0"/>
          <w:color w:val="000000"/>
          <w:sz w:val="18"/>
        </w:rPr>
        <w:t>[12] FastAPI, “FastAPI documentation.” [Online]. Available: https://fastapi.tiangolo.com/</w:t>
      </w:r>
    </w:p>
    <w:p>
      <w:pPr>
        <w:spacing w:after="40" w:line="240" w:lineRule="auto"/>
        <w:ind w:left="360" w:hanging="360"/>
        <w:jc w:val="both"/>
      </w:pPr>
      <w:r>
        <w:rPr>
          <w:rFonts w:ascii="Times New Roman" w:hAnsi="Times New Roman" w:eastAsia="Times New Roman"/>
          <w:b w:val="0"/>
          <w:i w:val="0"/>
          <w:color w:val="000000"/>
          <w:sz w:val="18"/>
        </w:rPr>
        <w:t>[13] Microsoft, “Playwright Python documentation.” [Online]. Available: https://playwright.dev/python/docs/library</w:t>
      </w:r>
    </w:p>
    <w:p>
      <w:pPr>
        <w:spacing w:after="40" w:line="240" w:lineRule="auto"/>
        <w:ind w:left="360" w:hanging="360"/>
        <w:jc w:val="both"/>
      </w:pPr>
      <w:r>
        <w:rPr>
          <w:rFonts w:ascii="Times New Roman" w:hAnsi="Times New Roman" w:eastAsia="Times New Roman"/>
          <w:b w:val="0"/>
          <w:i w:val="0"/>
          <w:color w:val="000000"/>
          <w:sz w:val="18"/>
        </w:rPr>
        <w:t>[14] Baseflow, “Geolocator Flutter package.” [Online]. Available: https://pub.dev/packages/geolocator</w:t>
      </w:r>
    </w:p>
    <w:p>
      <w:pPr>
        <w:spacing w:after="40" w:line="240" w:lineRule="auto"/>
        <w:ind w:left="360" w:hanging="360"/>
        <w:jc w:val="both"/>
      </w:pPr>
      <w:r>
        <w:rPr>
          <w:rFonts w:ascii="Times New Roman" w:hAnsi="Times New Roman" w:eastAsia="Times New Roman"/>
          <w:b w:val="0"/>
          <w:i w:val="0"/>
          <w:color w:val="000000"/>
          <w:sz w:val="18"/>
        </w:rPr>
        <w:t>[15] M. Bachmann, “RapidFuzz documentation.” [Online]. Available: https://rapidfuzz.github.io/RapidFuzz/</w:t>
      </w:r>
    </w:p>
    <w:sectPr w:rsidR="00503CA8" w:rsidSect="002C2030">
      <w:headerReference w:type="default" r:id="rId16"/>
      <w:footerReference w:type="default" r:id="rId17"/>
      <w:type w:val="continuous"/>
      <w:pgSz w:w="12240" w:h="15840"/>
      <w:pgMar w:top="1008" w:right="1037" w:bottom="1008" w:left="1037" w:header="432" w:footer="432" w:gutter="0"/>
      <w:cols w:num="1"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728C" w:rsidRDefault="0000728C">
      <w:r>
        <w:separator/>
      </w:r>
    </w:p>
  </w:endnote>
  <w:endnote w:type="continuationSeparator" w:id="0">
    <w:p w:rsidR="0000728C" w:rsidRDefault="00007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20B4" w:rsidRDefault="005320B4">
    <w:pPr>
      <w:pStyle w:val="BodyText"/>
      <w:spacing w:line="14" w:lineRule="auto"/>
      <w:jc w:val="left"/>
      <w:rPr>
        <w:sz w:val="19"/>
      </w:rPr>
    </w:pPr>
    <w:r>
      <w:rPr>
        <w:noProof/>
        <w:sz w:val="19"/>
      </w:rPr>
      <mc:AlternateContent>
        <mc:Choice Requires="wps">
          <w:drawing>
            <wp:anchor distT="0" distB="0" distL="0" distR="0" simplePos="0" relativeHeight="486920704" behindDoc="1" locked="0" layoutInCell="1" allowOverlap="1">
              <wp:simplePos x="0" y="0"/>
              <wp:positionH relativeFrom="page">
                <wp:posOffset>3777107</wp:posOffset>
              </wp:positionH>
              <wp:positionV relativeFrom="page">
                <wp:posOffset>9286443</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5320B4" w:rsidRDefault="005320B4">
                          <w:pPr>
                            <w:pStyle w:val="BodyText"/>
                            <w:spacing w:line="245" w:lineRule="exact"/>
                            <w:ind w:left="60"/>
                            <w:jc w:val="left"/>
                            <w:rPr>
                              <w:rFonts w:ascii="Calibri"/>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7.4pt;margin-top:731.2pt;width:18.3pt;height:13.05pt;z-index:-163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" filled="f" stroked="f">
              <v:textbox inset="0,0,0,0">
                <w:txbxContent>
                  <w:p w:rsidR="005320B4" w:rsidRDefault="005320B4">
                    <w:pPr>
                      <w:pStyle w:val="BodyText"/>
                      <w:spacing w:line="245" w:lineRule="exact"/>
                      <w:ind w:left="60"/>
                      <w:jc w:val="left"/>
                      <w:rPr>
                        <w:rFonts w:ascii="Calibri"/>
                      </w:rPr>
                    </w:pP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728C" w:rsidRDefault="0000728C">
      <w:r>
        <w:separator/>
      </w:r>
    </w:p>
  </w:footnote>
  <w:footnote w:type="continuationSeparator" w:id="0">
    <w:p w:rsidR="0000728C" w:rsidRDefault="0000728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31EA3"/>
    <w:multiLevelType w:val="multilevel"/>
    <w:tmpl w:val="320C5ECE"/>
    <w:lvl w:ilvl="0">
      <w:start w:val="1"/>
      <w:numFmt w:val="bullet"/>
      <w:lvlText w:val=""/>
      <w:lvlJc w:val="left"/>
      <w:pPr>
        <w:ind w:left="720" w:hanging="360"/>
      </w:pPr>
      <w:rPr>
        <w:rFonts w:ascii="Symbol" w:hAnsi="Symbol" w:hint="default"/>
        <w:b/>
        <w:bCs/>
        <w:i w:val="0"/>
        <w:iCs w:val="0"/>
        <w:spacing w:val="0"/>
        <w:w w:val="100"/>
        <w:sz w:val="22"/>
        <w:szCs w:val="22"/>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60" w:hanging="36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89" w:hanging="368"/>
      </w:pPr>
      <w:rPr>
        <w:rFonts w:hint="default"/>
        <w:lang w:val="en-US" w:eastAsia="en-US" w:bidi="ar-SA"/>
      </w:rPr>
    </w:lvl>
    <w:lvl w:ilvl="4">
      <w:numFmt w:val="bullet"/>
      <w:lvlText w:val="•"/>
      <w:lvlJc w:val="left"/>
      <w:pPr>
        <w:ind w:left="374" w:hanging="368"/>
      </w:pPr>
      <w:rPr>
        <w:rFonts w:hint="default"/>
        <w:lang w:val="en-US" w:eastAsia="en-US" w:bidi="ar-SA"/>
      </w:rPr>
    </w:lvl>
    <w:lvl w:ilvl="5">
      <w:numFmt w:val="bullet"/>
      <w:lvlText w:val="•"/>
      <w:lvlJc w:val="left"/>
      <w:pPr>
        <w:ind w:left="259" w:hanging="368"/>
      </w:pPr>
      <w:rPr>
        <w:rFonts w:hint="default"/>
        <w:lang w:val="en-US" w:eastAsia="en-US" w:bidi="ar-SA"/>
      </w:rPr>
    </w:lvl>
    <w:lvl w:ilvl="6">
      <w:numFmt w:val="bullet"/>
      <w:lvlText w:val="•"/>
      <w:lvlJc w:val="left"/>
      <w:pPr>
        <w:ind w:left="144" w:hanging="368"/>
      </w:pPr>
      <w:rPr>
        <w:rFonts w:hint="default"/>
        <w:lang w:val="en-US" w:eastAsia="en-US" w:bidi="ar-SA"/>
      </w:rPr>
    </w:lvl>
    <w:lvl w:ilvl="7">
      <w:numFmt w:val="bullet"/>
      <w:lvlText w:val="•"/>
      <w:lvlJc w:val="left"/>
      <w:pPr>
        <w:ind w:left="29" w:hanging="368"/>
      </w:pPr>
      <w:rPr>
        <w:rFonts w:hint="default"/>
        <w:lang w:val="en-US" w:eastAsia="en-US" w:bidi="ar-SA"/>
      </w:rPr>
    </w:lvl>
    <w:lvl w:ilvl="8">
      <w:numFmt w:val="bullet"/>
      <w:lvlText w:val="•"/>
      <w:lvlJc w:val="left"/>
      <w:pPr>
        <w:ind w:left="-86" w:hanging="368"/>
      </w:pPr>
      <w:rPr>
        <w:rFonts w:hint="default"/>
        <w:lang w:val="en-US" w:eastAsia="en-US" w:bidi="ar-SA"/>
      </w:rPr>
    </w:lvl>
  </w:abstractNum>
  <w:abstractNum w:abstractNumId="1" w15:restartNumberingAfterBreak="0">
    <w:nsid w:val="05F4168B"/>
    <w:multiLevelType w:val="hybridMultilevel"/>
    <w:tmpl w:val="2272E84E"/>
    <w:lvl w:ilvl="0" w:tplc="B26444CC">
      <w:numFmt w:val="bullet"/>
      <w:lvlText w:val=""/>
      <w:lvlJc w:val="left"/>
      <w:pPr>
        <w:ind w:left="720" w:hanging="360"/>
      </w:pPr>
      <w:rPr>
        <w:rFonts w:ascii="Symbol" w:eastAsia="Symbol" w:hAnsi="Symbol" w:cs="Symbol" w:hint="default"/>
        <w:b w:val="0"/>
        <w:bCs w:val="0"/>
        <w:i w:val="0"/>
        <w:iCs w:val="0"/>
        <w:spacing w:val="0"/>
        <w:w w:val="100"/>
        <w:sz w:val="12"/>
        <w:szCs w:val="12"/>
        <w:lang w:val="en-US" w:eastAsia="en-US" w:bidi="ar-SA"/>
      </w:rPr>
    </w:lvl>
    <w:lvl w:ilvl="1" w:tplc="CEFE76D6">
      <w:numFmt w:val="bullet"/>
      <w:lvlText w:val="•"/>
      <w:lvlJc w:val="left"/>
      <w:pPr>
        <w:ind w:left="1120" w:hanging="360"/>
      </w:pPr>
      <w:rPr>
        <w:rFonts w:hint="default"/>
        <w:lang w:val="en-US" w:eastAsia="en-US" w:bidi="ar-SA"/>
      </w:rPr>
    </w:lvl>
    <w:lvl w:ilvl="2" w:tplc="5088FC1A">
      <w:numFmt w:val="bullet"/>
      <w:lvlText w:val="•"/>
      <w:lvlJc w:val="left"/>
      <w:pPr>
        <w:ind w:left="1520" w:hanging="360"/>
      </w:pPr>
      <w:rPr>
        <w:rFonts w:hint="default"/>
        <w:lang w:val="en-US" w:eastAsia="en-US" w:bidi="ar-SA"/>
      </w:rPr>
    </w:lvl>
    <w:lvl w:ilvl="3" w:tplc="072A5038">
      <w:numFmt w:val="bullet"/>
      <w:lvlText w:val="•"/>
      <w:lvlJc w:val="left"/>
      <w:pPr>
        <w:ind w:left="1920" w:hanging="360"/>
      </w:pPr>
      <w:rPr>
        <w:rFonts w:hint="default"/>
        <w:lang w:val="en-US" w:eastAsia="en-US" w:bidi="ar-SA"/>
      </w:rPr>
    </w:lvl>
    <w:lvl w:ilvl="4" w:tplc="E460D1CC">
      <w:numFmt w:val="bullet"/>
      <w:lvlText w:val="•"/>
      <w:lvlJc w:val="left"/>
      <w:pPr>
        <w:ind w:left="2320" w:hanging="360"/>
      </w:pPr>
      <w:rPr>
        <w:rFonts w:hint="default"/>
        <w:lang w:val="en-US" w:eastAsia="en-US" w:bidi="ar-SA"/>
      </w:rPr>
    </w:lvl>
    <w:lvl w:ilvl="5" w:tplc="38BE287A">
      <w:numFmt w:val="bullet"/>
      <w:lvlText w:val="•"/>
      <w:lvlJc w:val="left"/>
      <w:pPr>
        <w:ind w:left="2720" w:hanging="360"/>
      </w:pPr>
      <w:rPr>
        <w:rFonts w:hint="default"/>
        <w:lang w:val="en-US" w:eastAsia="en-US" w:bidi="ar-SA"/>
      </w:rPr>
    </w:lvl>
    <w:lvl w:ilvl="6" w:tplc="1A047CDA">
      <w:numFmt w:val="bullet"/>
      <w:lvlText w:val="•"/>
      <w:lvlJc w:val="left"/>
      <w:pPr>
        <w:ind w:left="3120" w:hanging="360"/>
      </w:pPr>
      <w:rPr>
        <w:rFonts w:hint="default"/>
        <w:lang w:val="en-US" w:eastAsia="en-US" w:bidi="ar-SA"/>
      </w:rPr>
    </w:lvl>
    <w:lvl w:ilvl="7" w:tplc="5F0A557A">
      <w:numFmt w:val="bullet"/>
      <w:lvlText w:val="•"/>
      <w:lvlJc w:val="left"/>
      <w:pPr>
        <w:ind w:left="3520" w:hanging="360"/>
      </w:pPr>
      <w:rPr>
        <w:rFonts w:hint="default"/>
        <w:lang w:val="en-US" w:eastAsia="en-US" w:bidi="ar-SA"/>
      </w:rPr>
    </w:lvl>
    <w:lvl w:ilvl="8" w:tplc="A85440DC">
      <w:numFmt w:val="bullet"/>
      <w:lvlText w:val="•"/>
      <w:lvlJc w:val="left"/>
      <w:pPr>
        <w:ind w:left="3920" w:hanging="360"/>
      </w:pPr>
      <w:rPr>
        <w:rFonts w:hint="default"/>
        <w:lang w:val="en-US" w:eastAsia="en-US" w:bidi="ar-SA"/>
      </w:rPr>
    </w:lvl>
  </w:abstractNum>
  <w:abstractNum w:abstractNumId="2" w15:restartNumberingAfterBreak="0">
    <w:nsid w:val="0AD23960"/>
    <w:multiLevelType w:val="multilevel"/>
    <w:tmpl w:val="D0A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94D58"/>
    <w:multiLevelType w:val="multilevel"/>
    <w:tmpl w:val="E0F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50E4F"/>
    <w:multiLevelType w:val="multilevel"/>
    <w:tmpl w:val="186A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14A62"/>
    <w:multiLevelType w:val="multilevel"/>
    <w:tmpl w:val="AE5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C068F"/>
    <w:multiLevelType w:val="hybridMultilevel"/>
    <w:tmpl w:val="7C100B20"/>
    <w:lvl w:ilvl="0" w:tplc="2DF210DA">
      <w:numFmt w:val="bullet"/>
      <w:lvlText w:val="•"/>
      <w:lvlJc w:val="left"/>
      <w:pPr>
        <w:ind w:left="602" w:hanging="243"/>
      </w:pPr>
      <w:rPr>
        <w:rFonts w:ascii="Times New Roman" w:eastAsia="Times New Roman" w:hAnsi="Times New Roman" w:cs="Times New Roman" w:hint="default"/>
        <w:b w:val="0"/>
        <w:bCs w:val="0"/>
        <w:i w:val="0"/>
        <w:iCs w:val="0"/>
        <w:spacing w:val="0"/>
        <w:w w:val="100"/>
        <w:sz w:val="22"/>
        <w:szCs w:val="22"/>
        <w:lang w:val="en-US" w:eastAsia="en-US" w:bidi="ar-SA"/>
      </w:rPr>
    </w:lvl>
    <w:lvl w:ilvl="1" w:tplc="F72CE24C">
      <w:numFmt w:val="bullet"/>
      <w:lvlText w:val="o"/>
      <w:lvlJc w:val="left"/>
      <w:pPr>
        <w:ind w:left="1080" w:hanging="360"/>
      </w:pPr>
      <w:rPr>
        <w:rFonts w:ascii="Courier New" w:eastAsia="Courier New" w:hAnsi="Courier New" w:cs="Courier New" w:hint="default"/>
        <w:b w:val="0"/>
        <w:bCs w:val="0"/>
        <w:i w:val="0"/>
        <w:iCs w:val="0"/>
        <w:spacing w:val="0"/>
        <w:w w:val="100"/>
        <w:sz w:val="22"/>
        <w:szCs w:val="22"/>
        <w:lang w:val="en-US" w:eastAsia="en-US" w:bidi="ar-SA"/>
      </w:rPr>
    </w:lvl>
    <w:lvl w:ilvl="2" w:tplc="3E187A04">
      <w:numFmt w:val="bullet"/>
      <w:lvlText w:val="•"/>
      <w:lvlJc w:val="left"/>
      <w:pPr>
        <w:ind w:left="1639" w:hanging="360"/>
      </w:pPr>
      <w:rPr>
        <w:rFonts w:hint="default"/>
        <w:lang w:val="en-US" w:eastAsia="en-US" w:bidi="ar-SA"/>
      </w:rPr>
    </w:lvl>
    <w:lvl w:ilvl="3" w:tplc="7F4019E2">
      <w:numFmt w:val="bullet"/>
      <w:lvlText w:val="•"/>
      <w:lvlJc w:val="left"/>
      <w:pPr>
        <w:ind w:left="2199" w:hanging="360"/>
      </w:pPr>
      <w:rPr>
        <w:rFonts w:hint="default"/>
        <w:lang w:val="en-US" w:eastAsia="en-US" w:bidi="ar-SA"/>
      </w:rPr>
    </w:lvl>
    <w:lvl w:ilvl="4" w:tplc="71729976">
      <w:numFmt w:val="bullet"/>
      <w:lvlText w:val="•"/>
      <w:lvlJc w:val="left"/>
      <w:pPr>
        <w:ind w:left="2759" w:hanging="360"/>
      </w:pPr>
      <w:rPr>
        <w:rFonts w:hint="default"/>
        <w:lang w:val="en-US" w:eastAsia="en-US" w:bidi="ar-SA"/>
      </w:rPr>
    </w:lvl>
    <w:lvl w:ilvl="5" w:tplc="B35C5CA6">
      <w:numFmt w:val="bullet"/>
      <w:lvlText w:val="•"/>
      <w:lvlJc w:val="left"/>
      <w:pPr>
        <w:ind w:left="3319" w:hanging="360"/>
      </w:pPr>
      <w:rPr>
        <w:rFonts w:hint="default"/>
        <w:lang w:val="en-US" w:eastAsia="en-US" w:bidi="ar-SA"/>
      </w:rPr>
    </w:lvl>
    <w:lvl w:ilvl="6" w:tplc="D9C4B8F4">
      <w:numFmt w:val="bullet"/>
      <w:lvlText w:val="•"/>
      <w:lvlJc w:val="left"/>
      <w:pPr>
        <w:ind w:left="3879" w:hanging="360"/>
      </w:pPr>
      <w:rPr>
        <w:rFonts w:hint="default"/>
        <w:lang w:val="en-US" w:eastAsia="en-US" w:bidi="ar-SA"/>
      </w:rPr>
    </w:lvl>
    <w:lvl w:ilvl="7" w:tplc="F61C3D66">
      <w:numFmt w:val="bullet"/>
      <w:lvlText w:val="•"/>
      <w:lvlJc w:val="left"/>
      <w:pPr>
        <w:ind w:left="4439" w:hanging="360"/>
      </w:pPr>
      <w:rPr>
        <w:rFonts w:hint="default"/>
        <w:lang w:val="en-US" w:eastAsia="en-US" w:bidi="ar-SA"/>
      </w:rPr>
    </w:lvl>
    <w:lvl w:ilvl="8" w:tplc="FEA474A8">
      <w:numFmt w:val="bullet"/>
      <w:lvlText w:val="•"/>
      <w:lvlJc w:val="left"/>
      <w:pPr>
        <w:ind w:left="4999" w:hanging="360"/>
      </w:pPr>
      <w:rPr>
        <w:rFonts w:hint="default"/>
        <w:lang w:val="en-US" w:eastAsia="en-US" w:bidi="ar-SA"/>
      </w:rPr>
    </w:lvl>
  </w:abstractNum>
  <w:abstractNum w:abstractNumId="7" w15:restartNumberingAfterBreak="0">
    <w:nsid w:val="1E1F4F4D"/>
    <w:multiLevelType w:val="multilevel"/>
    <w:tmpl w:val="19BA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E06EC"/>
    <w:multiLevelType w:val="multilevel"/>
    <w:tmpl w:val="95A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B6B56"/>
    <w:multiLevelType w:val="multilevel"/>
    <w:tmpl w:val="203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F6877"/>
    <w:multiLevelType w:val="multilevel"/>
    <w:tmpl w:val="CF625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2D7CA9"/>
    <w:multiLevelType w:val="multilevel"/>
    <w:tmpl w:val="7AA4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54CEE"/>
    <w:multiLevelType w:val="multilevel"/>
    <w:tmpl w:val="0EFE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31F2D"/>
    <w:multiLevelType w:val="multilevel"/>
    <w:tmpl w:val="8236EF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194666"/>
    <w:multiLevelType w:val="multilevel"/>
    <w:tmpl w:val="F662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B4B53"/>
    <w:multiLevelType w:val="multilevel"/>
    <w:tmpl w:val="CE2CE806"/>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0C510BB"/>
    <w:multiLevelType w:val="multilevel"/>
    <w:tmpl w:val="032A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20574"/>
    <w:multiLevelType w:val="multilevel"/>
    <w:tmpl w:val="1CEC0F82"/>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val="0"/>
        <w:i w:val="0"/>
        <w:iCs w:val="0"/>
        <w:spacing w:val="0"/>
        <w:w w:val="100"/>
        <w:sz w:val="22"/>
        <w:szCs w:val="22"/>
        <w:lang w:val="en-US" w:eastAsia="en-US" w:bidi="ar-SA"/>
      </w:rPr>
    </w:lvl>
    <w:lvl w:ilvl="2">
      <w:numFmt w:val="bullet"/>
      <w:lvlText w:val="•"/>
      <w:lvlJc w:val="left"/>
      <w:pPr>
        <w:ind w:left="360" w:hanging="36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89" w:hanging="368"/>
      </w:pPr>
      <w:rPr>
        <w:rFonts w:hint="default"/>
        <w:lang w:val="en-US" w:eastAsia="en-US" w:bidi="ar-SA"/>
      </w:rPr>
    </w:lvl>
    <w:lvl w:ilvl="4">
      <w:numFmt w:val="bullet"/>
      <w:lvlText w:val="•"/>
      <w:lvlJc w:val="left"/>
      <w:pPr>
        <w:ind w:left="374" w:hanging="368"/>
      </w:pPr>
      <w:rPr>
        <w:rFonts w:hint="default"/>
        <w:lang w:val="en-US" w:eastAsia="en-US" w:bidi="ar-SA"/>
      </w:rPr>
    </w:lvl>
    <w:lvl w:ilvl="5">
      <w:numFmt w:val="bullet"/>
      <w:lvlText w:val="•"/>
      <w:lvlJc w:val="left"/>
      <w:pPr>
        <w:ind w:left="259" w:hanging="368"/>
      </w:pPr>
      <w:rPr>
        <w:rFonts w:hint="default"/>
        <w:lang w:val="en-US" w:eastAsia="en-US" w:bidi="ar-SA"/>
      </w:rPr>
    </w:lvl>
    <w:lvl w:ilvl="6">
      <w:numFmt w:val="bullet"/>
      <w:lvlText w:val="•"/>
      <w:lvlJc w:val="left"/>
      <w:pPr>
        <w:ind w:left="144" w:hanging="368"/>
      </w:pPr>
      <w:rPr>
        <w:rFonts w:hint="default"/>
        <w:lang w:val="en-US" w:eastAsia="en-US" w:bidi="ar-SA"/>
      </w:rPr>
    </w:lvl>
    <w:lvl w:ilvl="7">
      <w:numFmt w:val="bullet"/>
      <w:lvlText w:val="•"/>
      <w:lvlJc w:val="left"/>
      <w:pPr>
        <w:ind w:left="29" w:hanging="368"/>
      </w:pPr>
      <w:rPr>
        <w:rFonts w:hint="default"/>
        <w:lang w:val="en-US" w:eastAsia="en-US" w:bidi="ar-SA"/>
      </w:rPr>
    </w:lvl>
    <w:lvl w:ilvl="8">
      <w:numFmt w:val="bullet"/>
      <w:lvlText w:val="•"/>
      <w:lvlJc w:val="left"/>
      <w:pPr>
        <w:ind w:left="-86" w:hanging="368"/>
      </w:pPr>
      <w:rPr>
        <w:rFonts w:hint="default"/>
        <w:lang w:val="en-US" w:eastAsia="en-US" w:bidi="ar-SA"/>
      </w:rPr>
    </w:lvl>
  </w:abstractNum>
  <w:abstractNum w:abstractNumId="18" w15:restartNumberingAfterBreak="0">
    <w:nsid w:val="47943205"/>
    <w:multiLevelType w:val="multilevel"/>
    <w:tmpl w:val="402E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201FB"/>
    <w:multiLevelType w:val="hybridMultilevel"/>
    <w:tmpl w:val="58E0DDD8"/>
    <w:lvl w:ilvl="0" w:tplc="2BA025C2">
      <w:start w:val="1"/>
      <w:numFmt w:val="decimal"/>
      <w:lvlText w:val="[%1]"/>
      <w:lvlJc w:val="left"/>
      <w:pPr>
        <w:ind w:left="720" w:hanging="333"/>
      </w:pPr>
      <w:rPr>
        <w:rFonts w:ascii="Times New Roman" w:eastAsia="Times New Roman" w:hAnsi="Times New Roman" w:cs="Times New Roman" w:hint="default"/>
        <w:b w:val="0"/>
        <w:bCs w:val="0"/>
        <w:i w:val="0"/>
        <w:iCs w:val="0"/>
        <w:spacing w:val="0"/>
        <w:w w:val="100"/>
        <w:sz w:val="22"/>
        <w:szCs w:val="22"/>
        <w:lang w:val="en-US" w:eastAsia="en-US" w:bidi="ar-SA"/>
      </w:rPr>
    </w:lvl>
    <w:lvl w:ilvl="1" w:tplc="0FA80082">
      <w:numFmt w:val="bullet"/>
      <w:lvlText w:val="•"/>
      <w:lvlJc w:val="left"/>
      <w:pPr>
        <w:ind w:left="1259" w:hanging="333"/>
      </w:pPr>
      <w:rPr>
        <w:rFonts w:hint="default"/>
        <w:lang w:val="en-US" w:eastAsia="en-US" w:bidi="ar-SA"/>
      </w:rPr>
    </w:lvl>
    <w:lvl w:ilvl="2" w:tplc="C5E69326">
      <w:numFmt w:val="bullet"/>
      <w:lvlText w:val="•"/>
      <w:lvlJc w:val="left"/>
      <w:pPr>
        <w:ind w:left="1799" w:hanging="333"/>
      </w:pPr>
      <w:rPr>
        <w:rFonts w:hint="default"/>
        <w:lang w:val="en-US" w:eastAsia="en-US" w:bidi="ar-SA"/>
      </w:rPr>
    </w:lvl>
    <w:lvl w:ilvl="3" w:tplc="C5280858">
      <w:numFmt w:val="bullet"/>
      <w:lvlText w:val="•"/>
      <w:lvlJc w:val="left"/>
      <w:pPr>
        <w:ind w:left="2339" w:hanging="333"/>
      </w:pPr>
      <w:rPr>
        <w:rFonts w:hint="default"/>
        <w:lang w:val="en-US" w:eastAsia="en-US" w:bidi="ar-SA"/>
      </w:rPr>
    </w:lvl>
    <w:lvl w:ilvl="4" w:tplc="79F4E9E4">
      <w:numFmt w:val="bullet"/>
      <w:lvlText w:val="•"/>
      <w:lvlJc w:val="left"/>
      <w:pPr>
        <w:ind w:left="2879" w:hanging="333"/>
      </w:pPr>
      <w:rPr>
        <w:rFonts w:hint="default"/>
        <w:lang w:val="en-US" w:eastAsia="en-US" w:bidi="ar-SA"/>
      </w:rPr>
    </w:lvl>
    <w:lvl w:ilvl="5" w:tplc="7B9C6CFE">
      <w:numFmt w:val="bullet"/>
      <w:lvlText w:val="•"/>
      <w:lvlJc w:val="left"/>
      <w:pPr>
        <w:ind w:left="3419" w:hanging="333"/>
      </w:pPr>
      <w:rPr>
        <w:rFonts w:hint="default"/>
        <w:lang w:val="en-US" w:eastAsia="en-US" w:bidi="ar-SA"/>
      </w:rPr>
    </w:lvl>
    <w:lvl w:ilvl="6" w:tplc="B734E988">
      <w:numFmt w:val="bullet"/>
      <w:lvlText w:val="•"/>
      <w:lvlJc w:val="left"/>
      <w:pPr>
        <w:ind w:left="3959" w:hanging="333"/>
      </w:pPr>
      <w:rPr>
        <w:rFonts w:hint="default"/>
        <w:lang w:val="en-US" w:eastAsia="en-US" w:bidi="ar-SA"/>
      </w:rPr>
    </w:lvl>
    <w:lvl w:ilvl="7" w:tplc="906272BE">
      <w:numFmt w:val="bullet"/>
      <w:lvlText w:val="•"/>
      <w:lvlJc w:val="left"/>
      <w:pPr>
        <w:ind w:left="4499" w:hanging="333"/>
      </w:pPr>
      <w:rPr>
        <w:rFonts w:hint="default"/>
        <w:lang w:val="en-US" w:eastAsia="en-US" w:bidi="ar-SA"/>
      </w:rPr>
    </w:lvl>
    <w:lvl w:ilvl="8" w:tplc="58B80C30">
      <w:numFmt w:val="bullet"/>
      <w:lvlText w:val="•"/>
      <w:lvlJc w:val="left"/>
      <w:pPr>
        <w:ind w:left="5039" w:hanging="333"/>
      </w:pPr>
      <w:rPr>
        <w:rFonts w:hint="default"/>
        <w:lang w:val="en-US" w:eastAsia="en-US" w:bidi="ar-SA"/>
      </w:rPr>
    </w:lvl>
  </w:abstractNum>
  <w:abstractNum w:abstractNumId="20" w15:restartNumberingAfterBreak="0">
    <w:nsid w:val="4A182D31"/>
    <w:multiLevelType w:val="hybridMultilevel"/>
    <w:tmpl w:val="E7CC204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15:restartNumberingAfterBreak="0">
    <w:nsid w:val="517658C6"/>
    <w:multiLevelType w:val="multilevel"/>
    <w:tmpl w:val="8CB6A44C"/>
    <w:lvl w:ilvl="0">
      <w:start w:val="3"/>
      <w:numFmt w:val="decimal"/>
      <w:lvlText w:val="%1"/>
      <w:lvlJc w:val="left"/>
      <w:pPr>
        <w:ind w:left="746" w:hanging="387"/>
      </w:pPr>
      <w:rPr>
        <w:rFonts w:hint="default"/>
        <w:lang w:val="en-US" w:eastAsia="en-US" w:bidi="ar-SA"/>
      </w:rPr>
    </w:lvl>
    <w:lvl w:ilvl="1">
      <w:start w:val="1"/>
      <w:numFmt w:val="decimal"/>
      <w:lvlText w:val="%1.%2."/>
      <w:lvlJc w:val="left"/>
      <w:pPr>
        <w:ind w:left="746" w:hanging="387"/>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536" w:hanging="387"/>
      </w:pPr>
      <w:rPr>
        <w:rFonts w:hint="default"/>
        <w:lang w:val="en-US" w:eastAsia="en-US" w:bidi="ar-SA"/>
      </w:rPr>
    </w:lvl>
    <w:lvl w:ilvl="3">
      <w:numFmt w:val="bullet"/>
      <w:lvlText w:val="•"/>
      <w:lvlJc w:val="left"/>
      <w:pPr>
        <w:ind w:left="1935" w:hanging="387"/>
      </w:pPr>
      <w:rPr>
        <w:rFonts w:hint="default"/>
        <w:lang w:val="en-US" w:eastAsia="en-US" w:bidi="ar-SA"/>
      </w:rPr>
    </w:lvl>
    <w:lvl w:ilvl="4">
      <w:numFmt w:val="bullet"/>
      <w:lvlText w:val="•"/>
      <w:lvlJc w:val="left"/>
      <w:pPr>
        <w:ind w:left="2333" w:hanging="387"/>
      </w:pPr>
      <w:rPr>
        <w:rFonts w:hint="default"/>
        <w:lang w:val="en-US" w:eastAsia="en-US" w:bidi="ar-SA"/>
      </w:rPr>
    </w:lvl>
    <w:lvl w:ilvl="5">
      <w:numFmt w:val="bullet"/>
      <w:lvlText w:val="•"/>
      <w:lvlJc w:val="left"/>
      <w:pPr>
        <w:ind w:left="2732" w:hanging="387"/>
      </w:pPr>
      <w:rPr>
        <w:rFonts w:hint="default"/>
        <w:lang w:val="en-US" w:eastAsia="en-US" w:bidi="ar-SA"/>
      </w:rPr>
    </w:lvl>
    <w:lvl w:ilvl="6">
      <w:numFmt w:val="bullet"/>
      <w:lvlText w:val="•"/>
      <w:lvlJc w:val="left"/>
      <w:pPr>
        <w:ind w:left="3130" w:hanging="387"/>
      </w:pPr>
      <w:rPr>
        <w:rFonts w:hint="default"/>
        <w:lang w:val="en-US" w:eastAsia="en-US" w:bidi="ar-SA"/>
      </w:rPr>
    </w:lvl>
    <w:lvl w:ilvl="7">
      <w:numFmt w:val="bullet"/>
      <w:lvlText w:val="•"/>
      <w:lvlJc w:val="left"/>
      <w:pPr>
        <w:ind w:left="3529" w:hanging="387"/>
      </w:pPr>
      <w:rPr>
        <w:rFonts w:hint="default"/>
        <w:lang w:val="en-US" w:eastAsia="en-US" w:bidi="ar-SA"/>
      </w:rPr>
    </w:lvl>
    <w:lvl w:ilvl="8">
      <w:numFmt w:val="bullet"/>
      <w:lvlText w:val="•"/>
      <w:lvlJc w:val="left"/>
      <w:pPr>
        <w:ind w:left="3927" w:hanging="387"/>
      </w:pPr>
      <w:rPr>
        <w:rFonts w:hint="default"/>
        <w:lang w:val="en-US" w:eastAsia="en-US" w:bidi="ar-SA"/>
      </w:rPr>
    </w:lvl>
  </w:abstractNum>
  <w:abstractNum w:abstractNumId="22" w15:restartNumberingAfterBreak="0">
    <w:nsid w:val="53D0146E"/>
    <w:multiLevelType w:val="multilevel"/>
    <w:tmpl w:val="E43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90628"/>
    <w:multiLevelType w:val="hybridMultilevel"/>
    <w:tmpl w:val="B9020AA6"/>
    <w:lvl w:ilvl="0" w:tplc="EDA0C6FA">
      <w:start w:val="1"/>
      <w:numFmt w:val="lowerLetter"/>
      <w:lvlText w:val="%1)"/>
      <w:lvlJc w:val="left"/>
      <w:pPr>
        <w:ind w:left="718"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1" w:tplc="088A07D0">
      <w:numFmt w:val="bullet"/>
      <w:lvlText w:val="•"/>
      <w:lvlJc w:val="left"/>
      <w:pPr>
        <w:ind w:left="1259" w:hanging="358"/>
      </w:pPr>
      <w:rPr>
        <w:rFonts w:hint="default"/>
        <w:lang w:val="en-US" w:eastAsia="en-US" w:bidi="ar-SA"/>
      </w:rPr>
    </w:lvl>
    <w:lvl w:ilvl="2" w:tplc="195657F8">
      <w:numFmt w:val="bullet"/>
      <w:lvlText w:val="•"/>
      <w:lvlJc w:val="left"/>
      <w:pPr>
        <w:ind w:left="1799" w:hanging="358"/>
      </w:pPr>
      <w:rPr>
        <w:rFonts w:hint="default"/>
        <w:lang w:val="en-US" w:eastAsia="en-US" w:bidi="ar-SA"/>
      </w:rPr>
    </w:lvl>
    <w:lvl w:ilvl="3" w:tplc="42F0759A">
      <w:numFmt w:val="bullet"/>
      <w:lvlText w:val="•"/>
      <w:lvlJc w:val="left"/>
      <w:pPr>
        <w:ind w:left="2339" w:hanging="358"/>
      </w:pPr>
      <w:rPr>
        <w:rFonts w:hint="default"/>
        <w:lang w:val="en-US" w:eastAsia="en-US" w:bidi="ar-SA"/>
      </w:rPr>
    </w:lvl>
    <w:lvl w:ilvl="4" w:tplc="2DB61998">
      <w:numFmt w:val="bullet"/>
      <w:lvlText w:val="•"/>
      <w:lvlJc w:val="left"/>
      <w:pPr>
        <w:ind w:left="2879" w:hanging="358"/>
      </w:pPr>
      <w:rPr>
        <w:rFonts w:hint="default"/>
        <w:lang w:val="en-US" w:eastAsia="en-US" w:bidi="ar-SA"/>
      </w:rPr>
    </w:lvl>
    <w:lvl w:ilvl="5" w:tplc="37226FB6">
      <w:numFmt w:val="bullet"/>
      <w:lvlText w:val="•"/>
      <w:lvlJc w:val="left"/>
      <w:pPr>
        <w:ind w:left="3419" w:hanging="358"/>
      </w:pPr>
      <w:rPr>
        <w:rFonts w:hint="default"/>
        <w:lang w:val="en-US" w:eastAsia="en-US" w:bidi="ar-SA"/>
      </w:rPr>
    </w:lvl>
    <w:lvl w:ilvl="6" w:tplc="FE2EE5B4">
      <w:numFmt w:val="bullet"/>
      <w:lvlText w:val="•"/>
      <w:lvlJc w:val="left"/>
      <w:pPr>
        <w:ind w:left="3959" w:hanging="358"/>
      </w:pPr>
      <w:rPr>
        <w:rFonts w:hint="default"/>
        <w:lang w:val="en-US" w:eastAsia="en-US" w:bidi="ar-SA"/>
      </w:rPr>
    </w:lvl>
    <w:lvl w:ilvl="7" w:tplc="B9E65952">
      <w:numFmt w:val="bullet"/>
      <w:lvlText w:val="•"/>
      <w:lvlJc w:val="left"/>
      <w:pPr>
        <w:ind w:left="4499" w:hanging="358"/>
      </w:pPr>
      <w:rPr>
        <w:rFonts w:hint="default"/>
        <w:lang w:val="en-US" w:eastAsia="en-US" w:bidi="ar-SA"/>
      </w:rPr>
    </w:lvl>
    <w:lvl w:ilvl="8" w:tplc="07024E76">
      <w:numFmt w:val="bullet"/>
      <w:lvlText w:val="•"/>
      <w:lvlJc w:val="left"/>
      <w:pPr>
        <w:ind w:left="5039" w:hanging="358"/>
      </w:pPr>
      <w:rPr>
        <w:rFonts w:hint="default"/>
        <w:lang w:val="en-US" w:eastAsia="en-US" w:bidi="ar-SA"/>
      </w:rPr>
    </w:lvl>
  </w:abstractNum>
  <w:abstractNum w:abstractNumId="24" w15:restartNumberingAfterBreak="0">
    <w:nsid w:val="561814FF"/>
    <w:multiLevelType w:val="multilevel"/>
    <w:tmpl w:val="81E4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30FCE"/>
    <w:multiLevelType w:val="multilevel"/>
    <w:tmpl w:val="E6F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2D5B29"/>
    <w:multiLevelType w:val="multilevel"/>
    <w:tmpl w:val="071A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4E066C"/>
    <w:multiLevelType w:val="multilevel"/>
    <w:tmpl w:val="0BA0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D5803"/>
    <w:multiLevelType w:val="hybridMultilevel"/>
    <w:tmpl w:val="48C0859A"/>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29" w15:restartNumberingAfterBreak="0">
    <w:nsid w:val="67B26B3A"/>
    <w:multiLevelType w:val="multilevel"/>
    <w:tmpl w:val="D73C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A6C35"/>
    <w:multiLevelType w:val="hybridMultilevel"/>
    <w:tmpl w:val="FB2EC76A"/>
    <w:lvl w:ilvl="0" w:tplc="AF363402">
      <w:numFmt w:val="bullet"/>
      <w:lvlText w:val=""/>
      <w:lvlJc w:val="left"/>
      <w:pPr>
        <w:ind w:left="720" w:hanging="360"/>
      </w:pPr>
      <w:rPr>
        <w:rFonts w:ascii="Symbol" w:eastAsia="Symbol" w:hAnsi="Symbol" w:cs="Symbol" w:hint="default"/>
        <w:b w:val="0"/>
        <w:bCs w:val="0"/>
        <w:i w:val="0"/>
        <w:iCs w:val="0"/>
        <w:spacing w:val="0"/>
        <w:w w:val="100"/>
        <w:sz w:val="12"/>
        <w:szCs w:val="12"/>
        <w:lang w:val="en-US" w:eastAsia="en-US" w:bidi="ar-SA"/>
      </w:rPr>
    </w:lvl>
    <w:lvl w:ilvl="1" w:tplc="A2DA3252">
      <w:numFmt w:val="bullet"/>
      <w:lvlText w:val="•"/>
      <w:lvlJc w:val="left"/>
      <w:pPr>
        <w:ind w:left="1120" w:hanging="360"/>
      </w:pPr>
      <w:rPr>
        <w:rFonts w:hint="default"/>
        <w:lang w:val="en-US" w:eastAsia="en-US" w:bidi="ar-SA"/>
      </w:rPr>
    </w:lvl>
    <w:lvl w:ilvl="2" w:tplc="C5C23F04">
      <w:numFmt w:val="bullet"/>
      <w:lvlText w:val="•"/>
      <w:lvlJc w:val="left"/>
      <w:pPr>
        <w:ind w:left="1520" w:hanging="360"/>
      </w:pPr>
      <w:rPr>
        <w:rFonts w:hint="default"/>
        <w:lang w:val="en-US" w:eastAsia="en-US" w:bidi="ar-SA"/>
      </w:rPr>
    </w:lvl>
    <w:lvl w:ilvl="3" w:tplc="E8AE1380">
      <w:numFmt w:val="bullet"/>
      <w:lvlText w:val="•"/>
      <w:lvlJc w:val="left"/>
      <w:pPr>
        <w:ind w:left="1921" w:hanging="360"/>
      </w:pPr>
      <w:rPr>
        <w:rFonts w:hint="default"/>
        <w:lang w:val="en-US" w:eastAsia="en-US" w:bidi="ar-SA"/>
      </w:rPr>
    </w:lvl>
    <w:lvl w:ilvl="4" w:tplc="84449296">
      <w:numFmt w:val="bullet"/>
      <w:lvlText w:val="•"/>
      <w:lvlJc w:val="left"/>
      <w:pPr>
        <w:ind w:left="2321" w:hanging="360"/>
      </w:pPr>
      <w:rPr>
        <w:rFonts w:hint="default"/>
        <w:lang w:val="en-US" w:eastAsia="en-US" w:bidi="ar-SA"/>
      </w:rPr>
    </w:lvl>
    <w:lvl w:ilvl="5" w:tplc="17B87372">
      <w:numFmt w:val="bullet"/>
      <w:lvlText w:val="•"/>
      <w:lvlJc w:val="left"/>
      <w:pPr>
        <w:ind w:left="2722" w:hanging="360"/>
      </w:pPr>
      <w:rPr>
        <w:rFonts w:hint="default"/>
        <w:lang w:val="en-US" w:eastAsia="en-US" w:bidi="ar-SA"/>
      </w:rPr>
    </w:lvl>
    <w:lvl w:ilvl="6" w:tplc="6F5C85FE">
      <w:numFmt w:val="bullet"/>
      <w:lvlText w:val="•"/>
      <w:lvlJc w:val="left"/>
      <w:pPr>
        <w:ind w:left="3122" w:hanging="360"/>
      </w:pPr>
      <w:rPr>
        <w:rFonts w:hint="default"/>
        <w:lang w:val="en-US" w:eastAsia="en-US" w:bidi="ar-SA"/>
      </w:rPr>
    </w:lvl>
    <w:lvl w:ilvl="7" w:tplc="CF1E3E70">
      <w:numFmt w:val="bullet"/>
      <w:lvlText w:val="•"/>
      <w:lvlJc w:val="left"/>
      <w:pPr>
        <w:ind w:left="3523" w:hanging="360"/>
      </w:pPr>
      <w:rPr>
        <w:rFonts w:hint="default"/>
        <w:lang w:val="en-US" w:eastAsia="en-US" w:bidi="ar-SA"/>
      </w:rPr>
    </w:lvl>
    <w:lvl w:ilvl="8" w:tplc="A6AED5B2">
      <w:numFmt w:val="bullet"/>
      <w:lvlText w:val="•"/>
      <w:lvlJc w:val="left"/>
      <w:pPr>
        <w:ind w:left="3923" w:hanging="360"/>
      </w:pPr>
      <w:rPr>
        <w:rFonts w:hint="default"/>
        <w:lang w:val="en-US" w:eastAsia="en-US" w:bidi="ar-SA"/>
      </w:rPr>
    </w:lvl>
  </w:abstractNum>
  <w:abstractNum w:abstractNumId="31" w15:restartNumberingAfterBreak="0">
    <w:nsid w:val="6FFE3BE5"/>
    <w:multiLevelType w:val="multilevel"/>
    <w:tmpl w:val="2182ED08"/>
    <w:lvl w:ilvl="0">
      <w:numFmt w:val="bullet"/>
      <w:lvlText w:val="•"/>
      <w:lvlJc w:val="left"/>
      <w:pPr>
        <w:ind w:left="720" w:hanging="360"/>
      </w:pPr>
      <w:rPr>
        <w:rFonts w:hint="default"/>
        <w:b/>
        <w:bCs/>
        <w:i w:val="0"/>
        <w:iCs w:val="0"/>
        <w:spacing w:val="0"/>
        <w:w w:val="100"/>
        <w:sz w:val="22"/>
        <w:szCs w:val="22"/>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60" w:hanging="36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89" w:hanging="368"/>
      </w:pPr>
      <w:rPr>
        <w:rFonts w:hint="default"/>
        <w:lang w:val="en-US" w:eastAsia="en-US" w:bidi="ar-SA"/>
      </w:rPr>
    </w:lvl>
    <w:lvl w:ilvl="4">
      <w:numFmt w:val="bullet"/>
      <w:lvlText w:val="•"/>
      <w:lvlJc w:val="left"/>
      <w:pPr>
        <w:ind w:left="374" w:hanging="368"/>
      </w:pPr>
      <w:rPr>
        <w:rFonts w:hint="default"/>
        <w:lang w:val="en-US" w:eastAsia="en-US" w:bidi="ar-SA"/>
      </w:rPr>
    </w:lvl>
    <w:lvl w:ilvl="5">
      <w:numFmt w:val="bullet"/>
      <w:lvlText w:val="•"/>
      <w:lvlJc w:val="left"/>
      <w:pPr>
        <w:ind w:left="259" w:hanging="368"/>
      </w:pPr>
      <w:rPr>
        <w:rFonts w:hint="default"/>
        <w:lang w:val="en-US" w:eastAsia="en-US" w:bidi="ar-SA"/>
      </w:rPr>
    </w:lvl>
    <w:lvl w:ilvl="6">
      <w:numFmt w:val="bullet"/>
      <w:lvlText w:val="•"/>
      <w:lvlJc w:val="left"/>
      <w:pPr>
        <w:ind w:left="144" w:hanging="368"/>
      </w:pPr>
      <w:rPr>
        <w:rFonts w:hint="default"/>
        <w:lang w:val="en-US" w:eastAsia="en-US" w:bidi="ar-SA"/>
      </w:rPr>
    </w:lvl>
    <w:lvl w:ilvl="7">
      <w:numFmt w:val="bullet"/>
      <w:lvlText w:val="•"/>
      <w:lvlJc w:val="left"/>
      <w:pPr>
        <w:ind w:left="29" w:hanging="368"/>
      </w:pPr>
      <w:rPr>
        <w:rFonts w:hint="default"/>
        <w:lang w:val="en-US" w:eastAsia="en-US" w:bidi="ar-SA"/>
      </w:rPr>
    </w:lvl>
    <w:lvl w:ilvl="8">
      <w:numFmt w:val="bullet"/>
      <w:lvlText w:val="•"/>
      <w:lvlJc w:val="left"/>
      <w:pPr>
        <w:ind w:left="-86" w:hanging="368"/>
      </w:pPr>
      <w:rPr>
        <w:rFonts w:hint="default"/>
        <w:lang w:val="en-US" w:eastAsia="en-US" w:bidi="ar-SA"/>
      </w:rPr>
    </w:lvl>
  </w:abstractNum>
  <w:abstractNum w:abstractNumId="32" w15:restartNumberingAfterBreak="0">
    <w:nsid w:val="73F71315"/>
    <w:multiLevelType w:val="hybridMultilevel"/>
    <w:tmpl w:val="7BCE06C0"/>
    <w:lvl w:ilvl="0" w:tplc="40090001">
      <w:start w:val="1"/>
      <w:numFmt w:val="bullet"/>
      <w:lvlText w:val=""/>
      <w:lvlJc w:val="left"/>
      <w:pPr>
        <w:ind w:left="1307" w:hanging="360"/>
      </w:pPr>
      <w:rPr>
        <w:rFonts w:ascii="Symbol" w:hAnsi="Symbol" w:hint="default"/>
      </w:rPr>
    </w:lvl>
    <w:lvl w:ilvl="1" w:tplc="40090003" w:tentative="1">
      <w:start w:val="1"/>
      <w:numFmt w:val="bullet"/>
      <w:lvlText w:val="o"/>
      <w:lvlJc w:val="left"/>
      <w:pPr>
        <w:ind w:left="2027" w:hanging="360"/>
      </w:pPr>
      <w:rPr>
        <w:rFonts w:ascii="Courier New" w:hAnsi="Courier New" w:cs="Courier New" w:hint="default"/>
      </w:rPr>
    </w:lvl>
    <w:lvl w:ilvl="2" w:tplc="40090005" w:tentative="1">
      <w:start w:val="1"/>
      <w:numFmt w:val="bullet"/>
      <w:lvlText w:val=""/>
      <w:lvlJc w:val="left"/>
      <w:pPr>
        <w:ind w:left="2747" w:hanging="360"/>
      </w:pPr>
      <w:rPr>
        <w:rFonts w:ascii="Wingdings" w:hAnsi="Wingdings" w:hint="default"/>
      </w:rPr>
    </w:lvl>
    <w:lvl w:ilvl="3" w:tplc="40090001" w:tentative="1">
      <w:start w:val="1"/>
      <w:numFmt w:val="bullet"/>
      <w:lvlText w:val=""/>
      <w:lvlJc w:val="left"/>
      <w:pPr>
        <w:ind w:left="3467" w:hanging="360"/>
      </w:pPr>
      <w:rPr>
        <w:rFonts w:ascii="Symbol" w:hAnsi="Symbol" w:hint="default"/>
      </w:rPr>
    </w:lvl>
    <w:lvl w:ilvl="4" w:tplc="40090003" w:tentative="1">
      <w:start w:val="1"/>
      <w:numFmt w:val="bullet"/>
      <w:lvlText w:val="o"/>
      <w:lvlJc w:val="left"/>
      <w:pPr>
        <w:ind w:left="4187" w:hanging="360"/>
      </w:pPr>
      <w:rPr>
        <w:rFonts w:ascii="Courier New" w:hAnsi="Courier New" w:cs="Courier New" w:hint="default"/>
      </w:rPr>
    </w:lvl>
    <w:lvl w:ilvl="5" w:tplc="40090005" w:tentative="1">
      <w:start w:val="1"/>
      <w:numFmt w:val="bullet"/>
      <w:lvlText w:val=""/>
      <w:lvlJc w:val="left"/>
      <w:pPr>
        <w:ind w:left="4907" w:hanging="360"/>
      </w:pPr>
      <w:rPr>
        <w:rFonts w:ascii="Wingdings" w:hAnsi="Wingdings" w:hint="default"/>
      </w:rPr>
    </w:lvl>
    <w:lvl w:ilvl="6" w:tplc="40090001" w:tentative="1">
      <w:start w:val="1"/>
      <w:numFmt w:val="bullet"/>
      <w:lvlText w:val=""/>
      <w:lvlJc w:val="left"/>
      <w:pPr>
        <w:ind w:left="5627" w:hanging="360"/>
      </w:pPr>
      <w:rPr>
        <w:rFonts w:ascii="Symbol" w:hAnsi="Symbol" w:hint="default"/>
      </w:rPr>
    </w:lvl>
    <w:lvl w:ilvl="7" w:tplc="40090003" w:tentative="1">
      <w:start w:val="1"/>
      <w:numFmt w:val="bullet"/>
      <w:lvlText w:val="o"/>
      <w:lvlJc w:val="left"/>
      <w:pPr>
        <w:ind w:left="6347" w:hanging="360"/>
      </w:pPr>
      <w:rPr>
        <w:rFonts w:ascii="Courier New" w:hAnsi="Courier New" w:cs="Courier New" w:hint="default"/>
      </w:rPr>
    </w:lvl>
    <w:lvl w:ilvl="8" w:tplc="40090005" w:tentative="1">
      <w:start w:val="1"/>
      <w:numFmt w:val="bullet"/>
      <w:lvlText w:val=""/>
      <w:lvlJc w:val="left"/>
      <w:pPr>
        <w:ind w:left="7067" w:hanging="360"/>
      </w:pPr>
      <w:rPr>
        <w:rFonts w:ascii="Wingdings" w:hAnsi="Wingdings" w:hint="default"/>
      </w:rPr>
    </w:lvl>
  </w:abstractNum>
  <w:abstractNum w:abstractNumId="33" w15:restartNumberingAfterBreak="0">
    <w:nsid w:val="74484941"/>
    <w:multiLevelType w:val="multilevel"/>
    <w:tmpl w:val="F3A6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40532"/>
    <w:multiLevelType w:val="multilevel"/>
    <w:tmpl w:val="E31E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
  </w:num>
  <w:num w:numId="3">
    <w:abstractNumId w:val="21"/>
  </w:num>
  <w:num w:numId="4">
    <w:abstractNumId w:val="6"/>
  </w:num>
  <w:num w:numId="5">
    <w:abstractNumId w:val="30"/>
  </w:num>
  <w:num w:numId="6">
    <w:abstractNumId w:val="23"/>
  </w:num>
  <w:num w:numId="7">
    <w:abstractNumId w:val="17"/>
  </w:num>
  <w:num w:numId="8">
    <w:abstractNumId w:val="0"/>
  </w:num>
  <w:num w:numId="9">
    <w:abstractNumId w:val="26"/>
  </w:num>
  <w:num w:numId="10">
    <w:abstractNumId w:val="13"/>
  </w:num>
  <w:num w:numId="11">
    <w:abstractNumId w:val="32"/>
  </w:num>
  <w:num w:numId="12">
    <w:abstractNumId w:val="27"/>
  </w:num>
  <w:num w:numId="13">
    <w:abstractNumId w:val="16"/>
  </w:num>
  <w:num w:numId="14">
    <w:abstractNumId w:val="34"/>
  </w:num>
  <w:num w:numId="15">
    <w:abstractNumId w:val="24"/>
  </w:num>
  <w:num w:numId="16">
    <w:abstractNumId w:val="9"/>
  </w:num>
  <w:num w:numId="17">
    <w:abstractNumId w:val="18"/>
  </w:num>
  <w:num w:numId="18">
    <w:abstractNumId w:val="14"/>
  </w:num>
  <w:num w:numId="19">
    <w:abstractNumId w:val="2"/>
  </w:num>
  <w:num w:numId="20">
    <w:abstractNumId w:val="8"/>
  </w:num>
  <w:num w:numId="21">
    <w:abstractNumId w:val="15"/>
  </w:num>
  <w:num w:numId="22">
    <w:abstractNumId w:val="12"/>
  </w:num>
  <w:num w:numId="23">
    <w:abstractNumId w:val="25"/>
  </w:num>
  <w:num w:numId="24">
    <w:abstractNumId w:val="4"/>
  </w:num>
  <w:num w:numId="25">
    <w:abstractNumId w:val="28"/>
  </w:num>
  <w:num w:numId="26">
    <w:abstractNumId w:val="10"/>
  </w:num>
  <w:num w:numId="27">
    <w:abstractNumId w:val="20"/>
  </w:num>
  <w:num w:numId="28">
    <w:abstractNumId w:val="7"/>
  </w:num>
  <w:num w:numId="29">
    <w:abstractNumId w:val="22"/>
  </w:num>
  <w:num w:numId="30">
    <w:abstractNumId w:val="3"/>
  </w:num>
  <w:num w:numId="31">
    <w:abstractNumId w:val="5"/>
  </w:num>
  <w:num w:numId="32">
    <w:abstractNumId w:val="29"/>
  </w:num>
  <w:num w:numId="33">
    <w:abstractNumId w:val="11"/>
  </w:num>
  <w:num w:numId="34">
    <w:abstractNumId w:val="33"/>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3CA8"/>
    <w:rsid w:val="00003089"/>
    <w:rsid w:val="000056C1"/>
    <w:rsid w:val="0000728C"/>
    <w:rsid w:val="00061686"/>
    <w:rsid w:val="00074998"/>
    <w:rsid w:val="000C4BEC"/>
    <w:rsid w:val="000C4FB8"/>
    <w:rsid w:val="00112CB0"/>
    <w:rsid w:val="001774D6"/>
    <w:rsid w:val="00196C0A"/>
    <w:rsid w:val="002C2030"/>
    <w:rsid w:val="002F3E0C"/>
    <w:rsid w:val="0030060E"/>
    <w:rsid w:val="003042B2"/>
    <w:rsid w:val="00343DAB"/>
    <w:rsid w:val="00351D8A"/>
    <w:rsid w:val="003640DC"/>
    <w:rsid w:val="003C1D22"/>
    <w:rsid w:val="003E238B"/>
    <w:rsid w:val="003E658D"/>
    <w:rsid w:val="003F1F3D"/>
    <w:rsid w:val="00416847"/>
    <w:rsid w:val="00425BA8"/>
    <w:rsid w:val="00442FD6"/>
    <w:rsid w:val="00467A49"/>
    <w:rsid w:val="004C0CD7"/>
    <w:rsid w:val="004F00EF"/>
    <w:rsid w:val="00503CA8"/>
    <w:rsid w:val="00531336"/>
    <w:rsid w:val="005320B4"/>
    <w:rsid w:val="00553D92"/>
    <w:rsid w:val="00560855"/>
    <w:rsid w:val="005E5F39"/>
    <w:rsid w:val="005F05F6"/>
    <w:rsid w:val="005F2AA6"/>
    <w:rsid w:val="00614B79"/>
    <w:rsid w:val="00631F0A"/>
    <w:rsid w:val="006C61E0"/>
    <w:rsid w:val="006D421D"/>
    <w:rsid w:val="0071637F"/>
    <w:rsid w:val="007C421C"/>
    <w:rsid w:val="00812B1A"/>
    <w:rsid w:val="008C4651"/>
    <w:rsid w:val="008C4CF9"/>
    <w:rsid w:val="00A431B3"/>
    <w:rsid w:val="00AB0561"/>
    <w:rsid w:val="00AB161B"/>
    <w:rsid w:val="00AD1014"/>
    <w:rsid w:val="00AE206B"/>
    <w:rsid w:val="00AF0D30"/>
    <w:rsid w:val="00B46996"/>
    <w:rsid w:val="00B66768"/>
    <w:rsid w:val="00BB1594"/>
    <w:rsid w:val="00BD126C"/>
    <w:rsid w:val="00BD2F90"/>
    <w:rsid w:val="00BE2321"/>
    <w:rsid w:val="00BF6C99"/>
    <w:rsid w:val="00C06F6F"/>
    <w:rsid w:val="00C7587F"/>
    <w:rsid w:val="00CE6154"/>
    <w:rsid w:val="00CF04F4"/>
    <w:rsid w:val="00D012D4"/>
    <w:rsid w:val="00D70F9A"/>
    <w:rsid w:val="00E34AFD"/>
    <w:rsid w:val="00E453BE"/>
    <w:rsid w:val="00EF5A66"/>
    <w:rsid w:val="00F72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D43320"/>
  <w15:docId w15:val="{C96709B6-AB76-499B-8E13-62E9D97EB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1D22"/>
    <w:pPr>
      <w:spacing w:after="80" w:line="240" w:lineRule="auto"/>
    </w:pPr>
    <w:rPr>
      <w:rFonts w:ascii="Times New Roman" w:eastAsia="Times New Roman" w:hAnsi="Times New Roman" w:cs="Times New Roman"/>
      <w:color w:val="000000"/>
      <w:sz w:val="21"/>
    </w:rPr>
  </w:style>
  <w:style w:type="paragraph" w:styleId="Heading1">
    <w:name w:val="heading 1"/>
    <w:basedOn w:val="Normal"/>
    <w:link w:val="Heading1Char"/>
    <w:uiPriority w:val="9"/>
    <w:qFormat/>
    <w:pPr>
      <w:ind w:left="719" w:hanging="359"/>
      <w:outlineLvl w:val="0"/>
    </w:pPr>
    <w:rPr>
      <w:rFonts w:ascii="Times New Roman" w:hAnsi="Times New Roman" w:eastAsia="Times New Roman"/>
      <w:b/>
      <w:bCs/>
      <w:color w:val="000000"/>
      <w:sz w:val="22"/>
    </w:rPr>
  </w:style>
  <w:style w:type="paragraph" w:styleId="Heading2">
    <w:name w:val="heading 2"/>
    <w:basedOn w:val="Normal"/>
    <w:uiPriority w:val="9"/>
    <w:unhideWhenUsed/>
    <w:qFormat/>
    <w:pPr>
      <w:ind w:left="360"/>
      <w:jc w:val="both"/>
      <w:outlineLvl w:val="1"/>
    </w:pPr>
    <w:rPr>
      <w:rFonts w:ascii="Times New Roman" w:hAnsi="Times New Roman" w:eastAsia="Times New Roman"/>
      <w:b/>
      <w:bCs/>
      <w:color w:val="000000"/>
      <w:sz w:val="21"/>
    </w:rPr>
  </w:style>
  <w:style w:type="paragraph" w:styleId="Heading3">
    <w:name w:val="heading 3"/>
    <w:basedOn w:val="Normal"/>
    <w:next w:val="Normal"/>
    <w:link w:val="Heading3Char"/>
    <w:uiPriority w:val="9"/>
    <w:unhideWhenUsed/>
    <w:qFormat/>
    <w:rsid w:val="003F1F3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style>
  <w:style w:type="paragraph" w:styleId="Title">
    <w:name w:val="Title"/>
    <w:basedOn w:val="Normal"/>
    <w:uiPriority w:val="10"/>
    <w:qFormat/>
    <w:pPr>
      <w:spacing w:before="59"/>
      <w:ind w:left="2568" w:right="2297" w:hanging="852"/>
    </w:pPr>
    <w:rPr>
      <w:rFonts w:ascii="Times New Roman" w:hAnsi="Times New Roman" w:eastAsia="Times New Roman"/>
      <w:b/>
      <w:bCs/>
      <w:color w:val="000000"/>
      <w:sz w:val="32"/>
      <w:szCs w:val="32"/>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pPr>
      <w:spacing w:before="15"/>
      <w:ind w:left="112"/>
    </w:pPr>
  </w:style>
  <w:style w:type="paragraph" w:styleId="Header">
    <w:name w:val="header"/>
    <w:basedOn w:val="Normal"/>
    <w:link w:val="HeaderChar"/>
    <w:uiPriority w:val="99"/>
    <w:unhideWhenUsed/>
    <w:rsid w:val="00553D92"/>
    <w:pPr>
      <w:tabs>
        <w:tab w:val="center" w:pos="4513"/>
        <w:tab w:val="right" w:pos="9026"/>
      </w:tabs>
    </w:pPr>
  </w:style>
  <w:style w:type="character" w:customStyle="1" w:styleId="HeaderChar">
    <w:name w:val="Header Char"/>
    <w:basedOn w:val="DefaultParagraphFont"/>
    <w:link w:val="Header"/>
    <w:uiPriority w:val="99"/>
    <w:rsid w:val="00553D92"/>
    <w:rPr>
      <w:rFonts w:ascii="Times New Roman" w:eastAsia="Times New Roman" w:hAnsi="Times New Roman" w:cs="Times New Roman"/>
    </w:rPr>
  </w:style>
  <w:style w:type="paragraph" w:styleId="Footer">
    <w:name w:val="footer"/>
    <w:basedOn w:val="Normal"/>
    <w:link w:val="FooterChar"/>
    <w:uiPriority w:val="99"/>
    <w:unhideWhenUsed/>
    <w:rsid w:val="00553D92"/>
    <w:pPr>
      <w:tabs>
        <w:tab w:val="center" w:pos="4513"/>
        <w:tab w:val="right" w:pos="9026"/>
      </w:tabs>
    </w:pPr>
  </w:style>
  <w:style w:type="character" w:customStyle="1" w:styleId="FooterChar">
    <w:name w:val="Footer Char"/>
    <w:basedOn w:val="DefaultParagraphFont"/>
    <w:link w:val="Footer"/>
    <w:uiPriority w:val="99"/>
    <w:rsid w:val="00553D92"/>
    <w:rPr>
      <w:rFonts w:ascii="Times New Roman" w:eastAsia="Times New Roman" w:hAnsi="Times New Roman" w:cs="Times New Roman"/>
    </w:rPr>
  </w:style>
  <w:style w:type="character" w:styleId="Hyperlink">
    <w:name w:val="Hyperlink"/>
    <w:basedOn w:val="DefaultParagraphFont"/>
    <w:uiPriority w:val="99"/>
    <w:unhideWhenUsed/>
    <w:rsid w:val="003C1D22"/>
    <w:rPr>
      <w:color w:val="0000FF" w:themeColor="hyperlink"/>
      <w:u w:val="single"/>
    </w:rPr>
  </w:style>
  <w:style w:type="character" w:styleId="UnresolvedMention">
    <w:name w:val="Unresolved Mention"/>
    <w:basedOn w:val="DefaultParagraphFont"/>
    <w:uiPriority w:val="99"/>
    <w:semiHidden/>
    <w:unhideWhenUsed/>
    <w:rsid w:val="003C1D22"/>
    <w:rPr>
      <w:color w:val="605E5C"/>
      <w:shd w:val="clear" w:color="auto" w:fill="E1DFDD"/>
    </w:rPr>
  </w:style>
  <w:style w:type="character" w:styleId="Strong">
    <w:name w:val="Strong"/>
    <w:basedOn w:val="DefaultParagraphFont"/>
    <w:uiPriority w:val="22"/>
    <w:qFormat/>
    <w:rsid w:val="00531336"/>
    <w:rPr>
      <w:b/>
      <w:bCs/>
    </w:rPr>
  </w:style>
  <w:style w:type="paragraph" w:customStyle="1" w:styleId="pdq2pgselectionanchorcontainer">
    <w:name w:val="pdq2pg_selectionanchorcontainer"/>
    <w:basedOn w:val="Normal"/>
    <w:rsid w:val="003640DC"/>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3F1F3D"/>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BF6C99"/>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343D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196C0A"/>
  </w:style>
  <w:style w:type="character" w:customStyle="1" w:styleId="mopen">
    <w:name w:val="mopen"/>
    <w:basedOn w:val="DefaultParagraphFont"/>
    <w:rsid w:val="00196C0A"/>
  </w:style>
  <w:style w:type="character" w:customStyle="1" w:styleId="mclose">
    <w:name w:val="mclose"/>
    <w:basedOn w:val="DefaultParagraphFont"/>
    <w:rsid w:val="00196C0A"/>
  </w:style>
  <w:style w:type="character" w:customStyle="1" w:styleId="mrel">
    <w:name w:val="mrel"/>
    <w:basedOn w:val="DefaultParagraphFont"/>
    <w:rsid w:val="00196C0A"/>
  </w:style>
  <w:style w:type="character" w:customStyle="1" w:styleId="vlist-s">
    <w:name w:val="vlist-s"/>
    <w:basedOn w:val="DefaultParagraphFont"/>
    <w:rsid w:val="00196C0A"/>
  </w:style>
  <w:style w:type="character" w:customStyle="1" w:styleId="mbin">
    <w:name w:val="mbin"/>
    <w:basedOn w:val="DefaultParagraphFont"/>
    <w:rsid w:val="00196C0A"/>
  </w:style>
  <w:style w:type="character" w:customStyle="1" w:styleId="katex">
    <w:name w:val="katex"/>
    <w:basedOn w:val="DefaultParagraphFont"/>
    <w:rsid w:val="00196C0A"/>
  </w:style>
  <w:style w:type="character" w:customStyle="1" w:styleId="mpunct">
    <w:name w:val="mpunct"/>
    <w:basedOn w:val="DefaultParagraphFont"/>
    <w:rsid w:val="00AE206B"/>
  </w:style>
  <w:style w:type="character" w:customStyle="1" w:styleId="Heading1Char">
    <w:name w:val="Heading 1 Char"/>
    <w:basedOn w:val="DefaultParagraphFont"/>
    <w:link w:val="Heading1"/>
    <w:uiPriority w:val="9"/>
    <w:rsid w:val="00EF5A66"/>
    <w:rPr>
      <w:rFonts w:ascii="Times New Roman" w:eastAsia="Times New Roman" w:hAnsi="Times New Roman" w:cs="Times New Roman"/>
      <w:b/>
      <w:bCs/>
    </w:rPr>
  </w:style>
  <w:style w:type="character" w:styleId="Emphasis">
    <w:name w:val="Emphasis"/>
    <w:basedOn w:val="DefaultParagraphFont"/>
    <w:uiPriority w:val="20"/>
    <w:qFormat/>
    <w:rsid w:val="000C4B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70117">
      <w:bodyDiv w:val="1"/>
      <w:marLeft w:val="0"/>
      <w:marRight w:val="0"/>
      <w:marTop w:val="0"/>
      <w:marBottom w:val="0"/>
      <w:divBdr>
        <w:top w:val="none" w:sz="0" w:space="0" w:color="auto"/>
        <w:left w:val="none" w:sz="0" w:space="0" w:color="auto"/>
        <w:bottom w:val="none" w:sz="0" w:space="0" w:color="auto"/>
        <w:right w:val="none" w:sz="0" w:space="0" w:color="auto"/>
      </w:divBdr>
    </w:div>
    <w:div w:id="46033335">
      <w:bodyDiv w:val="1"/>
      <w:marLeft w:val="0"/>
      <w:marRight w:val="0"/>
      <w:marTop w:val="0"/>
      <w:marBottom w:val="0"/>
      <w:divBdr>
        <w:top w:val="none" w:sz="0" w:space="0" w:color="auto"/>
        <w:left w:val="none" w:sz="0" w:space="0" w:color="auto"/>
        <w:bottom w:val="none" w:sz="0" w:space="0" w:color="auto"/>
        <w:right w:val="none" w:sz="0" w:space="0" w:color="auto"/>
      </w:divBdr>
    </w:div>
    <w:div w:id="46994703">
      <w:bodyDiv w:val="1"/>
      <w:marLeft w:val="0"/>
      <w:marRight w:val="0"/>
      <w:marTop w:val="0"/>
      <w:marBottom w:val="0"/>
      <w:divBdr>
        <w:top w:val="none" w:sz="0" w:space="0" w:color="auto"/>
        <w:left w:val="none" w:sz="0" w:space="0" w:color="auto"/>
        <w:bottom w:val="none" w:sz="0" w:space="0" w:color="auto"/>
        <w:right w:val="none" w:sz="0" w:space="0" w:color="auto"/>
      </w:divBdr>
    </w:div>
    <w:div w:id="120809674">
      <w:bodyDiv w:val="1"/>
      <w:marLeft w:val="0"/>
      <w:marRight w:val="0"/>
      <w:marTop w:val="0"/>
      <w:marBottom w:val="0"/>
      <w:divBdr>
        <w:top w:val="none" w:sz="0" w:space="0" w:color="auto"/>
        <w:left w:val="none" w:sz="0" w:space="0" w:color="auto"/>
        <w:bottom w:val="none" w:sz="0" w:space="0" w:color="auto"/>
        <w:right w:val="none" w:sz="0" w:space="0" w:color="auto"/>
      </w:divBdr>
    </w:div>
    <w:div w:id="170075351">
      <w:bodyDiv w:val="1"/>
      <w:marLeft w:val="0"/>
      <w:marRight w:val="0"/>
      <w:marTop w:val="0"/>
      <w:marBottom w:val="0"/>
      <w:divBdr>
        <w:top w:val="none" w:sz="0" w:space="0" w:color="auto"/>
        <w:left w:val="none" w:sz="0" w:space="0" w:color="auto"/>
        <w:bottom w:val="none" w:sz="0" w:space="0" w:color="auto"/>
        <w:right w:val="none" w:sz="0" w:space="0" w:color="auto"/>
      </w:divBdr>
    </w:div>
    <w:div w:id="195698281">
      <w:bodyDiv w:val="1"/>
      <w:marLeft w:val="0"/>
      <w:marRight w:val="0"/>
      <w:marTop w:val="0"/>
      <w:marBottom w:val="0"/>
      <w:divBdr>
        <w:top w:val="none" w:sz="0" w:space="0" w:color="auto"/>
        <w:left w:val="none" w:sz="0" w:space="0" w:color="auto"/>
        <w:bottom w:val="none" w:sz="0" w:space="0" w:color="auto"/>
        <w:right w:val="none" w:sz="0" w:space="0" w:color="auto"/>
      </w:divBdr>
    </w:div>
    <w:div w:id="208346409">
      <w:bodyDiv w:val="1"/>
      <w:marLeft w:val="0"/>
      <w:marRight w:val="0"/>
      <w:marTop w:val="0"/>
      <w:marBottom w:val="0"/>
      <w:divBdr>
        <w:top w:val="none" w:sz="0" w:space="0" w:color="auto"/>
        <w:left w:val="none" w:sz="0" w:space="0" w:color="auto"/>
        <w:bottom w:val="none" w:sz="0" w:space="0" w:color="auto"/>
        <w:right w:val="none" w:sz="0" w:space="0" w:color="auto"/>
      </w:divBdr>
    </w:div>
    <w:div w:id="234634230">
      <w:bodyDiv w:val="1"/>
      <w:marLeft w:val="0"/>
      <w:marRight w:val="0"/>
      <w:marTop w:val="0"/>
      <w:marBottom w:val="0"/>
      <w:divBdr>
        <w:top w:val="none" w:sz="0" w:space="0" w:color="auto"/>
        <w:left w:val="none" w:sz="0" w:space="0" w:color="auto"/>
        <w:bottom w:val="none" w:sz="0" w:space="0" w:color="auto"/>
        <w:right w:val="none" w:sz="0" w:space="0" w:color="auto"/>
      </w:divBdr>
    </w:div>
    <w:div w:id="258413811">
      <w:bodyDiv w:val="1"/>
      <w:marLeft w:val="0"/>
      <w:marRight w:val="0"/>
      <w:marTop w:val="0"/>
      <w:marBottom w:val="0"/>
      <w:divBdr>
        <w:top w:val="none" w:sz="0" w:space="0" w:color="auto"/>
        <w:left w:val="none" w:sz="0" w:space="0" w:color="auto"/>
        <w:bottom w:val="none" w:sz="0" w:space="0" w:color="auto"/>
        <w:right w:val="none" w:sz="0" w:space="0" w:color="auto"/>
      </w:divBdr>
    </w:div>
    <w:div w:id="290749975">
      <w:bodyDiv w:val="1"/>
      <w:marLeft w:val="0"/>
      <w:marRight w:val="0"/>
      <w:marTop w:val="0"/>
      <w:marBottom w:val="0"/>
      <w:divBdr>
        <w:top w:val="none" w:sz="0" w:space="0" w:color="auto"/>
        <w:left w:val="none" w:sz="0" w:space="0" w:color="auto"/>
        <w:bottom w:val="none" w:sz="0" w:space="0" w:color="auto"/>
        <w:right w:val="none" w:sz="0" w:space="0" w:color="auto"/>
      </w:divBdr>
    </w:div>
    <w:div w:id="307826296">
      <w:bodyDiv w:val="1"/>
      <w:marLeft w:val="0"/>
      <w:marRight w:val="0"/>
      <w:marTop w:val="0"/>
      <w:marBottom w:val="0"/>
      <w:divBdr>
        <w:top w:val="none" w:sz="0" w:space="0" w:color="auto"/>
        <w:left w:val="none" w:sz="0" w:space="0" w:color="auto"/>
        <w:bottom w:val="none" w:sz="0" w:space="0" w:color="auto"/>
        <w:right w:val="none" w:sz="0" w:space="0" w:color="auto"/>
      </w:divBdr>
    </w:div>
    <w:div w:id="308941722">
      <w:bodyDiv w:val="1"/>
      <w:marLeft w:val="0"/>
      <w:marRight w:val="0"/>
      <w:marTop w:val="0"/>
      <w:marBottom w:val="0"/>
      <w:divBdr>
        <w:top w:val="none" w:sz="0" w:space="0" w:color="auto"/>
        <w:left w:val="none" w:sz="0" w:space="0" w:color="auto"/>
        <w:bottom w:val="none" w:sz="0" w:space="0" w:color="auto"/>
        <w:right w:val="none" w:sz="0" w:space="0" w:color="auto"/>
      </w:divBdr>
    </w:div>
    <w:div w:id="318115671">
      <w:bodyDiv w:val="1"/>
      <w:marLeft w:val="0"/>
      <w:marRight w:val="0"/>
      <w:marTop w:val="0"/>
      <w:marBottom w:val="0"/>
      <w:divBdr>
        <w:top w:val="none" w:sz="0" w:space="0" w:color="auto"/>
        <w:left w:val="none" w:sz="0" w:space="0" w:color="auto"/>
        <w:bottom w:val="none" w:sz="0" w:space="0" w:color="auto"/>
        <w:right w:val="none" w:sz="0" w:space="0" w:color="auto"/>
      </w:divBdr>
    </w:div>
    <w:div w:id="318731295">
      <w:bodyDiv w:val="1"/>
      <w:marLeft w:val="0"/>
      <w:marRight w:val="0"/>
      <w:marTop w:val="0"/>
      <w:marBottom w:val="0"/>
      <w:divBdr>
        <w:top w:val="none" w:sz="0" w:space="0" w:color="auto"/>
        <w:left w:val="none" w:sz="0" w:space="0" w:color="auto"/>
        <w:bottom w:val="none" w:sz="0" w:space="0" w:color="auto"/>
        <w:right w:val="none" w:sz="0" w:space="0" w:color="auto"/>
      </w:divBdr>
    </w:div>
    <w:div w:id="335814810">
      <w:bodyDiv w:val="1"/>
      <w:marLeft w:val="0"/>
      <w:marRight w:val="0"/>
      <w:marTop w:val="0"/>
      <w:marBottom w:val="0"/>
      <w:divBdr>
        <w:top w:val="none" w:sz="0" w:space="0" w:color="auto"/>
        <w:left w:val="none" w:sz="0" w:space="0" w:color="auto"/>
        <w:bottom w:val="none" w:sz="0" w:space="0" w:color="auto"/>
        <w:right w:val="none" w:sz="0" w:space="0" w:color="auto"/>
      </w:divBdr>
    </w:div>
    <w:div w:id="339478539">
      <w:bodyDiv w:val="1"/>
      <w:marLeft w:val="0"/>
      <w:marRight w:val="0"/>
      <w:marTop w:val="0"/>
      <w:marBottom w:val="0"/>
      <w:divBdr>
        <w:top w:val="none" w:sz="0" w:space="0" w:color="auto"/>
        <w:left w:val="none" w:sz="0" w:space="0" w:color="auto"/>
        <w:bottom w:val="none" w:sz="0" w:space="0" w:color="auto"/>
        <w:right w:val="none" w:sz="0" w:space="0" w:color="auto"/>
      </w:divBdr>
    </w:div>
    <w:div w:id="383413275">
      <w:bodyDiv w:val="1"/>
      <w:marLeft w:val="0"/>
      <w:marRight w:val="0"/>
      <w:marTop w:val="0"/>
      <w:marBottom w:val="0"/>
      <w:divBdr>
        <w:top w:val="none" w:sz="0" w:space="0" w:color="auto"/>
        <w:left w:val="none" w:sz="0" w:space="0" w:color="auto"/>
        <w:bottom w:val="none" w:sz="0" w:space="0" w:color="auto"/>
        <w:right w:val="none" w:sz="0" w:space="0" w:color="auto"/>
      </w:divBdr>
    </w:div>
    <w:div w:id="425926054">
      <w:bodyDiv w:val="1"/>
      <w:marLeft w:val="0"/>
      <w:marRight w:val="0"/>
      <w:marTop w:val="0"/>
      <w:marBottom w:val="0"/>
      <w:divBdr>
        <w:top w:val="none" w:sz="0" w:space="0" w:color="auto"/>
        <w:left w:val="none" w:sz="0" w:space="0" w:color="auto"/>
        <w:bottom w:val="none" w:sz="0" w:space="0" w:color="auto"/>
        <w:right w:val="none" w:sz="0" w:space="0" w:color="auto"/>
      </w:divBdr>
    </w:div>
    <w:div w:id="444278648">
      <w:bodyDiv w:val="1"/>
      <w:marLeft w:val="0"/>
      <w:marRight w:val="0"/>
      <w:marTop w:val="0"/>
      <w:marBottom w:val="0"/>
      <w:divBdr>
        <w:top w:val="none" w:sz="0" w:space="0" w:color="auto"/>
        <w:left w:val="none" w:sz="0" w:space="0" w:color="auto"/>
        <w:bottom w:val="none" w:sz="0" w:space="0" w:color="auto"/>
        <w:right w:val="none" w:sz="0" w:space="0" w:color="auto"/>
      </w:divBdr>
    </w:div>
    <w:div w:id="474756516">
      <w:bodyDiv w:val="1"/>
      <w:marLeft w:val="0"/>
      <w:marRight w:val="0"/>
      <w:marTop w:val="0"/>
      <w:marBottom w:val="0"/>
      <w:divBdr>
        <w:top w:val="none" w:sz="0" w:space="0" w:color="auto"/>
        <w:left w:val="none" w:sz="0" w:space="0" w:color="auto"/>
        <w:bottom w:val="none" w:sz="0" w:space="0" w:color="auto"/>
        <w:right w:val="none" w:sz="0" w:space="0" w:color="auto"/>
      </w:divBdr>
      <w:divsChild>
        <w:div w:id="1888761667">
          <w:marLeft w:val="0"/>
          <w:marRight w:val="0"/>
          <w:marTop w:val="0"/>
          <w:marBottom w:val="0"/>
          <w:divBdr>
            <w:top w:val="none" w:sz="0" w:space="0" w:color="auto"/>
            <w:left w:val="none" w:sz="0" w:space="0" w:color="auto"/>
            <w:bottom w:val="none" w:sz="0" w:space="0" w:color="auto"/>
            <w:right w:val="none" w:sz="0" w:space="0" w:color="auto"/>
          </w:divBdr>
          <w:divsChild>
            <w:div w:id="100494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4275">
      <w:bodyDiv w:val="1"/>
      <w:marLeft w:val="0"/>
      <w:marRight w:val="0"/>
      <w:marTop w:val="0"/>
      <w:marBottom w:val="0"/>
      <w:divBdr>
        <w:top w:val="none" w:sz="0" w:space="0" w:color="auto"/>
        <w:left w:val="none" w:sz="0" w:space="0" w:color="auto"/>
        <w:bottom w:val="none" w:sz="0" w:space="0" w:color="auto"/>
        <w:right w:val="none" w:sz="0" w:space="0" w:color="auto"/>
      </w:divBdr>
    </w:div>
    <w:div w:id="513615971">
      <w:bodyDiv w:val="1"/>
      <w:marLeft w:val="0"/>
      <w:marRight w:val="0"/>
      <w:marTop w:val="0"/>
      <w:marBottom w:val="0"/>
      <w:divBdr>
        <w:top w:val="none" w:sz="0" w:space="0" w:color="auto"/>
        <w:left w:val="none" w:sz="0" w:space="0" w:color="auto"/>
        <w:bottom w:val="none" w:sz="0" w:space="0" w:color="auto"/>
        <w:right w:val="none" w:sz="0" w:space="0" w:color="auto"/>
      </w:divBdr>
    </w:div>
    <w:div w:id="519439270">
      <w:bodyDiv w:val="1"/>
      <w:marLeft w:val="0"/>
      <w:marRight w:val="0"/>
      <w:marTop w:val="0"/>
      <w:marBottom w:val="0"/>
      <w:divBdr>
        <w:top w:val="none" w:sz="0" w:space="0" w:color="auto"/>
        <w:left w:val="none" w:sz="0" w:space="0" w:color="auto"/>
        <w:bottom w:val="none" w:sz="0" w:space="0" w:color="auto"/>
        <w:right w:val="none" w:sz="0" w:space="0" w:color="auto"/>
      </w:divBdr>
    </w:div>
    <w:div w:id="608240782">
      <w:bodyDiv w:val="1"/>
      <w:marLeft w:val="0"/>
      <w:marRight w:val="0"/>
      <w:marTop w:val="0"/>
      <w:marBottom w:val="0"/>
      <w:divBdr>
        <w:top w:val="none" w:sz="0" w:space="0" w:color="auto"/>
        <w:left w:val="none" w:sz="0" w:space="0" w:color="auto"/>
        <w:bottom w:val="none" w:sz="0" w:space="0" w:color="auto"/>
        <w:right w:val="none" w:sz="0" w:space="0" w:color="auto"/>
      </w:divBdr>
      <w:divsChild>
        <w:div w:id="1749880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028960">
      <w:bodyDiv w:val="1"/>
      <w:marLeft w:val="0"/>
      <w:marRight w:val="0"/>
      <w:marTop w:val="0"/>
      <w:marBottom w:val="0"/>
      <w:divBdr>
        <w:top w:val="none" w:sz="0" w:space="0" w:color="auto"/>
        <w:left w:val="none" w:sz="0" w:space="0" w:color="auto"/>
        <w:bottom w:val="none" w:sz="0" w:space="0" w:color="auto"/>
        <w:right w:val="none" w:sz="0" w:space="0" w:color="auto"/>
      </w:divBdr>
    </w:div>
    <w:div w:id="653879759">
      <w:bodyDiv w:val="1"/>
      <w:marLeft w:val="0"/>
      <w:marRight w:val="0"/>
      <w:marTop w:val="0"/>
      <w:marBottom w:val="0"/>
      <w:divBdr>
        <w:top w:val="none" w:sz="0" w:space="0" w:color="auto"/>
        <w:left w:val="none" w:sz="0" w:space="0" w:color="auto"/>
        <w:bottom w:val="none" w:sz="0" w:space="0" w:color="auto"/>
        <w:right w:val="none" w:sz="0" w:space="0" w:color="auto"/>
      </w:divBdr>
    </w:div>
    <w:div w:id="700087501">
      <w:bodyDiv w:val="1"/>
      <w:marLeft w:val="0"/>
      <w:marRight w:val="0"/>
      <w:marTop w:val="0"/>
      <w:marBottom w:val="0"/>
      <w:divBdr>
        <w:top w:val="none" w:sz="0" w:space="0" w:color="auto"/>
        <w:left w:val="none" w:sz="0" w:space="0" w:color="auto"/>
        <w:bottom w:val="none" w:sz="0" w:space="0" w:color="auto"/>
        <w:right w:val="none" w:sz="0" w:space="0" w:color="auto"/>
      </w:divBdr>
    </w:div>
    <w:div w:id="700283136">
      <w:bodyDiv w:val="1"/>
      <w:marLeft w:val="0"/>
      <w:marRight w:val="0"/>
      <w:marTop w:val="0"/>
      <w:marBottom w:val="0"/>
      <w:divBdr>
        <w:top w:val="none" w:sz="0" w:space="0" w:color="auto"/>
        <w:left w:val="none" w:sz="0" w:space="0" w:color="auto"/>
        <w:bottom w:val="none" w:sz="0" w:space="0" w:color="auto"/>
        <w:right w:val="none" w:sz="0" w:space="0" w:color="auto"/>
      </w:divBdr>
    </w:div>
    <w:div w:id="715355427">
      <w:bodyDiv w:val="1"/>
      <w:marLeft w:val="0"/>
      <w:marRight w:val="0"/>
      <w:marTop w:val="0"/>
      <w:marBottom w:val="0"/>
      <w:divBdr>
        <w:top w:val="none" w:sz="0" w:space="0" w:color="auto"/>
        <w:left w:val="none" w:sz="0" w:space="0" w:color="auto"/>
        <w:bottom w:val="none" w:sz="0" w:space="0" w:color="auto"/>
        <w:right w:val="none" w:sz="0" w:space="0" w:color="auto"/>
      </w:divBdr>
    </w:div>
    <w:div w:id="812407553">
      <w:bodyDiv w:val="1"/>
      <w:marLeft w:val="0"/>
      <w:marRight w:val="0"/>
      <w:marTop w:val="0"/>
      <w:marBottom w:val="0"/>
      <w:divBdr>
        <w:top w:val="none" w:sz="0" w:space="0" w:color="auto"/>
        <w:left w:val="none" w:sz="0" w:space="0" w:color="auto"/>
        <w:bottom w:val="none" w:sz="0" w:space="0" w:color="auto"/>
        <w:right w:val="none" w:sz="0" w:space="0" w:color="auto"/>
      </w:divBdr>
    </w:div>
    <w:div w:id="840197281">
      <w:bodyDiv w:val="1"/>
      <w:marLeft w:val="0"/>
      <w:marRight w:val="0"/>
      <w:marTop w:val="0"/>
      <w:marBottom w:val="0"/>
      <w:divBdr>
        <w:top w:val="none" w:sz="0" w:space="0" w:color="auto"/>
        <w:left w:val="none" w:sz="0" w:space="0" w:color="auto"/>
        <w:bottom w:val="none" w:sz="0" w:space="0" w:color="auto"/>
        <w:right w:val="none" w:sz="0" w:space="0" w:color="auto"/>
      </w:divBdr>
    </w:div>
    <w:div w:id="981618406">
      <w:bodyDiv w:val="1"/>
      <w:marLeft w:val="0"/>
      <w:marRight w:val="0"/>
      <w:marTop w:val="0"/>
      <w:marBottom w:val="0"/>
      <w:divBdr>
        <w:top w:val="none" w:sz="0" w:space="0" w:color="auto"/>
        <w:left w:val="none" w:sz="0" w:space="0" w:color="auto"/>
        <w:bottom w:val="none" w:sz="0" w:space="0" w:color="auto"/>
        <w:right w:val="none" w:sz="0" w:space="0" w:color="auto"/>
      </w:divBdr>
    </w:div>
    <w:div w:id="1027632770">
      <w:bodyDiv w:val="1"/>
      <w:marLeft w:val="0"/>
      <w:marRight w:val="0"/>
      <w:marTop w:val="0"/>
      <w:marBottom w:val="0"/>
      <w:divBdr>
        <w:top w:val="none" w:sz="0" w:space="0" w:color="auto"/>
        <w:left w:val="none" w:sz="0" w:space="0" w:color="auto"/>
        <w:bottom w:val="none" w:sz="0" w:space="0" w:color="auto"/>
        <w:right w:val="none" w:sz="0" w:space="0" w:color="auto"/>
      </w:divBdr>
      <w:divsChild>
        <w:div w:id="963199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745453">
      <w:bodyDiv w:val="1"/>
      <w:marLeft w:val="0"/>
      <w:marRight w:val="0"/>
      <w:marTop w:val="0"/>
      <w:marBottom w:val="0"/>
      <w:divBdr>
        <w:top w:val="none" w:sz="0" w:space="0" w:color="auto"/>
        <w:left w:val="none" w:sz="0" w:space="0" w:color="auto"/>
        <w:bottom w:val="none" w:sz="0" w:space="0" w:color="auto"/>
        <w:right w:val="none" w:sz="0" w:space="0" w:color="auto"/>
      </w:divBdr>
    </w:div>
    <w:div w:id="1155030429">
      <w:bodyDiv w:val="1"/>
      <w:marLeft w:val="0"/>
      <w:marRight w:val="0"/>
      <w:marTop w:val="0"/>
      <w:marBottom w:val="0"/>
      <w:divBdr>
        <w:top w:val="none" w:sz="0" w:space="0" w:color="auto"/>
        <w:left w:val="none" w:sz="0" w:space="0" w:color="auto"/>
        <w:bottom w:val="none" w:sz="0" w:space="0" w:color="auto"/>
        <w:right w:val="none" w:sz="0" w:space="0" w:color="auto"/>
      </w:divBdr>
    </w:div>
    <w:div w:id="1166945446">
      <w:bodyDiv w:val="1"/>
      <w:marLeft w:val="0"/>
      <w:marRight w:val="0"/>
      <w:marTop w:val="0"/>
      <w:marBottom w:val="0"/>
      <w:divBdr>
        <w:top w:val="none" w:sz="0" w:space="0" w:color="auto"/>
        <w:left w:val="none" w:sz="0" w:space="0" w:color="auto"/>
        <w:bottom w:val="none" w:sz="0" w:space="0" w:color="auto"/>
        <w:right w:val="none" w:sz="0" w:space="0" w:color="auto"/>
      </w:divBdr>
    </w:div>
    <w:div w:id="1173957790">
      <w:bodyDiv w:val="1"/>
      <w:marLeft w:val="0"/>
      <w:marRight w:val="0"/>
      <w:marTop w:val="0"/>
      <w:marBottom w:val="0"/>
      <w:divBdr>
        <w:top w:val="none" w:sz="0" w:space="0" w:color="auto"/>
        <w:left w:val="none" w:sz="0" w:space="0" w:color="auto"/>
        <w:bottom w:val="none" w:sz="0" w:space="0" w:color="auto"/>
        <w:right w:val="none" w:sz="0" w:space="0" w:color="auto"/>
      </w:divBdr>
    </w:div>
    <w:div w:id="1191843618">
      <w:bodyDiv w:val="1"/>
      <w:marLeft w:val="0"/>
      <w:marRight w:val="0"/>
      <w:marTop w:val="0"/>
      <w:marBottom w:val="0"/>
      <w:divBdr>
        <w:top w:val="none" w:sz="0" w:space="0" w:color="auto"/>
        <w:left w:val="none" w:sz="0" w:space="0" w:color="auto"/>
        <w:bottom w:val="none" w:sz="0" w:space="0" w:color="auto"/>
        <w:right w:val="none" w:sz="0" w:space="0" w:color="auto"/>
      </w:divBdr>
    </w:div>
    <w:div w:id="1191919378">
      <w:bodyDiv w:val="1"/>
      <w:marLeft w:val="0"/>
      <w:marRight w:val="0"/>
      <w:marTop w:val="0"/>
      <w:marBottom w:val="0"/>
      <w:divBdr>
        <w:top w:val="none" w:sz="0" w:space="0" w:color="auto"/>
        <w:left w:val="none" w:sz="0" w:space="0" w:color="auto"/>
        <w:bottom w:val="none" w:sz="0" w:space="0" w:color="auto"/>
        <w:right w:val="none" w:sz="0" w:space="0" w:color="auto"/>
      </w:divBdr>
    </w:div>
    <w:div w:id="1203860424">
      <w:bodyDiv w:val="1"/>
      <w:marLeft w:val="0"/>
      <w:marRight w:val="0"/>
      <w:marTop w:val="0"/>
      <w:marBottom w:val="0"/>
      <w:divBdr>
        <w:top w:val="none" w:sz="0" w:space="0" w:color="auto"/>
        <w:left w:val="none" w:sz="0" w:space="0" w:color="auto"/>
        <w:bottom w:val="none" w:sz="0" w:space="0" w:color="auto"/>
        <w:right w:val="none" w:sz="0" w:space="0" w:color="auto"/>
      </w:divBdr>
    </w:div>
    <w:div w:id="1212613823">
      <w:bodyDiv w:val="1"/>
      <w:marLeft w:val="0"/>
      <w:marRight w:val="0"/>
      <w:marTop w:val="0"/>
      <w:marBottom w:val="0"/>
      <w:divBdr>
        <w:top w:val="none" w:sz="0" w:space="0" w:color="auto"/>
        <w:left w:val="none" w:sz="0" w:space="0" w:color="auto"/>
        <w:bottom w:val="none" w:sz="0" w:space="0" w:color="auto"/>
        <w:right w:val="none" w:sz="0" w:space="0" w:color="auto"/>
      </w:divBdr>
    </w:div>
    <w:div w:id="1226988923">
      <w:bodyDiv w:val="1"/>
      <w:marLeft w:val="0"/>
      <w:marRight w:val="0"/>
      <w:marTop w:val="0"/>
      <w:marBottom w:val="0"/>
      <w:divBdr>
        <w:top w:val="none" w:sz="0" w:space="0" w:color="auto"/>
        <w:left w:val="none" w:sz="0" w:space="0" w:color="auto"/>
        <w:bottom w:val="none" w:sz="0" w:space="0" w:color="auto"/>
        <w:right w:val="none" w:sz="0" w:space="0" w:color="auto"/>
      </w:divBdr>
    </w:div>
    <w:div w:id="1251084545">
      <w:bodyDiv w:val="1"/>
      <w:marLeft w:val="0"/>
      <w:marRight w:val="0"/>
      <w:marTop w:val="0"/>
      <w:marBottom w:val="0"/>
      <w:divBdr>
        <w:top w:val="none" w:sz="0" w:space="0" w:color="auto"/>
        <w:left w:val="none" w:sz="0" w:space="0" w:color="auto"/>
        <w:bottom w:val="none" w:sz="0" w:space="0" w:color="auto"/>
        <w:right w:val="none" w:sz="0" w:space="0" w:color="auto"/>
      </w:divBdr>
    </w:div>
    <w:div w:id="1254824435">
      <w:bodyDiv w:val="1"/>
      <w:marLeft w:val="0"/>
      <w:marRight w:val="0"/>
      <w:marTop w:val="0"/>
      <w:marBottom w:val="0"/>
      <w:divBdr>
        <w:top w:val="none" w:sz="0" w:space="0" w:color="auto"/>
        <w:left w:val="none" w:sz="0" w:space="0" w:color="auto"/>
        <w:bottom w:val="none" w:sz="0" w:space="0" w:color="auto"/>
        <w:right w:val="none" w:sz="0" w:space="0" w:color="auto"/>
      </w:divBdr>
    </w:div>
    <w:div w:id="1254896067">
      <w:bodyDiv w:val="1"/>
      <w:marLeft w:val="0"/>
      <w:marRight w:val="0"/>
      <w:marTop w:val="0"/>
      <w:marBottom w:val="0"/>
      <w:divBdr>
        <w:top w:val="none" w:sz="0" w:space="0" w:color="auto"/>
        <w:left w:val="none" w:sz="0" w:space="0" w:color="auto"/>
        <w:bottom w:val="none" w:sz="0" w:space="0" w:color="auto"/>
        <w:right w:val="none" w:sz="0" w:space="0" w:color="auto"/>
      </w:divBdr>
    </w:div>
    <w:div w:id="1268853836">
      <w:bodyDiv w:val="1"/>
      <w:marLeft w:val="0"/>
      <w:marRight w:val="0"/>
      <w:marTop w:val="0"/>
      <w:marBottom w:val="0"/>
      <w:divBdr>
        <w:top w:val="none" w:sz="0" w:space="0" w:color="auto"/>
        <w:left w:val="none" w:sz="0" w:space="0" w:color="auto"/>
        <w:bottom w:val="none" w:sz="0" w:space="0" w:color="auto"/>
        <w:right w:val="none" w:sz="0" w:space="0" w:color="auto"/>
      </w:divBdr>
    </w:div>
    <w:div w:id="1290207934">
      <w:bodyDiv w:val="1"/>
      <w:marLeft w:val="0"/>
      <w:marRight w:val="0"/>
      <w:marTop w:val="0"/>
      <w:marBottom w:val="0"/>
      <w:divBdr>
        <w:top w:val="none" w:sz="0" w:space="0" w:color="auto"/>
        <w:left w:val="none" w:sz="0" w:space="0" w:color="auto"/>
        <w:bottom w:val="none" w:sz="0" w:space="0" w:color="auto"/>
        <w:right w:val="none" w:sz="0" w:space="0" w:color="auto"/>
      </w:divBdr>
    </w:div>
    <w:div w:id="1304233519">
      <w:bodyDiv w:val="1"/>
      <w:marLeft w:val="0"/>
      <w:marRight w:val="0"/>
      <w:marTop w:val="0"/>
      <w:marBottom w:val="0"/>
      <w:divBdr>
        <w:top w:val="none" w:sz="0" w:space="0" w:color="auto"/>
        <w:left w:val="none" w:sz="0" w:space="0" w:color="auto"/>
        <w:bottom w:val="none" w:sz="0" w:space="0" w:color="auto"/>
        <w:right w:val="none" w:sz="0" w:space="0" w:color="auto"/>
      </w:divBdr>
      <w:divsChild>
        <w:div w:id="1136878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962738">
      <w:bodyDiv w:val="1"/>
      <w:marLeft w:val="0"/>
      <w:marRight w:val="0"/>
      <w:marTop w:val="0"/>
      <w:marBottom w:val="0"/>
      <w:divBdr>
        <w:top w:val="none" w:sz="0" w:space="0" w:color="auto"/>
        <w:left w:val="none" w:sz="0" w:space="0" w:color="auto"/>
        <w:bottom w:val="none" w:sz="0" w:space="0" w:color="auto"/>
        <w:right w:val="none" w:sz="0" w:space="0" w:color="auto"/>
      </w:divBdr>
    </w:div>
    <w:div w:id="1354965570">
      <w:bodyDiv w:val="1"/>
      <w:marLeft w:val="0"/>
      <w:marRight w:val="0"/>
      <w:marTop w:val="0"/>
      <w:marBottom w:val="0"/>
      <w:divBdr>
        <w:top w:val="none" w:sz="0" w:space="0" w:color="auto"/>
        <w:left w:val="none" w:sz="0" w:space="0" w:color="auto"/>
        <w:bottom w:val="none" w:sz="0" w:space="0" w:color="auto"/>
        <w:right w:val="none" w:sz="0" w:space="0" w:color="auto"/>
      </w:divBdr>
      <w:divsChild>
        <w:div w:id="861361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420342">
      <w:bodyDiv w:val="1"/>
      <w:marLeft w:val="0"/>
      <w:marRight w:val="0"/>
      <w:marTop w:val="0"/>
      <w:marBottom w:val="0"/>
      <w:divBdr>
        <w:top w:val="none" w:sz="0" w:space="0" w:color="auto"/>
        <w:left w:val="none" w:sz="0" w:space="0" w:color="auto"/>
        <w:bottom w:val="none" w:sz="0" w:space="0" w:color="auto"/>
        <w:right w:val="none" w:sz="0" w:space="0" w:color="auto"/>
      </w:divBdr>
    </w:div>
    <w:div w:id="1405763696">
      <w:bodyDiv w:val="1"/>
      <w:marLeft w:val="0"/>
      <w:marRight w:val="0"/>
      <w:marTop w:val="0"/>
      <w:marBottom w:val="0"/>
      <w:divBdr>
        <w:top w:val="none" w:sz="0" w:space="0" w:color="auto"/>
        <w:left w:val="none" w:sz="0" w:space="0" w:color="auto"/>
        <w:bottom w:val="none" w:sz="0" w:space="0" w:color="auto"/>
        <w:right w:val="none" w:sz="0" w:space="0" w:color="auto"/>
      </w:divBdr>
    </w:div>
    <w:div w:id="1430589966">
      <w:bodyDiv w:val="1"/>
      <w:marLeft w:val="0"/>
      <w:marRight w:val="0"/>
      <w:marTop w:val="0"/>
      <w:marBottom w:val="0"/>
      <w:divBdr>
        <w:top w:val="none" w:sz="0" w:space="0" w:color="auto"/>
        <w:left w:val="none" w:sz="0" w:space="0" w:color="auto"/>
        <w:bottom w:val="none" w:sz="0" w:space="0" w:color="auto"/>
        <w:right w:val="none" w:sz="0" w:space="0" w:color="auto"/>
      </w:divBdr>
    </w:div>
    <w:div w:id="1496803628">
      <w:bodyDiv w:val="1"/>
      <w:marLeft w:val="0"/>
      <w:marRight w:val="0"/>
      <w:marTop w:val="0"/>
      <w:marBottom w:val="0"/>
      <w:divBdr>
        <w:top w:val="none" w:sz="0" w:space="0" w:color="auto"/>
        <w:left w:val="none" w:sz="0" w:space="0" w:color="auto"/>
        <w:bottom w:val="none" w:sz="0" w:space="0" w:color="auto"/>
        <w:right w:val="none" w:sz="0" w:space="0" w:color="auto"/>
      </w:divBdr>
    </w:div>
    <w:div w:id="1497762124">
      <w:bodyDiv w:val="1"/>
      <w:marLeft w:val="0"/>
      <w:marRight w:val="0"/>
      <w:marTop w:val="0"/>
      <w:marBottom w:val="0"/>
      <w:divBdr>
        <w:top w:val="none" w:sz="0" w:space="0" w:color="auto"/>
        <w:left w:val="none" w:sz="0" w:space="0" w:color="auto"/>
        <w:bottom w:val="none" w:sz="0" w:space="0" w:color="auto"/>
        <w:right w:val="none" w:sz="0" w:space="0" w:color="auto"/>
      </w:divBdr>
    </w:div>
    <w:div w:id="1581257002">
      <w:bodyDiv w:val="1"/>
      <w:marLeft w:val="0"/>
      <w:marRight w:val="0"/>
      <w:marTop w:val="0"/>
      <w:marBottom w:val="0"/>
      <w:divBdr>
        <w:top w:val="none" w:sz="0" w:space="0" w:color="auto"/>
        <w:left w:val="none" w:sz="0" w:space="0" w:color="auto"/>
        <w:bottom w:val="none" w:sz="0" w:space="0" w:color="auto"/>
        <w:right w:val="none" w:sz="0" w:space="0" w:color="auto"/>
      </w:divBdr>
    </w:div>
    <w:div w:id="1689988856">
      <w:bodyDiv w:val="1"/>
      <w:marLeft w:val="0"/>
      <w:marRight w:val="0"/>
      <w:marTop w:val="0"/>
      <w:marBottom w:val="0"/>
      <w:divBdr>
        <w:top w:val="none" w:sz="0" w:space="0" w:color="auto"/>
        <w:left w:val="none" w:sz="0" w:space="0" w:color="auto"/>
        <w:bottom w:val="none" w:sz="0" w:space="0" w:color="auto"/>
        <w:right w:val="none" w:sz="0" w:space="0" w:color="auto"/>
      </w:divBdr>
    </w:div>
    <w:div w:id="1696345827">
      <w:bodyDiv w:val="1"/>
      <w:marLeft w:val="0"/>
      <w:marRight w:val="0"/>
      <w:marTop w:val="0"/>
      <w:marBottom w:val="0"/>
      <w:divBdr>
        <w:top w:val="none" w:sz="0" w:space="0" w:color="auto"/>
        <w:left w:val="none" w:sz="0" w:space="0" w:color="auto"/>
        <w:bottom w:val="none" w:sz="0" w:space="0" w:color="auto"/>
        <w:right w:val="none" w:sz="0" w:space="0" w:color="auto"/>
      </w:divBdr>
    </w:div>
    <w:div w:id="1764494712">
      <w:bodyDiv w:val="1"/>
      <w:marLeft w:val="0"/>
      <w:marRight w:val="0"/>
      <w:marTop w:val="0"/>
      <w:marBottom w:val="0"/>
      <w:divBdr>
        <w:top w:val="none" w:sz="0" w:space="0" w:color="auto"/>
        <w:left w:val="none" w:sz="0" w:space="0" w:color="auto"/>
        <w:bottom w:val="none" w:sz="0" w:space="0" w:color="auto"/>
        <w:right w:val="none" w:sz="0" w:space="0" w:color="auto"/>
      </w:divBdr>
    </w:div>
    <w:div w:id="1768768872">
      <w:bodyDiv w:val="1"/>
      <w:marLeft w:val="0"/>
      <w:marRight w:val="0"/>
      <w:marTop w:val="0"/>
      <w:marBottom w:val="0"/>
      <w:divBdr>
        <w:top w:val="none" w:sz="0" w:space="0" w:color="auto"/>
        <w:left w:val="none" w:sz="0" w:space="0" w:color="auto"/>
        <w:bottom w:val="none" w:sz="0" w:space="0" w:color="auto"/>
        <w:right w:val="none" w:sz="0" w:space="0" w:color="auto"/>
      </w:divBdr>
    </w:div>
    <w:div w:id="1782842780">
      <w:bodyDiv w:val="1"/>
      <w:marLeft w:val="0"/>
      <w:marRight w:val="0"/>
      <w:marTop w:val="0"/>
      <w:marBottom w:val="0"/>
      <w:divBdr>
        <w:top w:val="none" w:sz="0" w:space="0" w:color="auto"/>
        <w:left w:val="none" w:sz="0" w:space="0" w:color="auto"/>
        <w:bottom w:val="none" w:sz="0" w:space="0" w:color="auto"/>
        <w:right w:val="none" w:sz="0" w:space="0" w:color="auto"/>
      </w:divBdr>
    </w:div>
    <w:div w:id="1788770992">
      <w:bodyDiv w:val="1"/>
      <w:marLeft w:val="0"/>
      <w:marRight w:val="0"/>
      <w:marTop w:val="0"/>
      <w:marBottom w:val="0"/>
      <w:divBdr>
        <w:top w:val="none" w:sz="0" w:space="0" w:color="auto"/>
        <w:left w:val="none" w:sz="0" w:space="0" w:color="auto"/>
        <w:bottom w:val="none" w:sz="0" w:space="0" w:color="auto"/>
        <w:right w:val="none" w:sz="0" w:space="0" w:color="auto"/>
      </w:divBdr>
    </w:div>
    <w:div w:id="1817717490">
      <w:bodyDiv w:val="1"/>
      <w:marLeft w:val="0"/>
      <w:marRight w:val="0"/>
      <w:marTop w:val="0"/>
      <w:marBottom w:val="0"/>
      <w:divBdr>
        <w:top w:val="none" w:sz="0" w:space="0" w:color="auto"/>
        <w:left w:val="none" w:sz="0" w:space="0" w:color="auto"/>
        <w:bottom w:val="none" w:sz="0" w:space="0" w:color="auto"/>
        <w:right w:val="none" w:sz="0" w:space="0" w:color="auto"/>
      </w:divBdr>
    </w:div>
    <w:div w:id="1849326506">
      <w:bodyDiv w:val="1"/>
      <w:marLeft w:val="0"/>
      <w:marRight w:val="0"/>
      <w:marTop w:val="0"/>
      <w:marBottom w:val="0"/>
      <w:divBdr>
        <w:top w:val="none" w:sz="0" w:space="0" w:color="auto"/>
        <w:left w:val="none" w:sz="0" w:space="0" w:color="auto"/>
        <w:bottom w:val="none" w:sz="0" w:space="0" w:color="auto"/>
        <w:right w:val="none" w:sz="0" w:space="0" w:color="auto"/>
      </w:divBdr>
    </w:div>
    <w:div w:id="1857840265">
      <w:bodyDiv w:val="1"/>
      <w:marLeft w:val="0"/>
      <w:marRight w:val="0"/>
      <w:marTop w:val="0"/>
      <w:marBottom w:val="0"/>
      <w:divBdr>
        <w:top w:val="none" w:sz="0" w:space="0" w:color="auto"/>
        <w:left w:val="none" w:sz="0" w:space="0" w:color="auto"/>
        <w:bottom w:val="none" w:sz="0" w:space="0" w:color="auto"/>
        <w:right w:val="none" w:sz="0" w:space="0" w:color="auto"/>
      </w:divBdr>
    </w:div>
    <w:div w:id="1871450250">
      <w:bodyDiv w:val="1"/>
      <w:marLeft w:val="0"/>
      <w:marRight w:val="0"/>
      <w:marTop w:val="0"/>
      <w:marBottom w:val="0"/>
      <w:divBdr>
        <w:top w:val="none" w:sz="0" w:space="0" w:color="auto"/>
        <w:left w:val="none" w:sz="0" w:space="0" w:color="auto"/>
        <w:bottom w:val="none" w:sz="0" w:space="0" w:color="auto"/>
        <w:right w:val="none" w:sz="0" w:space="0" w:color="auto"/>
      </w:divBdr>
    </w:div>
    <w:div w:id="1873112174">
      <w:bodyDiv w:val="1"/>
      <w:marLeft w:val="0"/>
      <w:marRight w:val="0"/>
      <w:marTop w:val="0"/>
      <w:marBottom w:val="0"/>
      <w:divBdr>
        <w:top w:val="none" w:sz="0" w:space="0" w:color="auto"/>
        <w:left w:val="none" w:sz="0" w:space="0" w:color="auto"/>
        <w:bottom w:val="none" w:sz="0" w:space="0" w:color="auto"/>
        <w:right w:val="none" w:sz="0" w:space="0" w:color="auto"/>
      </w:divBdr>
    </w:div>
    <w:div w:id="1878201258">
      <w:bodyDiv w:val="1"/>
      <w:marLeft w:val="0"/>
      <w:marRight w:val="0"/>
      <w:marTop w:val="0"/>
      <w:marBottom w:val="0"/>
      <w:divBdr>
        <w:top w:val="none" w:sz="0" w:space="0" w:color="auto"/>
        <w:left w:val="none" w:sz="0" w:space="0" w:color="auto"/>
        <w:bottom w:val="none" w:sz="0" w:space="0" w:color="auto"/>
        <w:right w:val="none" w:sz="0" w:space="0" w:color="auto"/>
      </w:divBdr>
    </w:div>
    <w:div w:id="1900046236">
      <w:bodyDiv w:val="1"/>
      <w:marLeft w:val="0"/>
      <w:marRight w:val="0"/>
      <w:marTop w:val="0"/>
      <w:marBottom w:val="0"/>
      <w:divBdr>
        <w:top w:val="none" w:sz="0" w:space="0" w:color="auto"/>
        <w:left w:val="none" w:sz="0" w:space="0" w:color="auto"/>
        <w:bottom w:val="none" w:sz="0" w:space="0" w:color="auto"/>
        <w:right w:val="none" w:sz="0" w:space="0" w:color="auto"/>
      </w:divBdr>
    </w:div>
    <w:div w:id="1907640351">
      <w:bodyDiv w:val="1"/>
      <w:marLeft w:val="0"/>
      <w:marRight w:val="0"/>
      <w:marTop w:val="0"/>
      <w:marBottom w:val="0"/>
      <w:divBdr>
        <w:top w:val="none" w:sz="0" w:space="0" w:color="auto"/>
        <w:left w:val="none" w:sz="0" w:space="0" w:color="auto"/>
        <w:bottom w:val="none" w:sz="0" w:space="0" w:color="auto"/>
        <w:right w:val="none" w:sz="0" w:space="0" w:color="auto"/>
      </w:divBdr>
    </w:div>
    <w:div w:id="1920401577">
      <w:bodyDiv w:val="1"/>
      <w:marLeft w:val="0"/>
      <w:marRight w:val="0"/>
      <w:marTop w:val="0"/>
      <w:marBottom w:val="0"/>
      <w:divBdr>
        <w:top w:val="none" w:sz="0" w:space="0" w:color="auto"/>
        <w:left w:val="none" w:sz="0" w:space="0" w:color="auto"/>
        <w:bottom w:val="none" w:sz="0" w:space="0" w:color="auto"/>
        <w:right w:val="none" w:sz="0" w:space="0" w:color="auto"/>
      </w:divBdr>
    </w:div>
    <w:div w:id="1921909725">
      <w:bodyDiv w:val="1"/>
      <w:marLeft w:val="0"/>
      <w:marRight w:val="0"/>
      <w:marTop w:val="0"/>
      <w:marBottom w:val="0"/>
      <w:divBdr>
        <w:top w:val="none" w:sz="0" w:space="0" w:color="auto"/>
        <w:left w:val="none" w:sz="0" w:space="0" w:color="auto"/>
        <w:bottom w:val="none" w:sz="0" w:space="0" w:color="auto"/>
        <w:right w:val="none" w:sz="0" w:space="0" w:color="auto"/>
      </w:divBdr>
    </w:div>
    <w:div w:id="1938175897">
      <w:bodyDiv w:val="1"/>
      <w:marLeft w:val="0"/>
      <w:marRight w:val="0"/>
      <w:marTop w:val="0"/>
      <w:marBottom w:val="0"/>
      <w:divBdr>
        <w:top w:val="none" w:sz="0" w:space="0" w:color="auto"/>
        <w:left w:val="none" w:sz="0" w:space="0" w:color="auto"/>
        <w:bottom w:val="none" w:sz="0" w:space="0" w:color="auto"/>
        <w:right w:val="none" w:sz="0" w:space="0" w:color="auto"/>
      </w:divBdr>
    </w:div>
    <w:div w:id="1950814670">
      <w:bodyDiv w:val="1"/>
      <w:marLeft w:val="0"/>
      <w:marRight w:val="0"/>
      <w:marTop w:val="0"/>
      <w:marBottom w:val="0"/>
      <w:divBdr>
        <w:top w:val="none" w:sz="0" w:space="0" w:color="auto"/>
        <w:left w:val="none" w:sz="0" w:space="0" w:color="auto"/>
        <w:bottom w:val="none" w:sz="0" w:space="0" w:color="auto"/>
        <w:right w:val="none" w:sz="0" w:space="0" w:color="auto"/>
      </w:divBdr>
    </w:div>
    <w:div w:id="1973897203">
      <w:bodyDiv w:val="1"/>
      <w:marLeft w:val="0"/>
      <w:marRight w:val="0"/>
      <w:marTop w:val="0"/>
      <w:marBottom w:val="0"/>
      <w:divBdr>
        <w:top w:val="none" w:sz="0" w:space="0" w:color="auto"/>
        <w:left w:val="none" w:sz="0" w:space="0" w:color="auto"/>
        <w:bottom w:val="none" w:sz="0" w:space="0" w:color="auto"/>
        <w:right w:val="none" w:sz="0" w:space="0" w:color="auto"/>
      </w:divBdr>
    </w:div>
    <w:div w:id="2058043713">
      <w:bodyDiv w:val="1"/>
      <w:marLeft w:val="0"/>
      <w:marRight w:val="0"/>
      <w:marTop w:val="0"/>
      <w:marBottom w:val="0"/>
      <w:divBdr>
        <w:top w:val="none" w:sz="0" w:space="0" w:color="auto"/>
        <w:left w:val="none" w:sz="0" w:space="0" w:color="auto"/>
        <w:bottom w:val="none" w:sz="0" w:space="0" w:color="auto"/>
        <w:right w:val="none" w:sz="0" w:space="0" w:color="auto"/>
      </w:divBdr>
    </w:div>
    <w:div w:id="2074043734">
      <w:bodyDiv w:val="1"/>
      <w:marLeft w:val="0"/>
      <w:marRight w:val="0"/>
      <w:marTop w:val="0"/>
      <w:marBottom w:val="0"/>
      <w:divBdr>
        <w:top w:val="none" w:sz="0" w:space="0" w:color="auto"/>
        <w:left w:val="none" w:sz="0" w:space="0" w:color="auto"/>
        <w:bottom w:val="none" w:sz="0" w:space="0" w:color="auto"/>
        <w:right w:val="none" w:sz="0" w:space="0" w:color="auto"/>
      </w:divBdr>
      <w:divsChild>
        <w:div w:id="482894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976808">
      <w:bodyDiv w:val="1"/>
      <w:marLeft w:val="0"/>
      <w:marRight w:val="0"/>
      <w:marTop w:val="0"/>
      <w:marBottom w:val="0"/>
      <w:divBdr>
        <w:top w:val="none" w:sz="0" w:space="0" w:color="auto"/>
        <w:left w:val="none" w:sz="0" w:space="0" w:color="auto"/>
        <w:bottom w:val="none" w:sz="0" w:space="0" w:color="auto"/>
        <w:right w:val="none" w:sz="0" w:space="0" w:color="auto"/>
      </w:divBdr>
    </w:div>
    <w:div w:id="2104573364">
      <w:bodyDiv w:val="1"/>
      <w:marLeft w:val="0"/>
      <w:marRight w:val="0"/>
      <w:marTop w:val="0"/>
      <w:marBottom w:val="0"/>
      <w:divBdr>
        <w:top w:val="none" w:sz="0" w:space="0" w:color="auto"/>
        <w:left w:val="none" w:sz="0" w:space="0" w:color="auto"/>
        <w:bottom w:val="none" w:sz="0" w:space="0" w:color="auto"/>
        <w:right w:val="none" w:sz="0" w:space="0" w:color="auto"/>
      </w:divBdr>
    </w:div>
    <w:div w:id="2114128306">
      <w:bodyDiv w:val="1"/>
      <w:marLeft w:val="0"/>
      <w:marRight w:val="0"/>
      <w:marTop w:val="0"/>
      <w:marBottom w:val="0"/>
      <w:divBdr>
        <w:top w:val="none" w:sz="0" w:space="0" w:color="auto"/>
        <w:left w:val="none" w:sz="0" w:space="0" w:color="auto"/>
        <w:bottom w:val="none" w:sz="0" w:space="0" w:color="auto"/>
        <w:right w:val="none" w:sz="0" w:space="0" w:color="auto"/>
      </w:divBdr>
    </w:div>
    <w:div w:id="2122022412">
      <w:bodyDiv w:val="1"/>
      <w:marLeft w:val="0"/>
      <w:marRight w:val="0"/>
      <w:marTop w:val="0"/>
      <w:marBottom w:val="0"/>
      <w:divBdr>
        <w:top w:val="none" w:sz="0" w:space="0" w:color="auto"/>
        <w:left w:val="none" w:sz="0" w:space="0" w:color="auto"/>
        <w:bottom w:val="none" w:sz="0" w:space="0" w:color="auto"/>
        <w:right w:val="none" w:sz="0" w:space="0" w:color="auto"/>
      </w:divBdr>
    </w:div>
    <w:div w:id="2127770381">
      <w:bodyDiv w:val="1"/>
      <w:marLeft w:val="0"/>
      <w:marRight w:val="0"/>
      <w:marTop w:val="0"/>
      <w:marBottom w:val="0"/>
      <w:divBdr>
        <w:top w:val="none" w:sz="0" w:space="0" w:color="auto"/>
        <w:left w:val="none" w:sz="0" w:space="0" w:color="auto"/>
        <w:bottom w:val="none" w:sz="0" w:space="0" w:color="auto"/>
        <w:right w:val="none" w:sz="0" w:space="0" w:color="auto"/>
      </w:divBdr>
    </w:div>
    <w:div w:id="2135512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ohit.more.ai@ghrcemn.raisoni.net"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mailto:rahul.suryawanshi@raisoni.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itin.bhandare.ai@ghrcemn.raisoni.ne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daksh.nimkar.ai@ghrcemn.raisoni.net" TargetMode="External"/><Relationship Id="rId4" Type="http://schemas.openxmlformats.org/officeDocument/2006/relationships/webSettings" Target="webSettings.xml"/><Relationship Id="rId9" Type="http://schemas.openxmlformats.org/officeDocument/2006/relationships/hyperlink" Target="mailto:sanket.chute.ai@ghrcemn.raisoni.net" TargetMode="External"/><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494</TotalTime>
  <Pages>15</Pages>
  <Words>5379</Words>
  <Characters>30662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Mayank Sen; Kartavya Lohawe; Luv Katre</dc:creator>
  <cp:lastModifiedBy>Nitin Bhandare</cp:lastModifiedBy>
  <cp:revision>27</cp:revision>
  <dcterms:created xsi:type="dcterms:W3CDTF">2026-09-17T08:11:00Z</dcterms:created>
  <dcterms:modified xsi:type="dcterms:W3CDTF">2026-10-05T18:31:00Z</dcterms:modified>
  <dc:title>CartScan A Location Aware Cross Platform Grocery Price Comparison System</dc:title>
  <dc:subject>Research paper for the CartScan project</dc:subject>
  <dc:description>Prepared from the supplied research-paper format.</dc:description>
  <cp:keywords>quick commerce; grocery price comparison; entity matching; unit pricing; geolocation</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2024-11-05T00:00:00Z</vt:filetime>
  </property>
  <property fmtid="{D5CDD505-2E9C-101B-9397-08002B2CF9AE}" pid="4" name="Creator">
    <vt:lpwstr>Microsoft® Word 2019</vt:lpwstr>
  </property>
  <property fmtid="{D5CDD505-2E9C-101B-9397-08002B2CF9AE}" pid="5" name="LastSaved">
    <vt:filetime>2026-09-17T00:00:00Z</vt:filetime>
  </property>
  <property fmtid="{D5CDD505-2E9C-101B-9397-08002B2CF9AE}" pid="6" name="Producer">
    <vt:lpwstr>Microsoft® Word 2019</vt:lpwstr>
  </property>
</Properties>
</file>